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18</w:t>
      </w:r>
    </w:p>
    <w:p>
      <w:pPr>
        <w:tabs>
          <w:tab w:pos="9354" w:val="right" w:leader="dot"/>
        </w:tabs>
        <w:ind w:firstLine="0" w:left="283" w:right="567"/>
        <w:jc w:val="left"/>
      </w:pPr>
      <w:r>
        <w:rPr>
          <w:b w:val="0"/>
        </w:rPr>
        <w:t>2.3 Программа экспериментальных исследований</w:t>
        <w:tab/>
        <w:t>21</w:t>
      </w:r>
    </w:p>
    <w:p>
      <w:pPr>
        <w:tabs>
          <w:tab w:pos="9354" w:val="right" w:leader="dot"/>
        </w:tabs>
        <w:ind w:firstLine="0" w:left="283" w:right="567"/>
        <w:jc w:val="left"/>
      </w:pPr>
      <w:r>
        <w:rPr>
          <w:b w:val="0"/>
        </w:rPr>
        <w:t>2.4 Методика измерений и обработки результатов</w:t>
        <w:tab/>
        <w:t>22</w:t>
      </w:r>
    </w:p>
    <w:p>
      <w:pPr>
        <w:tabs>
          <w:tab w:pos="9354" w:val="right" w:leader="dot"/>
        </w:tabs>
        <w:ind w:firstLine="0" w:left="283" w:right="567"/>
        <w:jc w:val="left"/>
      </w:pPr>
      <w:r>
        <w:rPr>
          <w:b w:val="0"/>
        </w:rPr>
        <w:t>2.5 Выбор аппаратных средств</w:t>
        <w:tab/>
        <w:t>25</w:t>
      </w:r>
    </w:p>
    <w:p>
      <w:pPr>
        <w:tabs>
          <w:tab w:pos="9354" w:val="right" w:leader="dot"/>
        </w:tabs>
        <w:ind w:firstLine="0" w:left="283" w:right="567"/>
        <w:jc w:val="left"/>
      </w:pPr>
      <w:r>
        <w:rPr>
          <w:b w:val="0"/>
        </w:rPr>
        <w:t>2.6 Выбор и настройка программных средств</w:t>
        <w:tab/>
        <w:t>26</w:t>
      </w:r>
    </w:p>
    <w:p>
      <w:pPr>
        <w:tabs>
          <w:tab w:pos="9354" w:val="right" w:leader="dot"/>
        </w:tabs>
        <w:ind w:firstLine="0" w:left="283" w:right="567"/>
        <w:jc w:val="left"/>
      </w:pPr>
      <w:r>
        <w:rPr>
          <w:b w:val="0"/>
        </w:rPr>
        <w:t>2.7 Выводы</w:t>
        <w:tab/>
        <w:t>29</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30</w:t>
      </w:r>
    </w:p>
    <w:p>
      <w:pPr>
        <w:tabs>
          <w:tab w:pos="9354" w:val="right" w:leader="dot"/>
        </w:tabs>
        <w:ind w:firstLine="0" w:left="283" w:right="567"/>
        <w:jc w:val="left"/>
      </w:pPr>
      <w:r>
        <w:rPr>
          <w:b w:val="0"/>
        </w:rPr>
        <w:t>3.1 Условия испытаний</w:t>
        <w:tab/>
        <w:t>30</w:t>
      </w:r>
    </w:p>
    <w:p>
      <w:pPr>
        <w:tabs>
          <w:tab w:pos="9354" w:val="right" w:leader="dot"/>
        </w:tabs>
        <w:ind w:firstLine="0" w:left="283" w:right="567"/>
        <w:jc w:val="left"/>
      </w:pPr>
      <w:r>
        <w:rPr>
          <w:b w:val="0"/>
        </w:rPr>
        <w:t>3.2 Влияние полосы приёма (лабораторный этап)</w:t>
        <w:tab/>
        <w:t>30</w:t>
      </w:r>
    </w:p>
    <w:p>
      <w:pPr>
        <w:tabs>
          <w:tab w:pos="9354" w:val="right" w:leader="dot"/>
        </w:tabs>
        <w:ind w:firstLine="0" w:left="283" w:right="567"/>
        <w:jc w:val="left"/>
      </w:pPr>
      <w:r>
        <w:rPr>
          <w:b w:val="0"/>
        </w:rPr>
        <w:t>3.3 Пропускная способность платформы и ограничивающее звено</w:t>
        <w:tab/>
        <w:t>31</w:t>
      </w:r>
    </w:p>
    <w:p>
      <w:pPr>
        <w:tabs>
          <w:tab w:pos="9354" w:val="right" w:leader="dot"/>
        </w:tabs>
        <w:ind w:firstLine="0" w:left="283" w:right="567"/>
        <w:jc w:val="left"/>
      </w:pPr>
      <w:r>
        <w:rPr>
          <w:b w:val="0"/>
        </w:rPr>
        <w:t>3.4 Доработки канала передачи видео и итоговые результаты</w:t>
        <w:tab/>
        <w:t>35</w:t>
      </w:r>
    </w:p>
    <w:p>
      <w:pPr>
        <w:tabs>
          <w:tab w:pos="9354" w:val="right" w:leader="dot"/>
        </w:tabs>
        <w:ind w:firstLine="0" w:left="283" w:right="567"/>
        <w:jc w:val="left"/>
      </w:pPr>
      <w:r>
        <w:rPr>
          <w:b w:val="0"/>
        </w:rPr>
        <w:t>3.5 Искажения изображения камеры, наводка передатчика и выбор мощности</w:t>
        <w:tab/>
        <w:t>41</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43</w:t>
      </w:r>
    </w:p>
    <w:p>
      <w:pPr>
        <w:tabs>
          <w:tab w:pos="9354" w:val="right" w:leader="dot"/>
        </w:tabs>
        <w:ind w:firstLine="0" w:left="283" w:right="567"/>
        <w:jc w:val="left"/>
      </w:pPr>
      <w:r>
        <w:rPr>
          <w:b w:val="0"/>
        </w:rPr>
        <w:t>3.7 Сравнение с IEEE 802.11 (Wi-Fi 2,4 и 5 ГГц) и LoRa</w:t>
        <w:tab/>
        <w:t>47</w:t>
      </w:r>
    </w:p>
    <w:p>
      <w:pPr>
        <w:tabs>
          <w:tab w:pos="9354" w:val="right" w:leader="dot"/>
        </w:tabs>
        <w:ind w:firstLine="0" w:left="283" w:right="567"/>
        <w:jc w:val="left"/>
      </w:pPr>
      <w:r>
        <w:rPr>
          <w:b w:val="0"/>
        </w:rPr>
        <w:t>3.8 Выводы</w:t>
        <w:tab/>
        <w:t>54</w:t>
      </w:r>
    </w:p>
    <w:p>
      <w:pPr>
        <w:tabs>
          <w:tab w:pos="9354" w:val="right" w:leader="dot"/>
        </w:tabs>
        <w:ind w:firstLine="0" w:left="0" w:right="567"/>
        <w:jc w:val="left"/>
      </w:pPr>
      <w:r>
        <w:rPr>
          <w:b/>
        </w:rPr>
        <w:t>4 Экономическая часть</w:t>
        <w:tab/>
        <w:t>56</w:t>
      </w:r>
    </w:p>
    <w:p>
      <w:pPr>
        <w:tabs>
          <w:tab w:pos="9354" w:val="right" w:leader="dot"/>
        </w:tabs>
        <w:ind w:firstLine="0" w:left="283" w:right="567"/>
        <w:jc w:val="left"/>
      </w:pPr>
      <w:r>
        <w:rPr>
          <w:b w:val="0"/>
        </w:rPr>
        <w:t>4.1 Оценка целесообразности проведения исследования</w:t>
        <w:tab/>
        <w:t>57</w:t>
      </w:r>
    </w:p>
    <w:p>
      <w:pPr>
        <w:tabs>
          <w:tab w:pos="9354" w:val="right" w:leader="dot"/>
        </w:tabs>
        <w:ind w:firstLine="0" w:left="283" w:right="567"/>
        <w:jc w:val="left"/>
      </w:pPr>
      <w:r>
        <w:rPr>
          <w:b w:val="0"/>
        </w:rPr>
        <w:t>4.2 Планирование разработки</w:t>
        <w:tab/>
        <w:t>60</w:t>
      </w:r>
    </w:p>
    <w:p>
      <w:pPr>
        <w:tabs>
          <w:tab w:pos="9354" w:val="right" w:leader="dot"/>
        </w:tabs>
        <w:ind w:firstLine="0" w:left="283" w:right="567"/>
        <w:jc w:val="left"/>
      </w:pPr>
      <w:r>
        <w:rPr>
          <w:b w:val="0"/>
        </w:rPr>
        <w:t>4.3 Определение затрат, себестоимости и цены разработки</w:t>
        <w:tab/>
        <w:t>62</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66</w:t>
      </w:r>
    </w:p>
    <w:p>
      <w:pPr>
        <w:tabs>
          <w:tab w:pos="9354" w:val="right" w:leader="dot"/>
        </w:tabs>
        <w:ind w:firstLine="0" w:left="283" w:right="567"/>
        <w:jc w:val="left"/>
      </w:pPr>
      <w:r>
        <w:rPr>
          <w:b w:val="0"/>
        </w:rPr>
        <w:t>4.5 Выводы</w:t>
        <w:tab/>
        <w:t>69</w:t>
      </w:r>
    </w:p>
    <w:p>
      <w:pPr>
        <w:tabs>
          <w:tab w:pos="9354" w:val="right" w:leader="dot"/>
        </w:tabs>
        <w:ind w:firstLine="0" w:left="0" w:right="567"/>
        <w:jc w:val="left"/>
      </w:pPr>
      <w:r>
        <w:rPr>
          <w:b/>
        </w:rPr>
        <w:t>5 Охрана труда и окружающей среды</w:t>
        <w:tab/>
        <w:t>70</w:t>
      </w:r>
    </w:p>
    <w:p>
      <w:pPr>
        <w:tabs>
          <w:tab w:pos="9354" w:val="right" w:leader="dot"/>
        </w:tabs>
        <w:ind w:firstLine="0" w:left="283" w:right="567"/>
        <w:jc w:val="left"/>
      </w:pPr>
      <w:r>
        <w:rPr>
          <w:b w:val="0"/>
        </w:rPr>
        <w:t>5.1 Введение</w:t>
        <w:tab/>
        <w:t>70</w:t>
      </w:r>
    </w:p>
    <w:p>
      <w:pPr>
        <w:tabs>
          <w:tab w:pos="9354" w:val="right" w:leader="dot"/>
        </w:tabs>
        <w:ind w:firstLine="0" w:left="283" w:right="567"/>
        <w:jc w:val="left"/>
      </w:pPr>
      <w:r>
        <w:rPr>
          <w:b w:val="0"/>
        </w:rPr>
        <w:t>5.2 Оценка условий труда</w:t>
        <w:tab/>
        <w:t>72</w:t>
      </w:r>
    </w:p>
    <w:p>
      <w:pPr>
        <w:tabs>
          <w:tab w:pos="9354" w:val="right" w:leader="dot"/>
        </w:tabs>
        <w:ind w:firstLine="0" w:left="283" w:right="567"/>
        <w:jc w:val="left"/>
      </w:pPr>
      <w:r>
        <w:rPr>
          <w:b w:val="0"/>
        </w:rPr>
        <w:t>5.3 Оценка условий труда по эргономическим параметрам</w:t>
        <w:tab/>
        <w:t>79</w:t>
      </w:r>
    </w:p>
    <w:p>
      <w:pPr>
        <w:tabs>
          <w:tab w:pos="9354" w:val="right" w:leader="dot"/>
        </w:tabs>
        <w:ind w:firstLine="0" w:left="283" w:right="567"/>
        <w:jc w:val="left"/>
      </w:pPr>
      <w:r>
        <w:rPr>
          <w:b w:val="0"/>
        </w:rPr>
        <w:t>5.4 Оценка помещения по электроопасности</w:t>
        <w:tab/>
        <w:t>81</w:t>
      </w:r>
    </w:p>
    <w:p>
      <w:pPr>
        <w:tabs>
          <w:tab w:pos="9354" w:val="right" w:leader="dot"/>
        </w:tabs>
        <w:ind w:firstLine="0" w:left="283" w:right="567"/>
        <w:jc w:val="left"/>
      </w:pPr>
      <w:r>
        <w:rPr>
          <w:b w:val="0"/>
        </w:rPr>
        <w:t>5.5 Классификация помещения по пожароопасности</w:t>
        <w:tab/>
        <w:t>82</w:t>
      </w:r>
    </w:p>
    <w:p>
      <w:pPr>
        <w:tabs>
          <w:tab w:pos="9354" w:val="right" w:leader="dot"/>
        </w:tabs>
        <w:ind w:firstLine="0" w:left="283" w:right="567"/>
        <w:jc w:val="left"/>
      </w:pPr>
      <w:r>
        <w:rPr>
          <w:b w:val="0"/>
        </w:rPr>
        <w:t>5.6 Расчёт искусственного освещения</w:t>
        <w:tab/>
        <w:t>83</w:t>
      </w:r>
    </w:p>
    <w:p>
      <w:pPr>
        <w:tabs>
          <w:tab w:pos="9354" w:val="right" w:leader="dot"/>
        </w:tabs>
        <w:ind w:firstLine="0" w:left="283" w:right="567"/>
        <w:jc w:val="left"/>
      </w:pPr>
      <w:r>
        <w:rPr>
          <w:b w:val="0"/>
        </w:rPr>
        <w:t>5.7 Выводы</w:t>
        <w:tab/>
        <w:t>87</w:t>
      </w:r>
    </w:p>
    <w:p>
      <w:pPr>
        <w:tabs>
          <w:tab w:pos="9354" w:val="right" w:leader="dot"/>
        </w:tabs>
        <w:ind w:firstLine="0" w:left="0" w:right="567"/>
        <w:jc w:val="left"/>
      </w:pPr>
      <w:r>
        <w:rPr>
          <w:b w:val="0"/>
        </w:rPr>
        <w:t>Заключение</w:t>
        <w:tab/>
        <w:t>88</w:t>
      </w:r>
    </w:p>
    <w:p>
      <w:pPr>
        <w:tabs>
          <w:tab w:pos="9354" w:val="right" w:leader="dot"/>
        </w:tabs>
        <w:ind w:firstLine="0" w:left="0" w:right="567"/>
        <w:jc w:val="left"/>
      </w:pPr>
      <w:r>
        <w:rPr>
          <w:b w:val="0"/>
        </w:rPr>
        <w:t>Список использованных источников</w:t>
        <w:tab/>
        <w:t>91</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на языке Python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100 с., 14 рис., 39 табл., 74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остаётся незакрытой ниша безлицензионного канала,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с учётом этого выигрыш на малых скоростях сокращается до 7,7 дБ (по расчёту дальность в свободном пространстве в 2,4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Решением ГКРЧ от 07.05.2007 № 07-20-03-001 (в редакции от 24.12.2018) [15] в приложении 11 «Неспециализированные (любого назначения) устройства» выделены полосы 864–865 МГц (эффективная излучаемая мощность, ЭИМ, не более 25 мВт, рабочий цикл не более 0,1 % или режим прослушивания перед излучением, LBT) и 866–868 МГц. Полоса 866–868 МГц введена решением ГКРЧ № 18-46-03-1 [23]: ЭИМ не более 25 мВт при спектральной плотности ЭИМ не более 1000 мВт/МГц (оба условия выполняются одновременно), рабочий цикл не более 1 % или режим LBT. В обеих полосах использование запрещено в пределах аэропортов (аэродромов), что для БПЛА существенно: на территории аэродрома канал этого диапазона применять нельзя. В полосе 2400–2483,5 МГц (приложение 2 того же решения) устройствам с расширением спектра и другими видами модуляции разрешена эквивалентная изотропно излучаемая мощность (ЭИИМ) до 100 мВт при спектральной плотности ЭИИМ не более 10 мВт/МГц [15]. Норма 25 мВт ЭИМ — это 14 дБм, отсчитанные от полуволнового диполя (16,15 дБм относительно изотропной антенны); стенд с мощностью на выходе модуля не более 14 дБм и штатными антеннами плат, не сильнее диполя, в неё укладывается. Видео передаётся непрерывно, поэтому ограничение рабочего цикла 1 % для него невыполнимо, и законность канала держится на втором условии — прослушивании эфира перед передачей (LBT): по стандарту станция Wi-Fi HaLow передаёт только после проверки, что канал свободен (механизм CSMA/CA). Канал шириной 1 или 2 МГц целиком помещается в полосу 866–868 МГц (в работе — канал 2 МГц с центром 867,0 МГц), более широкие каналы — нет.</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Безлицензионного канала, сочетающего оба свойства, среди распространённых решений нет.</w:t>
      </w:r>
    </w:p>
    <w:p>
      <w:r>
        <w:t>2. Wi-Fi HaLow закрывает эту нишу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7,7 дБ больше, чем у Wi-Fi 2,4 ГГц (дальность в свободном пространстве по расчёту в 2,4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(2.5)</w:t>
            </w:r>
          </w:p>
        </w:tc>
      </w:tr>
    </w:tbl>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Такой сдвиг приёмник компенсирует, и на работу канала он практически не влияет, поэтому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40–45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дальность получается от 190 до 920 м. Две модели, предложенные специально для IEEE 802.11ah, на 1 км расходятся на 12 дБ [25],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канал заметно меняется: отношение сигнал/шум за пять минут колебалось от 24 до 40 дБ, а скорость в разное время суток различалась в 3–4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26],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уровню сигнала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[27].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 все итоговые показатели работы получены в разрешённой конфигурации.</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скорость канала в течение суток меняется примерно вдвое: вечером — от 450 до 936 кбит/с.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2.4</w:t>
      </w:r>
      <w:r>
        <w:t>).</w:t>
      </w:r>
    </w:p>
    <w:p>
      <w:pPr>
        <w:pStyle w:val="TableCaption"/>
        <w:ind w:firstLine="0"/>
      </w:pPr>
      <w:r>
        <w:t>Таблица 2.4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[28]</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[29, 30]</w:t>
            </w:r>
          </w:p>
        </w:tc>
        <w:tc>
          <w:tcPr>
            <w:tcW w:type="dxa" w:w="2041"/>
            <w:vAlign w:val="center"/>
          </w:tcPr>
          <w:p>
            <w:pPr>
              <w:pStyle w:val="TableText"/>
              <w:keepNext/>
              <w:jc w:val="left"/>
            </w:pPr>
            <w:r>
              <w:rPr>
                <w:sz w:val="22"/>
              </w:rPr>
              <w:t>Morse Micro MM6108 [31]</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[32]</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[33, 34]</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[35]</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[36]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уровню сигнала,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(сборка видеокадров,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собирает видеокадры,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[36];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 дБ выше, чем у приёмника, долю неудачных попыток передачи 50–67 % при отношении сигнал/шум выше 30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собран и настроен в разрешённой конфигурации: канал 2 МГц на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МГц вдвое снизило их вчетверо, а ширина сигнала при более узкой полосе приёма почти не влияет (1,71 и 1,88 % — в пределах разброса). Причина — шум: мощность теплового шума на входе приёмника пропорциональна его полосе. Приёмник с полосой 8 МГц собирает вчетверо больше шума, чем с полосой 2 МГц, хотя сигнал занимает только 2 МГц; отношение сигнал/шум падает вчетверо, то есть на 10·lg 4 = 6,0 дБ. Эксперимент подтвердил эту оценку качественно и по порядку величины.</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540446"/>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540446"/>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[36].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(3.1)</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[37],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пропускает до 1,65 Мбит/с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Для этого нужен измерительный приёмник или анализатор спектра, которых в работе не было.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Такой код называют кодом для стираний: он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w:t>
      </w:r>
    </w:p>
    <w:p>
      <w:r>
        <w:rPr>
          <w:b/>
        </w:rPr>
        <w:t xml:space="preserve">Нижняя граница модуляции по уровню сигнала.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меняется в разы по времени суток,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канал 2 МГц на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уровню сигнала</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 медиана</w:t>
            </w:r>
          </w:p>
        </w:tc>
        <w:tc>
          <w:tcPr>
            <w:tcW w:type="dxa" w:w="2551"/>
            <w:vAlign w:val="center"/>
          </w:tcPr>
          <w:p>
            <w:pPr>
              <w:pStyle w:val="TableText"/>
              <w:keepNext/>
              <w:jc w:val="center"/>
            </w:pPr>
            <w:r>
              <w:rPr>
                <w:sz w:val="22"/>
              </w:rPr>
              <w:t>0,34–0,50 с</w:t>
            </w:r>
          </w:p>
        </w:tc>
        <w:tc>
          <w:tcPr>
            <w:tcW w:type="dxa" w:w="3288"/>
            <w:vAlign w:val="center"/>
          </w:tcPr>
          <w:p>
            <w:pPr>
              <w:pStyle w:val="TableText"/>
              <w:keepNext/>
              <w:jc w:val="left"/>
            </w:pPr>
            <w:r>
              <w:rPr>
                <w:sz w:val="22"/>
              </w:rPr>
              <w:t>опыты с инерцией качества и единой версией программы</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(3.2)</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автором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27 дБ выше, чем у платы приёмника без камеры,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граница в свободном пространстве сокращается в 22 раза — до 44 м на MCS 7 и 220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[26].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[26]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[26].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куски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кусков и паузы планирования, которых в Wi-Fi-тракте нет. Измерения Wi-Fi HaLow и Wi-Fi 2,4 ГГц на трассе 5 м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[38].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[39]; по пользовательским данным, канал управления ExpressLRS 900 МГц работал с БПЛА на 40,7 км при 10 мВт [40]. Но скорость LoRa — 0,29–5,5 кбит/с в канале 125 кГц [3], ниже полученной полезной скорости Wi-Fi HaLow в 190–3600 раз, а время передачи одного пакета — от 0,39 до 31 мс в режимах ExpressLRS [41]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(3.2)</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Скорость не ниже видеопотока стенда 1063 кбит/с (выделено жирным) по расчёту сохраняется у Wi-Fi 2,4 ГГц до 1 км, у Wi-Fi HaLow — до 0,5 км на сетке расстояний рисунка (граница MCS 7 — 0,98 км); промежуточные режимы MCS 1–6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5078292"/>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5078292"/>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[42].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[40]</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[26];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[26]</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[41];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МГц вдвое снизило потери вчетверо за счёт вчетверо меньшего шума, собираемого приёмником, что согласуется с расчётом шума в полосе (6 дБ).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уровню сигнала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измерение показало: Wi-Fi HaLow удерживает связь в 1,8 раза дальше Wi-Fi 2,4 ГГц (данные ниже);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закрывает эту нишу: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7,7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а измерение на одной паре плат показало, что на скорости реального канала Wi-Fi HaLow удерживает связь в 1,8 раза дальше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2 МГц на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уровню сигнала;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уровню сигнала,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для стираний,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Shannon, C. E. A Mathematical Theory of Communication / C. E. Shannon // Bell System Technical Journal. – 1948. – Vol. 27, no. 3. – P. 379–423. – Текст : электронный.</w:t>
      </w:r>
    </w:p>
    <w:p>
      <w:pPr>
        <w:ind w:firstLine="0"/>
        <w:jc w:val="left"/>
      </w:pPr>
      <w:r>
        <w:t>25.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26.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27.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28. LILYGO T-Halow ESP32-S3 Development Board, Wi-Fi HaLow. – Текст : электронный // AliExpress : [сайт]. – URL: https://www.aliexpress.com/item/1005007402959136.html (дата обращения: 24.09.2026).</w:t>
      </w:r>
    </w:p>
    <w:p>
      <w:pPr>
        <w:ind w:firstLine="0"/>
        <w:jc w:val="left"/>
      </w:pPr>
      <w:r>
        <w:t>29. ESP32 Wi-Fi HaLow Camera HT-HC32. – Текст : электронный // Heltec Automation : [сайт]. – URL: https://wiki.heltec.org/docs/devices/wifi-halow/ht-hc32/ (дата обращения: 13.10.2026).</w:t>
      </w:r>
    </w:p>
    <w:p>
      <w:pPr>
        <w:ind w:firstLine="0"/>
        <w:jc w:val="left"/>
      </w:pPr>
      <w:r>
        <w:t>30. ESP32 Wi-Fi HaLow Camera. – Текст : электронный // Heltec Automation : [сайт]. – URL: https://heltec.org/project/ht-hc32/ (дата обращения: 13.10.2026).</w:t>
      </w:r>
    </w:p>
    <w:p>
      <w:pPr>
        <w:ind w:firstLine="0"/>
        <w:jc w:val="left"/>
      </w:pPr>
      <w:r>
        <w:t>31.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32.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33. NRC7394 Evaluation Kit Purchase page. – Текст : электронный // NEWRACOM : [сайт]. – URL: https://newracom.com/nrc7394-evaluation-kit-purchase-page (дата обращения: 24.09.2026).</w:t>
      </w:r>
    </w:p>
    <w:p>
      <w:pPr>
        <w:ind w:firstLine="0"/>
        <w:jc w:val="left"/>
      </w:pPr>
      <w:r>
        <w:t>34. NRC7292 EVK. – Текст : электронный // NEWRACOM : [сайт]. – URL: https://newracom.com/products/nrc7292-evk (дата обращения: 24.09.2026).</w:t>
      </w:r>
    </w:p>
    <w:p>
      <w:pPr>
        <w:ind w:firstLine="0"/>
        <w:jc w:val="left"/>
      </w:pPr>
      <w:r>
        <w:t>35. MM6108-EKH05-05US, WiFi Development Tools — 802.11 Wi-Fi HaLow IoT Development Board. – Текст : электронный // ЧИП и ДИП : [сайт]. – URL: https://chipdip.ru/product0/8040419288 (дата обращения: 24.09.2026).</w:t>
      </w:r>
    </w:p>
    <w:p>
      <w:pPr>
        <w:ind w:firstLine="0"/>
        <w:jc w:val="left"/>
      </w:pPr>
      <w:r>
        <w:t>36.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37.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38. ESP32-CAM Performance Reference Benchmark : dataset / TNeutron. – 2025. – Текст : электронный // GitHub : [сайт]. – URL: https://github.com/TNeutron/ESP32-CAM-Performence-Reference-Benchmark (дата обращения: 08.10.2026).</w:t>
      </w:r>
    </w:p>
    <w:p>
      <w:pPr>
        <w:ind w:firstLine="0"/>
        <w:jc w:val="left"/>
      </w:pPr>
      <w:r>
        <w:t>39.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40. Long Range / ExpressLRS. – Текст : электронный // GitHub : ExpressLRS/Docs. – URL: https://github.com/ExpressLRS/Docs/blob/master/docs/info/long-range.md (дата обращения: 08.10.2026).</w:t>
      </w:r>
    </w:p>
    <w:p>
      <w:pPr>
        <w:ind w:firstLine="0"/>
        <w:jc w:val="left"/>
      </w:pPr>
      <w:r>
        <w:t>41. Signal Health / ExpressLRS. – Текст : электронный // GitHub : ExpressLRS/Docs. – URL: https://github.com/ExpressLRS/Docs/blob/master/docs/info/signal-health.md (дата обращения: 08.10.2026).</w:t>
      </w:r>
    </w:p>
    <w:p>
      <w:pPr>
        <w:ind w:firstLine="0"/>
        <w:jc w:val="left"/>
      </w:pPr>
      <w:r>
        <w:t>42.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43.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44.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45.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46.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47.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48.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49.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50.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51.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52.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53.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54.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55.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56.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57.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58.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59.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60.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61.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62.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63.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64.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65.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66.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67.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68.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69.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70.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71.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72.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73.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p>
      <w:pPr>
        <w:ind w:firstLine="0"/>
        <w:jc w:val="left"/>
      </w:pPr>
      <w:r>
        <w:t>74. Светотехника. Таблицы коэффициентов использования : каталог / IEK. – [Б. м.], 2022. – 22 с. – Текст : электронный // IEK : [сайт]. – URL: https://www.iek.ru/products/standard_solutions/download/svetovye-pribory-iek---tablicy-koehfficientov-ispolzovaniya.pdf (дата обращения: 18.10.2026).</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100</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