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показателей микроклимата и освещённости рабочего места и класса условий труда специалиста при исследовании эффективности применения технологии Wi-Fi HaLow</w:t>
      </w:r>
    </w:p>
    <w:p>
      <w:pPr>
        <w:pStyle w:val="Heading2"/>
      </w:pPr>
      <w:r>
        <w:t>5.1 Введение</w:t>
      </w:r>
    </w:p>
    <w:p>
      <w:r>
        <w:t>В выпускной квалификационной работе исследуется эффективность применения технологии Wi-Fi HaLow (IEEE 802.11ah) для передачи данных с удалёнными объектами. Работа выполняется на персональной электронно-вычислительной машине (ПЭВМ) с подключённым к ней экспериментальным стендом из двух плат LilyGO T-HaLow (микроконтроллер ESP32-S3 и модуль Wi-Fi HaLow TX-AH-R900P с рабочей частотой 866 МГц) и модуля камеры OV5640. Настройка стенда и лабораторные измерения выполняются на рабочем месте в помещении, измерения на дистанции — на открытой полевой площадке.</w:t>
      </w:r>
    </w:p>
    <w:p>
      <w:r>
        <w:t>Цель раздела — определить значения показателей микроклимата и освещённости рабочего места специалиста, сравнить их с нормативными значениями, оценить остальные опасные и вредные производственные факторы и определить класс условий труда, а при выявлении отклонений — предложить мероприятия по их устранению.</w:t>
      </w:r>
    </w:p>
    <w:p>
      <w:r>
        <w:t>Работа выполняется одним специалистом в режиме пятидневной рабочей недели продолжительностью 8 ч с обеденным перерывом 1 ч, в положении сидя.</w:t>
      </w:r>
    </w:p>
    <w:p>
      <w:pPr>
        <w:pStyle w:val="Heading2"/>
      </w:pPr>
      <w:r>
        <w:t>5.2 Характеристика рабочего места</w:t>
      </w:r>
    </w:p>
    <w:p>
      <w:r>
        <w:t>Параметры помещения, в котором выполняется работа, приведены в таблице 5.1.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помещения A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помещения B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 H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 S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35,1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светового проёма (окна)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1,40 × 1,50 = 2,10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Число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чел.</w:t>
            </w:r>
          </w:p>
        </w:tc>
      </w:tr>
    </w:tbl>
    <w:p>
      <w:pPr>
        <w:spacing w:line="240" w:lineRule="auto"/>
      </w:pPr>
    </w:p>
    <w:p>
      <w:r>
        <w:t>В помещении расположены деревянный компьютерный стол с ПЭВМ (внешний жидкокристаллический монитор: IPS, 68,6 см (27″), 2560 × 1440), принтер, экспериментальный стенд (две платы LilyGO T-HaLow, питаемые по кабелям USB Type-C), стул с регулируемой высотой сиденья, кровать и шкаф из ДСП. Пол — деревянный паркет, стены оштукатурены и оклеены обоями. Окно — пластиковый стеклопакет, нижняя кромка которого расположена на высоте 0,7 м от пола; под подоконником установлен радиатор отопления. Рабочий стол расположен у окна так, что естественный свет падает сбоку.</w:t>
      </w:r>
    </w:p>
    <w:p>
      <w:r>
        <w:t>План помещения приведён на рисунке 5.1: 1 — рабочий стол с ПЭВМ; 2 — стул; 3 — экспериментальный стенд; 4 — кровать; 5 — шкаф; 6 — окно; 7 — радиатор отопления; 8 — дверь; 9 — огнетушитель ОУ-3; 10 — люстра.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20000" cy="4163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163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</w:t>
      </w:r>
    </w:p>
    <w:p>
      <w:r>
        <w:t>Площадь на одно рабочее место пользователя ПЭВМ с жидкокристаллическим монитором должна составлять не менее 4,5 м² [48]. Фактическая площадь на одного работающего составляет 13,5 м², что удовлетворяет требованию.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[49, 50]. Сопоставление фактических параметров с нормативными приведено в таблице 5.2.</w:t>
      </w:r>
    </w:p>
    <w:p>
      <w:pPr>
        <w:pStyle w:val="TableCaption"/>
        <w:ind w:firstLine="0"/>
      </w:pPr>
      <w:r>
        <w:t>Таблица 5.2 – Эргономические параметры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3118"/>
        <w:gridCol w:w="2154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Фактическое значение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рабочей поверхности стола,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680–800 (нерегулируемая — 725)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725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сиденья стула,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400–550, регулируемая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420–530 (регулируемая)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600 / не менее 450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600 / 450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Расстояние от глаз до экрана монитора,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проектное: 500 для экранов 14–17″, 750 для экранов 19–21″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650 (экран 27″)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место, м²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4,5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13,5</w:t>
            </w:r>
          </w:p>
        </w:tc>
      </w:tr>
    </w:tbl>
    <w:p>
      <w:pPr>
        <w:spacing w:line="240" w:lineRule="auto"/>
      </w:pPr>
    </w:p>
    <w:p>
      <w:r>
        <w:t>Параметры стола, стула и пространства для ног соответствуют ГОСТ Р 50923-96 [50]. Для экрана 27″ проектное расстояние наблюдения стандартом не установлено [51]; при расстоянии 650 мм угловой размер знаков высотой 6 мм составляет 32′, что больше минимального значения 20′, то есть знаки различаются без напряжения зрения.</w:t>
      </w:r>
    </w:p>
    <w:p>
      <w:r>
        <w:t>Компоновка рабочего места и положение специалиста показаны на рисунке 5.2. Верхний край экрана находится ниже уровня глаз, линия взгляда на центр экрана наклонена к горизонтали примерно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322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На рабочем месте используются внешний жидкокристаллический монитор с IPS-матрицей диагональю 68,6 см (27″), разрешением 2560 × 1440, размером пикселя 0,233 мм и 16,7 млн цветов, а также внешняя цельная клавиатура. Корпуса монитора и клавиатуры чёрные матовые, без блестящих деталей. Визуальные параметры монитора нормируются ГОСТ Р 50948-2001 [51] и ГОСТ Р 50923-96, параметры клавиатуры — ГОСТ Р ИСО 9241-4-2009 [52]. Сопоставление приведено в таблице 5.3.</w:t>
      </w:r>
    </w:p>
    <w:p>
      <w:pPr>
        <w:pStyle w:val="TableCaption"/>
        <w:ind w:firstLine="0"/>
      </w:pPr>
      <w:r>
        <w:t>Таблица 5.3 – Параметры устройств ввода-вывода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968"/>
        <w:gridCol w:w="2834"/>
        <w:gridCol w:w="1133"/>
        <w:gridCol w:w="1417"/>
      </w:tblGrid>
      <w:tr>
        <w:trPr>
          <w:cantSplit/>
          <w:tblHeader w:val="true"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Нормативное значение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Факти-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ческое значение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Документ, пункт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наблюдения экрана относительно горизонтальной линии взгляда,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60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50923-96, п. 4.5.2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Яркость знака (фона) плоского экрана, кд/м²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5.1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Угловой размер знака, угл. мин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4.2.2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30 (предельно 35)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0–12 (рекомендуется 5–12)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6.1.4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 между центрами соседних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Ход клавиши,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1,5–6,0 (рекомендуется 2,0–4,0)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Усилие срабатывания клавиши, 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0,25–1,5 (рекомендуется 0,5–0,8)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п. 6.2.3</w:t>
            </w:r>
          </w:p>
        </w:tc>
      </w:tr>
    </w:tbl>
    <w:p>
      <w:pPr>
        <w:spacing w:line="240" w:lineRule="auto"/>
      </w:pPr>
    </w:p>
    <w:p>
      <w:r>
        <w:t>Параметры монитора и клавиатуры соответствуют нормативным требованиям. Усилие срабатывания клавиш (0,3 Н) находится в допустимом диапазоне, но ниже рекомендуемого; при длительном наборе текста целесообразно использовать клавиатуру с усилием срабатывания 0,5–0,8 Н.</w:t>
      </w:r>
    </w:p>
    <w:p>
      <w:pPr>
        <w:pStyle w:val="Heading2"/>
      </w:pPr>
      <w:r>
        <w:t>5.3 Анализ опасных и вредных производственных факторов</w:t>
      </w:r>
    </w:p>
    <w:p>
      <w:r>
        <w:t>В соответствии с ГОСТ 12.0.003-2015 [53] на специалиста при выполнении работы могут воздействовать факторы, приведённые в таблице 5.4.</w:t>
      </w:r>
    </w:p>
    <w:p>
      <w:pPr>
        <w:pStyle w:val="TableCaption"/>
        <w:ind w:firstLine="0"/>
      </w:pPr>
      <w:r>
        <w:t>Таблица 5.4 – Опасные и вредные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288"/>
        <w:gridCol w:w="3231"/>
        <w:gridCol w:w="2834"/>
      </w:tblGrid>
      <w:tr>
        <w:trPr>
          <w:cantSplit/>
          <w:tblHeader w:val="true"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Нормативный документ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вентиляция помещения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12.1.005-88, 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Недостаточная освещённость рабочей зоны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естественного и искусственного освещения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1.2.3685-21, СП 52.13330.2016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Повышенный уровень шума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ПЭВМ, внешние источники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 радиочастотного диапазона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Передатчики стенда (866 МГц, 2,4 ГГц)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Гц; блоки питания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12.1.038-82, ПУЭ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Электрооборудование, литий-ионные аккумуляторы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123-ФЗ, ППР в РФ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Статические нагрузки, зрительное и нервно-эмоциональное напряжение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Длительная работа с ПЭВМ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 2.2.2006-05</w:t>
            </w:r>
          </w:p>
        </w:tc>
      </w:tr>
    </w:tbl>
    <w:p>
      <w:pPr>
        <w:spacing w:line="240" w:lineRule="auto"/>
      </w:pPr>
    </w:p>
    <w:p>
      <w:r>
        <w:t>Химический фактор на рабочем месте отсутствует: пайка при настройке стенда не выполнялась, замена микросхемы флеш-памяти модуля производилась в панели без пайки.</w:t>
      </w:r>
    </w:p>
    <w:p>
      <w:pPr>
        <w:pStyle w:val="Heading2"/>
      </w:pPr>
      <w:r>
        <w:t>5.4 Микроклимат рабочего места</w:t>
      </w:r>
    </w:p>
    <w:p>
      <w:r>
        <w:t>Микроклимат рабочего места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нагрузок, с энерготратами до 139 Вт, поэтому относится к категории Iа. Оптимальные значения показателей для этой категории установлены ГОСТ 12.1.005-88 [54], допустимые — СанПиН 1.2.3685-21 [55]. Помещение отапливается радиатором, расположенным под подоконником, и проветривается через окно.</w:t>
      </w:r>
    </w:p>
    <w:p>
      <w:r>
        <w:t>Нормативные и фактические значения показателей для холодного и тёплого периодов года приведены в таблице 5.5.</w:t>
      </w:r>
    </w:p>
    <w:p>
      <w:pPr>
        <w:pStyle w:val="TableCaption"/>
        <w:ind w:firstLine="0"/>
      </w:pPr>
      <w:r>
        <w:t>Таблица 5.5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фактические показатели микроклимата в холодный и тёплый периоды года находятся в пределах оптимальных значений; условия труда по показателям микроклимата оптимальные (класс 1). Дополнительные мероприятия не требуются.</w:t>
      </w:r>
    </w:p>
    <w:p>
      <w:pPr>
        <w:pStyle w:val="Heading2"/>
      </w:pPr>
      <w:r>
        <w:t>5.5 Освещение рабочего места</w:t>
      </w:r>
    </w:p>
    <w:p>
      <w:r>
        <w:t>Работа с ПЭВМ и мелкими элементами стенда (микросхемы в корпусе SOIC-8, разъёмы шлейфа камеры) требует достаточной освещённости рабочей поверхности при ограничении блёскости и пульсации освещённости. В помещении используется совмещённое освещение: естественное боковое через окно площадью 2,1 м² и искусственное. Общее искусственное освещение создаёт люстра в центре комнаты с 4 светодиодными лампами мощностью по 15 Вт (световой поток 1 200 лм каждая), местное — настольная лампа мощностью 10 Вт (800 лм).</w:t>
      </w:r>
    </w:p>
    <w:p>
      <w:r>
        <w:t>Нормируемые показатели освещения рабочих мест, оборудованных ПЭВМ, установлены СанПиН 1.2.3685-21 [55] и приведены в таблице 5.6.</w:t>
      </w:r>
    </w:p>
    <w:p>
      <w:pPr>
        <w:pStyle w:val="TableCaption"/>
        <w:ind w:firstLine="0"/>
      </w:pPr>
      <w:r>
        <w:t>Таблица 5.6 – Нормируемые показатели освещения рабочего места с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9"/>
        <w:gridCol w:w="3685"/>
      </w:tblGrid>
      <w:tr>
        <w:trPr>
          <w:cantSplit/>
          <w:tblHeader w:val="true"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рабочей поверхности (горизонтальная плоскость на высоте 0,8 м) при общем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300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То же при комбинированном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500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на экране монитора (вертикальная плоскость на высоте 1,2 м),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200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Объединённый показатель дискомфорта UGR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14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Коэффициент пульсации освещённости Кп,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5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Коэффициент естественной освещённости при боковом освещении,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1,2</w:t>
            </w:r>
          </w:p>
        </w:tc>
      </w:tr>
    </w:tbl>
    <w:p>
      <w:pPr>
        <w:spacing w:line="240" w:lineRule="auto"/>
      </w:pPr>
    </w:p>
    <w:p>
      <w:r>
        <w:t>Проверка общего искусственного освещения выполняется методом коэффициента использования светового потока [56, 57]. Расчётная высота подвеса светильника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2,6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св</m:t>
            </m:r>
          </m:sub>
        </m:sSub>
      </m:oMath>
      <w:r>
        <w:t xml:space="preserve"> – свес люстры, 0,2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плоскости,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2,6 − 0,2 − 0,8 = 1,6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 м²;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помещения,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i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13,5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1,6·(4,5 + 3,0)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1,13.</m:t>
        </m:r>
      </m:oMath>
    </w:p>
    <w:p>
      <w:r>
        <w:t>При индексе помещения i ≈ 1,1 и коэффициентах отражения потолка, стен (светлые обои) и пола (паркет) 70, 50 и 30 % коэффициент использования светового потока составляет η = 0,40 [57]. Освещённость рабочей поверхности, создаваемая существующей люстрой: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ламп (светильников);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одной лампы (светильника), лм;</w:t>
      </w:r>
    </w:p>
    <w:p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</m:t>
            </m:r>
          </m:sub>
        </m:sSub>
      </m:oMath>
      <w:r>
        <w:t xml:space="preserve"> – коэффициент запаса для светодиодных источников света в помещении с нормальными условиями среды, 1,25 (коэффициент эксплуатации 0,8) [56];</w:t>
      </w:r>
    </w:p>
    <w:p>
      <m:oMath>
        <m:r>
          <w:rPr>
            <w:rFonts w:ascii="Cambria Math" w:hAnsi="Cambria Math"/>
          </w:rPr>
          <m:t xml:space="preserve">z</m:t>
        </m:r>
      </m:oMath>
      <w:r>
        <w:t xml:space="preserve"> – коэффициент неравномерности освещённости, 1,1;</w:t>
      </w:r>
    </w:p>
    <w:p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 светового потока.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E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4·1 200·0,40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103 лк.</m:t>
        </m:r>
      </m:oMath>
    </w:p>
    <w:p>
      <w:r>
        <w:t>Существующее общее освещение (103 лк) не соответствует норме 300 лк, то есть условия труда по световой среде относятся к классу 3,1 (вредные). Кроме того, открытые лампы люстры не ограничивают блёскость. Поэтому предлагается заменить люстру светодиодными панелями. Необходимый суммарный световой поток светильников общего освещения: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 при общем освещении, 300 лк.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300·13,5·1,25·1,1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13 922 лм.</m:t>
        </m:r>
      </m:oMath>
    </w:p>
    <w:p>
      <w:r>
        <w:t>При использовании накладных светодиодных панелей мощностью 36 Вт со световым потоком 3 600 лм и коэффициентом пульсации менее 5 % 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13 922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3 600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3,87 ≈ 4.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keepNext/>
      </w:pPr>
      <w:r>
        <w:t>Освещённость рабочей поверхности, создаваемая принятым числом светильников, по формуле (5.3):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расч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4·3 600·0,40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310 лк.</m:t>
        </m:r>
      </m:oMath>
    </w:p>
    <w:p>
      <w:r>
        <w:t>Таким образом, 4 светодиодные панели, размещённые равномерно, обеспечивают при общем освещении 310 лк, что не ниже нормы 300 лк; удельная мощность освещения составляет 10,7 Вт/м². У накладных панелей свес равен нулю, поэтому расчётная высота и индекс помещения практически не меняются, а принятое значение η идёт в запас. Норма комбинированного освещения (500 лк) обеспечивается включением настольной лампы над рабочей зоной. После замены светильников условия труда по световой среде становятся допустимыми (класс 2).</w:t>
      </w:r>
    </w:p>
    <w:p>
      <w:r>
        <w:t>Монитор устанавливается экраном перпендикулярно окну, что исключает прямые блики; окно оборудуется жалюзи для ограничения яркости в солнечные дни.</w:t>
      </w:r>
    </w:p>
    <w:p>
      <w:pPr>
        <w:pStyle w:val="Heading2"/>
      </w:pPr>
      <w:r>
        <w:t>5.6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конструирование, проектирование и программирование, нормативный эквивалентный уровень звука составляет 50 дБА [55]. Суммарный уровень шума от нескольких источников определяется энергетическим суммированием: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n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i-го источника, дБА;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источников.</w:t>
      </w:r>
    </w:p>
    <w:p>
      <w:r>
        <w:t>Уровни звука источников шума на рабочем месте приведены в таблице 5.7.</w:t>
      </w:r>
    </w:p>
    <w:p>
      <w:pPr>
        <w:pStyle w:val="TableCaption"/>
        <w:ind w:firstLine="0"/>
      </w:pPr>
      <w:r>
        <w:t>Таблица 5.7 – Уровни звука источников шума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6803"/>
        <w:gridCol w:w="2551"/>
      </w:tblGrid>
      <w:tr>
        <w:trPr>
          <w:cantSplit/>
          <w:tblHeader w:val="true"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Источник шума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звука, дБА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ПЭВМ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22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Принтер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30</w:t>
            </w:r>
          </w:p>
        </w:tc>
      </w:tr>
    </w:tbl>
    <w:p>
      <w:pPr>
        <w:spacing w:line="240" w:lineRule="auto"/>
      </w:pP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10·lg(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2,2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+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3,0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) = 30,6 дБА.</m:t>
        </m:r>
      </m:oMath>
    </w:p>
    <w:p>
      <w:r>
        <w:t>Суммарный уровень шума 30,6 дБА значительно ниже нормативного значения 50 дБА; условия труда по шуму допустимые (класс 2). Платы стенда не имеют вентиляторов и источником шума не являются.</w:t>
      </w:r>
    </w:p>
    <w:p>
      <w:pPr>
        <w:pStyle w:val="Heading2"/>
      </w:pPr>
      <w:r>
        <w:t>5.7 Электромагнитные поля</w:t>
      </w:r>
    </w:p>
    <w:p>
      <w:r>
        <w:t>Источниками электромагнитных полей на рабочем месте являются ПЭВМ и передатчики экспериментального стенда. Современные жидкокристаллические мониторы и ноутбуки не создают значимых электромагнитных полей, поэтому основное внимание уделяется радиочастотному излучению стенда: модуль Wi-Fi HaLow работает на частоте 866 МГц с максимальной мощностью передатчика 20 дБм [58].</w:t>
      </w:r>
    </w:p>
    <w:p>
      <w:pPr>
        <w:keepNext/>
      </w:pPr>
      <w:r>
        <w:t>Длина волны излучения: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λ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c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f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3·10⁸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866·10⁶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0,346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r>
        <w:t>Расстояние от антенны до специалиста R = 0,5 м превышает длину волны, поэтому специалист находится в дальней зоне излучения, где плотность потока энергии (ППЭ)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 (20 дБм);</w:t>
      </w:r>
    </w:p>
    <w:p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2,00 (3,0 дБи);</w:t>
      </w:r>
    </w:p>
    <w:p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антенны,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0,1·2,00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4π·0,5²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0,0635 Вт/м² = 6,35 мкВт/см².</m:t>
        </m:r>
      </m:oMath>
    </w:p>
    <w:p>
      <w:r>
        <w:t>Предельно допустимый уровень ППЭ для работающих определяется допустимой энергетической экспозицией за рабочую смену [55]: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ППЭ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ПДУ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ПДУ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25 мкВт/см²,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ЭЭ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ПДУ</m:t>
            </m:r>
          </m:sub>
        </m:sSub>
      </m:oMath>
      <w:r>
        <w:t xml:space="preserve"> – ПДУ энергетической экспозиции в диапазоне 300 МГц — 300 ГГц, 200 (мкВт/см²)·ч;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 воздействия, 8 ч.</w:t>
      </w:r>
    </w:p>
    <w:p>
      <w:r>
        <w:t>Даже при непрерывной работе передатчика на максимальной мощности ППЭ на рабочем месте (6,35 мкВт/см²) ниже как ПДУ для работающих (25 мкВт/см²), так и более строгого ПДУ для населения (10 мкВт/см²) [55]. Фактически передатчик излучает в импульсном режиме, и средняя ППЭ ещё ниже. Расстояние, на котором ППЭ снижается до ПДУ для населения: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min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P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·</m:t>
                      </m:r>
                      <m:r>
                        <w:rPr>
                          <w:rFonts w:ascii="Cambria Math" w:hAnsi="Cambria Math"/>
                        </w:rPr>
                        <m:t xml:space="preserve">G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4π·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ППЭ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ПДУ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0,40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r>
        <w:t>Для исключения воздействия платы стенда располагаются на расстоянии не менее 0,5 м от специалиста, а при полевых измерениях антенны устанавливаются на штативах вне зоны постоянного пребывания людей. Условия труда по электромагнитным полям допустимые (класс 2).</w:t>
      </w:r>
    </w:p>
    <w:p>
      <w:pPr>
        <w:pStyle w:val="Heading2"/>
      </w:pPr>
      <w:r>
        <w:t>5.8 Электробезопасность</w:t>
      </w:r>
    </w:p>
    <w:p>
      <w:r>
        <w:t>ПЭВМ и зарядные устройства питаются от однофазной сети переменного тока напряжением 220 В частотой 50 Гц. Электропроводка помещения разделена на две группы — освещение и розетки, её проверка проводится один раз в год. По опасности поражения электрическим током помещение относится к помещениям без повышенной опасности (ПУЭ, п. 1.1.13): оно сухое, с нормальной температурой, непроводящим полом (деревянный паркет) и без токопроводящей пыли [59]. Предельно допустимые значения напряжения прикосновения и тока при нормальном (неаварийном) режиме электроустановки для переменного тока 50 Гц составляют 2 В и 0,3 мА [60]. Предельно допустимые значения при аварийном режиме бытовых электроустановок напряжением до 1000 В частотой 50 Гц приведены в таблице 5.8.</w:t>
      </w:r>
    </w:p>
    <w:p>
      <w:pPr>
        <w:pStyle w:val="TableCaption"/>
        <w:ind w:firstLine="0"/>
      </w:pPr>
      <w:r>
        <w:t>Таблица 5.8 – Предельно допустимые значения напряжений прикосновения и токов при аварийном режиме бытовых электроустановок (переменный ток 50 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077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80"/>
      </w:tblGrid>
      <w:tr>
        <w:trPr>
          <w:cantSplit/>
          <w:tblHeader w:val="true"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Продолжи-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тельность воздействия t, с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0,01–0,08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0,1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0,2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0,3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0,4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0,6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0,9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1,0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U, В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I, мА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Платы стенда питаются напряжением 5 В по кабелю USB или от литий-ионного аккумулятора 3,7 В, то есть относятся к цепям сверхнизкого напряжения и опасности поражения током не представляют. Для обеспечения электробезопасности:</w:t>
      </w:r>
    </w:p>
    <w:p>
      <w:r>
        <w:t xml:space="preserve">– </w:t>
      </w:r>
      <w:r>
        <w:t>используются только исправные сетевые кабели и сертифицированные блоки питания;</w:t>
      </w:r>
    </w:p>
    <w:p>
      <w:r>
        <w:t xml:space="preserve">– </w:t>
      </w:r>
      <w:r>
        <w:t>ПЭВМ имеет защитный корпус и изоляцию токоведущих частей и подключается к розетке с защитным заземляющим контактом через сетевой фильтр с функцией защитного отключения;</w:t>
      </w:r>
    </w:p>
    <w:p>
      <w:r>
        <w:t xml:space="preserve">– </w:t>
      </w:r>
      <w:r>
        <w:t>подключение и отключение шлейфа камеры, замена микросхемы флеш-памяти выполняются только при отключённом питании платы;</w:t>
      </w:r>
    </w:p>
    <w:p>
      <w:r>
        <w:t xml:space="preserve">– </w:t>
      </w:r>
      <w:r>
        <w:t>корпуса блоков питания не вскрываются, неисправное оборудование отключается от сети.</w:t>
      </w:r>
    </w:p>
    <w:p>
      <w:pPr>
        <w:pStyle w:val="Heading2"/>
      </w:pPr>
      <w:r>
        <w:t>5.9 Пожарная безопасность</w:t>
      </w:r>
    </w:p>
    <w:p>
      <w:r>
        <w:t>Требования пожарной безопасности установлены Федеральным законом № 123-ФЗ [61] и Правилами противопожарного режима в Российской Федерации [62]. Возможные причины пожара на рабочем месте — короткое замыкание и перегрузка электрической сети, а также тепловой разгон литий-ионных аккумуляторов 18650, используемых для автономного питания плат при полевых измерениях.</w:t>
      </w:r>
    </w:p>
    <w:p>
      <w:r>
        <w:t>Рабочее место расположено в жилой квартире многоквартирного дома, относящегося к классу функциональной пожарной опасности Ф1.3 (ст. 32 Федерального закона № 123-ФЗ [61]). Категорирование помещений по взрывопожарной и пожарной опасности (категории А, Б, В1–В4, Г, Д) установлено для помещений производственного и складского назначения [63] и к жилому помещению не применяется. Горючие материалы в помещении — мебель из древесины и ДСП, бумага, пластиковые корпуса оборудования; легковоспламеняющиеся и горючие жидкости, горючие газы и пыли отсутствуют.</w:t>
      </w:r>
    </w:p>
    <w:p>
      <w:r>
        <w:t>Для предотвращения пожара:</w:t>
      </w:r>
    </w:p>
    <w:p>
      <w:r>
        <w:t xml:space="preserve">– </w:t>
      </w:r>
      <w:r>
        <w:t>аккумуляторы заряжаются только штатным зарядным устройством, под присмотром, на негорючей поверхности; повреждённые, вздутые и перегревающиеся аккумуляторы не используются;</w:t>
      </w:r>
    </w:p>
    <w:p>
      <w:r>
        <w:t xml:space="preserve">– </w:t>
      </w:r>
      <w:r>
        <w:t>аккумуляторы хранятся и перевозятся в несгораемом контейнере, с частичным зарядом, с изолированными выводами;</w:t>
      </w:r>
    </w:p>
    <w:p>
      <w:r>
        <w:t xml:space="preserve">– </w:t>
      </w:r>
      <w:r>
        <w:t>не допускается подключение к одной розетке нескольких мощных потребителей и эксплуатация кабелей с повреждённой изоляцией;</w:t>
      </w:r>
    </w:p>
    <w:p>
      <w:r>
        <w:t xml:space="preserve">– </w:t>
      </w:r>
      <w:r>
        <w:t>в помещении установлен углекислотный огнетушитель ОУ-3, пригодный для тушения электрооборудования под напряжением до 1000 В [64].</w:t>
      </w:r>
    </w:p>
    <w:p>
      <w:r>
        <w:t>Подъезд жилого дома оборудован планами эвакуации, огнетушителями ОУ-5 и указателями пути к пожарной лестнице; специалист ознакомлен с правилами пожарной безопасности. При возгорании необходимо обесточить оборудование, сообщить о пожаре по телефону 101 (112), приступить к тушению огнетушителем и при необходимости эвакуироваться по плану эвакуации.</w:t>
      </w:r>
    </w:p>
    <w:p>
      <w:pPr>
        <w:pStyle w:val="Heading2"/>
      </w:pPr>
      <w:r>
        <w:t>5.10 Тяжесть и напряжённость трудового процесса</w:t>
      </w:r>
    </w:p>
    <w:p>
      <w:r>
        <w:t>Психофизиологические факторы трудового процесса характеризуются его тяжестью (физическая нагрузка) и напряжённостью (нагрузка на центральную нервную систему, органы чувств и эмоциональную сферу). Классы условий труда по этим показателям определяются по Р 2.2.2006-05 [65].</w:t>
      </w:r>
    </w:p>
    <w:p>
      <w:r>
        <w:t>Работа выполняется преимущественно сидя, физическая нагрузка возникает лишь при переносе стенда на полевую площадку. Оценка тяжести приведена в таблице 5.9; итоговый класс устанавливается по показателю, отнесённому к наибольшему классу.</w:t>
      </w:r>
    </w:p>
    <w:p>
      <w:pPr>
        <w:pStyle w:val="TableCaption"/>
        <w:ind w:firstLine="0"/>
      </w:pPr>
      <w:r>
        <w:t>Таблица 5.9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Отсутствует; перенос стенда при выездах на площадку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(стенд, штативы)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20 000 за смену (клавиатура, мышь)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50 за смену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4 км за смену по горизонтали (полевые измерения)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трудового процесса оценивается по 23 показателям; учитываются все показатели, по каждому определяется свой класс [65]. Результаты оценки приведены в таблице 5.10.</w:t>
      </w:r>
    </w:p>
    <w:p>
      <w:pPr>
        <w:pStyle w:val="TableCaption"/>
        <w:ind w:firstLine="0"/>
      </w:pPr>
      <w:r>
        <w:t>Таблица 5.10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планирование эксперимента, анализ и интерпретация результатов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3,2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теоретическими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3,1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экране, выводы микросхем)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3,1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100–90 %, помехи 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 (заданий),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По методике оценки напряжённости трудового процесса условия труда признаются допустимыми (класс 2), если 6 и более показателей отнесены ко 2 классу, а остальные — к 1 классу, либо если от 1 до 5 показателей отнесены к классам 3.1 и (или) 3.2, а остальные имеют оценку 1 и (или) 2 класса [65]. В данном случае 3 показателя отнесены к вредному классу: содержание работы (творческая деятельность, характерная для научных работников), оценка сигналов (сопоставление измеренных параметров с теоретическими) и продолжительность работы с экраном. Следовательно, напряжённость трудового процесса соответствует классу 2 (допустимый).</w:t>
      </w:r>
    </w:p>
    <w:p>
      <w:r>
        <w:t>Для снижения утомления через каждый час работы с ПЭВМ делаются перерывы продолжительностью 10–15 мин с выполнением упражнений для глаз и разминки, а работа с экраном чередуется с работой со стендом.</w:t>
      </w:r>
    </w:p>
    <w:p>
      <w:pPr>
        <w:pStyle w:val="Heading2"/>
      </w:pPr>
      <w:r>
        <w:t>5.11 Безопасность при полевых измерениях</w:t>
      </w:r>
    </w:p>
    <w:p>
      <w:r>
        <w:t>Измерения на дистанции выполняются на открытой площадке в октябре — ноябре двумя исполнителями, находящимися у передающего и приёмного пунктов. При работе на открытой территории в холодный период года соблюдается режим работы с перерывами на обогрев [66], используется одежда по погоде. Измерения не проводятся во время грозы; штативы с антеннами устанавливаются вне проезжей части и пешеходных путей. Исполнители поддерживают связь по мобильному телефону и имеют при себе аптечку первой помощи.</w:t>
      </w:r>
    </w:p>
    <w:p>
      <w:pPr>
        <w:pStyle w:val="Heading2"/>
      </w:pPr>
      <w:r>
        <w:t>5.12 Охрана окружающей среды</w:t>
      </w:r>
    </w:p>
    <w:p>
      <w:r>
        <w:t>Выполнение работы не сопровождается выбросами загрязняющих веществ. Воздействие на окружающую среду связано с потреблением электроэнергии, радиоизлучением стенда и образованием отходов электронного оборудования.</w:t>
      </w:r>
    </w:p>
    <w:p>
      <w:r>
        <w:t xml:space="preserve">– </w:t>
      </w:r>
      <w:r>
        <w:t>ППЭ излучения стенда уже на расстоянии 0,4 м от антенны не превышает ПДУ для населения, поэтому воздействие на окружающих отсутствует.</w:t>
      </w:r>
    </w:p>
    <w:p>
      <w:r>
        <w:t xml:space="preserve">– </w:t>
      </w:r>
      <w:r>
        <w:t>Отработавшие литий-ионные аккумуляторы и вышедшие из строя электронные компоненты запрещается выбрасывать вместе с бытовыми отходами: они содержат полезные компоненты, захоронение которых запрещено [67, 68], и передаются в специализированные пункты приёма на утилизацию.</w:t>
      </w:r>
    </w:p>
    <w:p>
      <w:r>
        <w:t xml:space="preserve">– </w:t>
      </w:r>
      <w:r>
        <w:t>Потребление электроэнергии снижается за счёт светодиодного освещения и перевода ПЭВМ в режим энергосбережения при перерывах в работе.</w:t>
      </w:r>
    </w:p>
    <w:p>
      <w:pPr>
        <w:pStyle w:val="Heading2"/>
      </w:pPr>
      <w:r>
        <w:t>5.13 Класс условий труда</w:t>
      </w:r>
    </w:p>
    <w:p>
      <w:r>
        <w:t>Классы условий труда установлены Федеральным законом № 426-ФЗ [69]; оценка по отдельным факторам и итоговый класс определяются по Методике проведения специальной оценки условий труда [70]: итоговый класс равен наивысшему из классов по отдельным факторам. Результаты оценки приведены в таблице 5.11.</w:t>
      </w:r>
    </w:p>
    <w:p>
      <w:pPr>
        <w:pStyle w:val="TableCaption"/>
        <w:ind w:firstLine="0"/>
      </w:pPr>
      <w:r>
        <w:t>Таблица 5.11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381"/>
        <w:gridCol w:w="2324"/>
        <w:gridCol w:w="1700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 условий труда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 / скорость воздуха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 / 0,1 м/с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/ ≤ 0,1 м/с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 лк (люстра);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310 лк (после замены)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300 лк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3,1 → 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30,6 дБА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ЭМП 300 МГц — 300 ГГц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6,35 мкВт/см²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25 мкВт/см²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Классы 1 / 2 / 3: 14 / 6 / 3 показателей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3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 после замены светильников общего освещения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 (допустимый)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5.14 Выводы</w:t>
      </w:r>
    </w:p>
    <w:p>
      <w:r>
        <w:t>В разделе проанализированы условия труда специалиста при исследовании эффективности применения технологии Wi-Fi HaLow и проверено их соответствие действующим нормативным документам. По результатам анализа:</w:t>
      </w:r>
    </w:p>
    <w:p>
      <w:r>
        <w:t xml:space="preserve">– </w:t>
      </w:r>
      <w:r>
        <w:t>показатели микроклимата в холодный и тёплый периоды года находятся в пределах оптимальных значений для категории работ Iа;</w:t>
      </w:r>
    </w:p>
    <w:p>
      <w:r>
        <w:t xml:space="preserve">– </w:t>
      </w:r>
      <w:r>
        <w:t>существующая люстра (4 × 1 200 лм) создаёт на рабочей поверхности 103 лк при норме 300 лк; расчёт по методу коэффициента использования светового потока показал, что 4 светодиодные панели по 3 600 лм обеспечивают 310 лк, а с настольной лампой — норму комбинированного освещения;</w:t>
      </w:r>
    </w:p>
    <w:p>
      <w:r>
        <w:t xml:space="preserve">– </w:t>
      </w:r>
      <w:r>
        <w:t>уровень шума (30,6 дБА) и плотность потока энергии излучения стенда (6,35 мкВт/см² на расстоянии 0,5 м) ниже предельно допустимых значений;</w:t>
      </w:r>
    </w:p>
    <w:p>
      <w:r>
        <w:t xml:space="preserve">– </w:t>
      </w:r>
      <w:r>
        <w:t>параметры рабочего места, монитора и клавиатуры соответствуют ГОСТ Р 50923-96, ГОСТ Р 50948-2001 и ГОСТ Р ИСО 9241-4-2009;</w:t>
      </w:r>
    </w:p>
    <w:p>
      <w:r>
        <w:t xml:space="preserve">– </w:t>
      </w:r>
      <w:r>
        <w:t>мероприятия по электро- и пожарной безопасности, включая порядок обращения с литий-ионными аккумуляторами, обеспечивают безопасность работы со стендом;</w:t>
      </w:r>
    </w:p>
    <w:p>
      <w:r>
        <w:t xml:space="preserve">– </w:t>
      </w:r>
      <w:r>
        <w:t>тяжесть трудового процесса соответствует классу 2; по напряжённости 3 из 23 показателей отнесены к вредному классу, что по методике Р 2.2.2006-05 соответствует классу 2 (допустимый);</w:t>
      </w:r>
    </w:p>
    <w:p>
      <w:r>
        <w:t xml:space="preserve">– </w:t>
      </w:r>
      <w:r>
        <w:t>итоговый класс условий труда специалиста после замены светильников общего освещения — 2 (допустимый).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