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50 кбит/с [4] — этого достаточно для телеметрии, но не для видео. Сети Wi-Fi стандарта IEEE 802.11 в диапазонах 2,4 и 5 ГГц дают десятки мегабит в секунду [5], однако на расстояниях в сотни метров и за препятствиями связь теряется.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[6, 7]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 с передачей IP-трафика и скоростью, достаточной для видео. Wi-Fi HaLow — единственная нелицензируемая технология диапазона ниже 1 ГГц,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[8, 9], а натурных измерений на серийном оборудовании немного [10].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диапазона 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91 с., 8 рис., 33 табл., 70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[11]. Расширение спектра даёт высокую чувствительность приёмника и дальность в километры, но ценой скорости: от 0,3 до 50 кбит/с [4]. Видео по такому каналу не передать.</w:t>
      </w:r>
    </w:p>
    <w:p>
      <w:r>
        <w:t>Видео традиционно передаётся отдельным аналоговым передатчиком диапазона 5,8 ГГц. Такой канал не контролирует ошибки, не переносит IP-трафик и быстро теряет сигнал за препятствиями: на частоте 5,8 ГГц потери растут, а огибание препятствий слабое [12].</w:t>
      </w:r>
    </w:p>
    <w:p>
      <w:r>
        <w:t>Сети Wi-Fi стандартов IEEE 802.11n/ac/ax дают десятки и сотни мегабит в секунду [5], но рассчитаны на расстояния в десятки метров. С серийными антеннами связь на открытой местности сохраняется на сотнях метров, а за препятствиями — много меньше.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[13]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[9, 14].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[15].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[12].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[16]. Для БПЛА, работающих над лесом, за рельефом и строениями, это главное преимущество диапазона 868 МГц.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[14]. В каналах 1–2 МГц, которые помещаются в разрешённые полосы диапазона 868 МГц, скорость одного потока по стандарту — от 0,15 до 7,8 Мбит/с (таблица 2.1) [17];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[18]. LoRa в канале 125 кГц даёт от 293 до 5468 бит/с в зависимости от коэффициента расширения спектра [19], а наибольшая скорость приёмопередатчиков SX127x — 37,5 кбит/с [20]: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[15];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[19].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[9, 14]. Радиомодуль TX-AH потребляет при передаче на +20 дБм 300 мА, при приёме 55–100 мА [15];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[23]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[24]: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[23]. 25 мВт ЭИМ соответствуют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Ток передачи / приёма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[14].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диапазоне 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[13]: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[12]: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r>
        <w:t>потери растут не на 20, а на 40 дБ на декаду расстояния [12]. Для антенн на высоте 1,5 м над землёй излом наступает уже на 26 м. Если одна антенна поднята на борту БПЛА на 50 м, излом отодвигается до 868 м, на 100 м — до 1 735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r>
        <w:t xml:space="preserve">Реальные скорости Wi-Fi HaLow задаются схемами модуляции и кодирования (MCS) стандарта [6].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−85…−88 дБм у приёмника, около −60 дБм у платы с камерой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платы: шина камеры, PSRAM, тактовый сигнал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[12]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[12],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дБм: шина камеры, память PSRAM и тактовый сигнал камеры шумят в сантиметрах от антенны.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настоящие и возникают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видеокадров в полёте очередь копилась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рвётся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[15],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[15, 27], пропускная способность Wi-Fi ESP32-S3 по данным производителя — в лаборатории и в экранированной камере [18];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Честная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Доверительный интервал среднего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r>
        <w:t>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 раз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режет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дБм): шина DVP, память PSRAM и тактовый сигнал камеры электрически шумят. Приёмник со своим низким порогом считал канал занятым почти всегда, копил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тишины входа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[23, 24],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Модуль разделяет две ширины: полосу приёма (параметр BSS_BW) и полосу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модуль выпускал в эфир на треть меньше байтов, чем получал.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байт)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его таймеру тишины,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кадр, превышают допустимый размер и отбрасываются. 29.09 таймер тишины уменьшен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сырой поток равен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упёрлась в сенсор, и это открыло разрешение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Подача в модуль ни в одном опыте не поднималась выше около 1 Мбит/с при пределе интерфейса около 1,65 Мбит/с с паузой 2 мс (29.09). Процессор модуля под видеопотоком простаивает 92–93 % времени (07.10), поэтому приём UART через прямой доступ к памяти и скорость 4,8 Мбод проверены и отвергнуты. Упор —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настоящие: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сигнале; вероятная причина — помехи платы с камерой (фон −60 дБм против −87 дБм у приёмника). Это и задаёт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кадры «всем» модуль отдавал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держит в полёте не более W неподтверждённых видеокадров, а устаревшие кадры в очереди выбрасывает.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Прибитая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программой самопроверки (19 проверок из 19).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ходило «пилой» с периодом 30–60 с: росло, пока задержка мала, на высоком качестве в модуле копилась очередь, качество падало — и снова росло. Инерция запоминает качество, на котором канал захлебнулся, и 30–120 с не поднимается до него, вверх идёт шагами по 5 и снимает запрет досрочно на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режет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упёрлась в 14 дБм.</w:t>
      </w:r>
    </w:p>
    <w:p>
      <w:r>
        <w:rPr>
          <w:b/>
        </w:rPr>
        <w:t xml:space="preserve">Смена разрешения на ходу.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спуск сам не включался — канал не давал повода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дала +48 % скорости и вдвое меньше потерь,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(потери первых передач настоящие, выигрыш съедается избыточностью), прибитая MCS 7 (быстрее вблизи, но рвёт связь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прибитые 14 дБм (искажения почти в каждом видеокадре) и коридор регулятора 25–35 дБ (вблизи мощность застревала на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его не завышают, а разбавляют (по всем кадрам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Выгрузка сырых видеокадров показала,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стол,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рождается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не улучшились (0,83 и 0,25 %);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прибитых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2 000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[15].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Расчёт показывает три вещи. Первая: в свободном пространстве граница связи Wi-Fi HaLow в канале 2 МГц — от 0,98 км на MCS 7 до 4,90 км на MCS 0. Вторая: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Третья: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[15].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1 200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съедается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[16].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[12]. Скорость Wi-Fi 2,4 ГГц выше на порядок: ESP32-S3 передаёт в эфире 20–30 Мбит/с [18], а модуль ESP32-CAM (процессор ESP32, камера OV2640) передаёт по Wi-Fi видео 480 × 320 с частотой 20,9 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[19];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[19], ниже полученной полезной скорости Wi-Fi HaLow в 190–3600 раз, а время передачи одного пакета — от 0,39 до 31 мс в режимах ExpressLRS [38] и до 2,2 с на 20 байт при SF12 [20].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[16]: бетонная стена ослабляет сигнал 867 МГц на 8,5 дБ, 2,44 ГГц — на 14,8 дБ, 5,5 ГГц — на 27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[15]; расчёт при 14 дБм: 0,98–4,9 км в своб. простр. (табл. 3.9)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[19];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[15]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[19]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[20]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[19];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[19]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[15]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[16]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[16]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дала +48 % скорости и вдвое меньше потерь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поднимают фон приёмника камеры до −60 дБм и являются вероятной причиной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видеокадров в полёте — это ограничивает задержку и даёт её прямой замер;</w:t>
      </w:r>
    </w:p>
    <w:p>
      <w:r>
        <w:t>4) ограничивать модуляцию повторов снизу по уровню сигнала, а не прибивать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 Р. П. Беспилотные авиационные системы. – М. : Стратегические приоритеты, 2016. – 676 с.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 // КонсультантПлюс.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 // Правительство России. – URL: http://government.ru/docs/49544/ (дата обращения: 27.09.2026).</w:t>
      </w:r>
    </w:p>
    <w:p>
      <w:pPr>
        <w:ind w:firstLine="0"/>
        <w:jc w:val="left"/>
      </w:pPr>
      <w:r>
        <w:t>4. Augustin A., Yi J., Clausen T., Townsley W. M. A Study of LoRa: Long Range &amp; Low Power Networks for the Internet of Things // Sensors. – 2016. – Vol. 16, no. 9. – Art. 1466. – DOI: 10.3390/s16091466.</w:t>
      </w:r>
    </w:p>
    <w:p>
      <w:pPr>
        <w:ind w:firstLine="0"/>
        <w:jc w:val="left"/>
      </w:pPr>
      <w:r>
        <w:t>5. Смирнова Е. В., Пролетарский А. В. [и др.] Технологии современных беспроводных сетей Wi-Fi : учебное пособие. – М. : Изд-во МГТУ им. Н. Э. Баумана, 2017. – 446 с.</w:t>
      </w:r>
    </w:p>
    <w:p>
      <w:pPr>
        <w:ind w:firstLine="0"/>
        <w:jc w:val="left"/>
      </w:pPr>
      <w:r>
        <w:t>6.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IEEE, 2017.</w:t>
      </w:r>
    </w:p>
    <w:p>
      <w:pPr>
        <w:ind w:firstLine="0"/>
        <w:jc w:val="left"/>
      </w:pPr>
      <w:r>
        <w:t>7. Wi-Fi HaLow // Wi-Fi Alliance. – URL: https://www.wi-fi.org/discover-wi-fi/wi-fi-halow (дата обращения: 24.09.2026).</w:t>
      </w:r>
    </w:p>
    <w:p>
      <w:pPr>
        <w:ind w:firstLine="0"/>
        <w:jc w:val="left"/>
      </w:pPr>
      <w:r>
        <w:t>8. Tian L., Santi S., Seferagić A., Lan J., Famaey J. Wi-Fi HaLow for the Internet of Things: An up-to-date survey on IEEE 802.11ah research // Journal of Network and Computer Applications. – 2021. – Vol. 182. – Art. 103036.</w:t>
      </w:r>
    </w:p>
    <w:p>
      <w:pPr>
        <w:ind w:firstLine="0"/>
        <w:jc w:val="left"/>
      </w:pPr>
      <w:r>
        <w:t>9. Khorov E., Lyakhov A., Krotov A., Guschin A. A survey on IEEE 802.11ah: An enabling networking technology for smart cities // Computer Communications. – 2015. – Vol. 58. – P. 53–69.</w:t>
      </w:r>
    </w:p>
    <w:p>
      <w:pPr>
        <w:ind w:firstLine="0"/>
        <w:jc w:val="left"/>
      </w:pPr>
      <w:r>
        <w:t>10. Chounos K., Kyriakou K., Korakis T. Scalability and Performance Evaluation of IEEE 802.11ah IoT Deployments: A Testbed Approach. – 2025. – arXiv:2508.03146. – URL: https://arxiv.org/abs/2508.03146 (дата обращения: 27.09.2026).</w:t>
      </w:r>
    </w:p>
    <w:p>
      <w:pPr>
        <w:ind w:firstLine="0"/>
        <w:jc w:val="left"/>
      </w:pPr>
      <w:r>
        <w:t>11. ExpressLRS: open source radio link for RC applications // ExpressLRS. – URL: https://www.expresslrs.org (дата обращения: 27.09.2026).</w:t>
      </w:r>
    </w:p>
    <w:p>
      <w:pPr>
        <w:ind w:firstLine="0"/>
        <w:jc w:val="left"/>
      </w:pPr>
      <w:r>
        <w:t>12. Rappaport T. S. Wireless Communications: Principles and Practice. – 2nd ed. – Upper Saddle River : Prentice Hall, 2002.</w:t>
      </w:r>
    </w:p>
    <w:p>
      <w:pPr>
        <w:ind w:firstLine="0"/>
        <w:jc w:val="left"/>
      </w:pPr>
      <w:r>
        <w:t>13. Friis H. T. A Note on a Simple Transmission Formula // Proceedings of the IRE. – 1946. – Vol. 34, no. 5. – P. 254–256.</w:t>
      </w:r>
    </w:p>
    <w:p>
      <w:pPr>
        <w:ind w:firstLine="0"/>
        <w:jc w:val="left"/>
      </w:pPr>
      <w:r>
        <w:t>14. Adame T., Bel A., Bellalta B., Barcelo J., Oliver M. IEEE 802.11AH: the WiFi approach for M2M communications // IEEE Wireless Communications. – 2014. – Vol. 21, no. 6. – P. 144–152. – DOI: 10.1109/MWC.2014.7000982.</w:t>
      </w:r>
    </w:p>
    <w:p>
      <w:pPr>
        <w:ind w:firstLine="0"/>
        <w:jc w:val="left"/>
      </w:pPr>
      <w:r>
        <w:t>15. Технические характеристики модулей серии TX-AH-Rx00P [泰芯 802.11ah TX-AH-Rx00P 系列模组技术规格书]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16. Sionna : src/sionna/phy/channel/tr38901/lsp.py (модель потерь проникновения 3GPP TR 38.901, п. 7.4.3.1) / NVIDIA (NVlabs). – Текст : электронный // GitHub. – URL: https://github.com/NVlabs/sionna (дата обращения: 08.10.2026).</w:t>
      </w:r>
    </w:p>
    <w:p>
      <w:pPr>
        <w:ind w:firstLine="0"/>
        <w:jc w:val="left"/>
      </w:pPr>
      <w:r>
        <w:t>17. Linux kernel source tree : net/wireless/util.c, функция cfg80211_calculate_bitrate_s1g / L. Torvalds [и др.]. – Текст : электронный // GitHub. – URL: https://github.com/torvalds/linux/blob/master/net/wireless/util.c (дата обращения: 08.10.2026).</w:t>
      </w:r>
    </w:p>
    <w:p>
      <w:pPr>
        <w:ind w:firstLine="0"/>
        <w:jc w:val="left"/>
      </w:pPr>
      <w:r>
        <w:t>18.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19.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20. Robinson S. SX12XX-LoRa : What is LoRa ; ReadMe. – Текст : электронный // GitHub. – URL: https://github.com/StuartsProjects/SX12XX-LoRa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 M., Boano C. A., Römer K. An Experimental Evaluation of the Reliability of LoRa Long-Range Low-Power Wireless Communication // Journal of Sensor and Actuator Networks. – 2017. – Vol. 6, № 2. – Art. 7. – DOI: 10.3390/jsan6020007.</w:t>
      </w:r>
    </w:p>
    <w:p>
      <w:pPr>
        <w:ind w:firstLine="0"/>
        <w:jc w:val="left"/>
      </w:pPr>
      <w:r>
        <w:t>23.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электронный. – URL: https://base.garant.ru/192210/ (дата обращения: 08.10.2026).</w:t>
      </w:r>
    </w:p>
    <w:p>
      <w:pPr>
        <w:ind w:firstLine="0"/>
        <w:jc w:val="left"/>
      </w:pPr>
      <w:r>
        <w:t>24.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электронный. – URL: https://base.garant.ru/72061772/ (дата обращения: 08.10.2026).</w:t>
      </w:r>
    </w:p>
    <w:p>
      <w:pPr>
        <w:ind w:firstLine="0"/>
        <w:jc w:val="left"/>
      </w:pPr>
      <w:r>
        <w:t>25. Shannon C. E. A Mathematical Theory of Communication // Bell System Technical Journal. – 1948. – Vol. 27, no. 3. – P. 379–423.</w:t>
      </w:r>
    </w:p>
    <w:p>
      <w:pPr>
        <w:ind w:firstLine="0"/>
        <w:jc w:val="left"/>
      </w:pPr>
      <w:r>
        <w:t>26. Aust S., Ito T. Sub 1GHz wireless LAN propagation path loss models for urban smart grid applications // 2012 International Conference on Computing, Networking and Communications (ICNC). – Maui : IEEE, 2012. – P. 116–120. – DOI: 10.1109/ICCNC.2012.6167392.</w:t>
      </w:r>
    </w:p>
    <w:p>
      <w:pPr>
        <w:ind w:firstLine="0"/>
        <w:jc w:val="left"/>
      </w:pPr>
      <w:r>
        <w:t>27. Руководство по использованию моста AH [泰芯 AH 网桥使用说明]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 // AliExpress.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 // Rokland.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 // NEWRACOM.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 // NEWRACOM.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– 802.11 Wi-Fi HaLow IoT Development Board // ЧИП и ДИП. – URL: https://chipdip.ru/product0/8040419288 (дата обращения: 24.09.2026).</w:t>
      </w:r>
    </w:p>
    <w:p>
      <w:pPr>
        <w:ind w:firstLine="0"/>
        <w:jc w:val="left"/>
      </w:pPr>
      <w:r>
        <w:t>33. LilyGO T-Halow: исходные тексты, схема платы, комплект разработки модуля TX-AH // GitHub. – URL: https://github.com/Xinyuan-LilyGO/T-Halow (дата обращения: 27.09.2026).</w:t>
      </w:r>
    </w:p>
    <w:p>
      <w:pPr>
        <w:ind w:firstLine="0"/>
        <w:jc w:val="left"/>
      </w:pPr>
      <w:r>
        <w:t>34. ESP-IDF: Espressif IoT Development Framework, ветка 4.4, файл components/soc/esp32s3/include/soc/soc_caps.h // GitHub.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Панагушин В. П., Ковалева Т. С., Малютина О. А., Михайловская Н. М., Прозорова В. С., Чайка Н. К. Экономическое обоснование дипломных проектов (работ) по приборо- и радиоприборостроению: методические указания / под ред. В. П. Панагушина. – 6-е изд., испр. и доп. – М.: ИВАКО Аналитик, 2008. – 44 с.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 // hh.ru.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 (часть вторая) от 05.08.2000 № 117-ФЗ. Глава 23 «Налог на доходы физических лиц», глава 34 «Страховые взносы».</w:t>
      </w:r>
    </w:p>
    <w:p>
      <w:pPr>
        <w:ind w:firstLine="0"/>
        <w:jc w:val="left"/>
      </w:pPr>
      <w:r>
        <w:t>42. Производственный календарь на 2026 год // КонсультантПлюс.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году: размер и тарифы // Контур.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 // Банк России.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 // ЧИП и ДИП. – URL: https://www.chipdip.ru/product/w25q32jvssiq ; Программаторы CH341A // Яндекс Маркет. – URL: https://market.yandex.ru/category/programmatory-ch341a (дата обращения: 24.09.2026).</w:t>
      </w:r>
    </w:p>
    <w:p>
      <w:pPr>
        <w:ind w:firstLine="0"/>
        <w:jc w:val="left"/>
      </w:pPr>
      <w:r>
        <w:t>46. Тарифы на электроэнергию в Москве в 2026 году // Т—Ж. – URL: https://t-j.ru/msk-electroprices/ (дата обращения: 24.09.2026).</w:t>
      </w:r>
    </w:p>
    <w:p>
      <w:pPr>
        <w:ind w:firstLine="0"/>
        <w:jc w:val="left"/>
      </w:pPr>
      <w:r>
        <w:t>47. О Классификации основных средств, включаемых в амортизационные группы: постановление Правительства РФ от 01.01.2002 № 1 (ред. действ.).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труда: утв. постановлением Главного государственного санитарного врача РФ от 02.12.2020 № 40.</w:t>
      </w:r>
    </w:p>
    <w:p>
      <w:pPr>
        <w:ind w:firstLine="0"/>
        <w:jc w:val="left"/>
      </w:pPr>
      <w:r>
        <w:t>49. ГОСТ 12.2.032-78. Система стандартов безопасности труда. Рабочее место при выполнении работ сидя. Общие эргономические требования.</w:t>
      </w:r>
    </w:p>
    <w:p>
      <w:pPr>
        <w:ind w:firstLine="0"/>
        <w:jc w:val="left"/>
      </w:pPr>
      <w:r>
        <w:t>50. ГОСТ Р 50923-96. Дисплеи. Рабочее место оператора. Общие эргономические требования и требования к производственной среде. Методы измерения.</w:t>
      </w:r>
    </w:p>
    <w:p>
      <w:pPr>
        <w:ind w:firstLine="0"/>
        <w:jc w:val="left"/>
      </w:pPr>
      <w:r>
        <w:t>51. ГОСТ Р 50948-2001. Средства отображения информации индивидуального пользования. Общие эргономические требования и требования безопасности.</w:t>
      </w:r>
    </w:p>
    <w:p>
      <w:pPr>
        <w:ind w:firstLine="0"/>
        <w:jc w:val="left"/>
      </w:pPr>
      <w:r>
        <w:t>52.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клавиатуре.</w:t>
      </w:r>
    </w:p>
    <w:p>
      <w:pPr>
        <w:ind w:firstLine="0"/>
        <w:jc w:val="left"/>
      </w:pPr>
      <w:r>
        <w:t>53. ГОСТ 12.0.003-2015. Система стандартов безопасности труда. Опасные и вредные производственные факторы. Классификация.</w:t>
      </w:r>
    </w:p>
    <w:p>
      <w:pPr>
        <w:ind w:firstLine="0"/>
        <w:jc w:val="left"/>
      </w:pPr>
      <w:r>
        <w:t>54. ГОСТ 12.1.005-88. Система стандартов безопасности труда. Общие санитарно-гигиенические требования к воздуху рабочей зоны.</w:t>
      </w:r>
    </w:p>
    <w:p>
      <w:pPr>
        <w:ind w:firstLine="0"/>
        <w:jc w:val="left"/>
      </w:pPr>
      <w:r>
        <w:t>55. СанПиН 1.2.3685-21. Гигиенические нормативы и требования к обеспечению безопасности и (или) безвредности для человека факторов среды обитания: утв. постановлением Главного государственного санитарного врача РФ от 28.01.2021 № 2 (ред. от 24.12.2025).</w:t>
      </w:r>
    </w:p>
    <w:p>
      <w:pPr>
        <w:ind w:firstLine="0"/>
        <w:jc w:val="left"/>
      </w:pPr>
      <w:r>
        <w:t>56. СП 52.13330.2016. Естественное и искусственное освещение. Актуализированная редакция СНиП 23-05-95*.</w:t>
      </w:r>
    </w:p>
    <w:p>
      <w:pPr>
        <w:ind w:firstLine="0"/>
        <w:jc w:val="left"/>
      </w:pPr>
      <w:r>
        <w:t>57. Кнорринг Г. М., Фадин И. М., Сидоров В. Н. Справочная книга для проектирования электрического освещения. – 2-е изд., перераб. и доп. – СПб.: Энергоатомиздат, 1992. – 448 с.</w:t>
      </w:r>
    </w:p>
    <w:p>
      <w:pPr>
        <w:ind w:firstLine="0"/>
        <w:jc w:val="left"/>
      </w:pPr>
      <w:r>
        <w:t>58. T-Halow: AT command set // Xinyuan-LilyGO, GitHub. – URL: https://github.com/Xinyuan-LilyGO/T-Halow (дата обращения: 24.09.2026).</w:t>
      </w:r>
    </w:p>
    <w:p>
      <w:pPr>
        <w:ind w:firstLine="0"/>
        <w:jc w:val="left"/>
      </w:pPr>
      <w:r>
        <w:t>59. Правила устройства электроустановок. – 7-е изд. – Гл. 1.1.</w:t>
      </w:r>
    </w:p>
    <w:p>
      <w:pPr>
        <w:ind w:firstLine="0"/>
        <w:jc w:val="left"/>
      </w:pPr>
      <w:r>
        <w:t>60. ГОСТ 12.1.038-82. Система стандартов безопасности труда. Электробезопасность. Предельно допустимые значения напряжений прикосновения и токов.</w:t>
      </w:r>
    </w:p>
    <w:p>
      <w:pPr>
        <w:ind w:firstLine="0"/>
        <w:jc w:val="left"/>
      </w:pPr>
      <w:r>
        <w:t>61. Технический регламент о требованиях пожарной безопасности: Федеральный закон от 22.07.2008 № 123-ФЗ.</w:t>
      </w:r>
    </w:p>
    <w:p>
      <w:pPr>
        <w:ind w:firstLine="0"/>
        <w:jc w:val="left"/>
      </w:pPr>
      <w:r>
        <w:t>62. Об утверждении Правил противопожарного режима в Российской Федерации: постановление Правительства РФ от 16.09.2020 № 1479.</w:t>
      </w:r>
    </w:p>
    <w:p>
      <w:pPr>
        <w:ind w:firstLine="0"/>
        <w:jc w:val="left"/>
      </w:pPr>
      <w:r>
        <w:t>63. СП 12.13130.2009. Определение категорий помещений, зданий и наружных установок по взрывопожарной и пожарной опасности.</w:t>
      </w:r>
    </w:p>
    <w:p>
      <w:pPr>
        <w:ind w:firstLine="0"/>
        <w:jc w:val="left"/>
      </w:pPr>
      <w:r>
        <w:t>64. СП 9.13130.2009. Техника пожарная. Огнетушители. Требования к эксплуатации.</w:t>
      </w:r>
    </w:p>
    <w:p>
      <w:pPr>
        <w:ind w:firstLine="0"/>
        <w:jc w:val="left"/>
      </w:pPr>
      <w:r>
        <w:t>65. Р 2.2.2006-05. Руководство по гигиенической оценке факторов рабочей среды и трудового процесса. Критерии и классификация условий труда.</w:t>
      </w:r>
    </w:p>
    <w:p>
      <w:pPr>
        <w:ind w:firstLine="0"/>
        <w:jc w:val="left"/>
      </w:pPr>
      <w:r>
        <w:t>66. МР 2.2.7.2129-06. Режимы труда и отдыха работающих в холодное время на открытой территории или в неотапливаемых помещениях.</w:t>
      </w:r>
    </w:p>
    <w:p>
      <w:pPr>
        <w:ind w:firstLine="0"/>
        <w:jc w:val="left"/>
      </w:pPr>
      <w:r>
        <w:t>67. Об отходах производства и потребления: Федеральный закон от 24.06.1998 № 89-ФЗ.</w:t>
      </w:r>
    </w:p>
    <w:p>
      <w:pPr>
        <w:ind w:firstLine="0"/>
        <w:jc w:val="left"/>
      </w:pPr>
      <w:r>
        <w:t>68. Об утверждении перечня видов отходов производства и потребления, в состав которых входят полезные компоненты, захоронение которых запрещается: распоряжение Правительства РФ от 25.07.2017 № 1589-р.</w:t>
      </w:r>
    </w:p>
    <w:p>
      <w:pPr>
        <w:ind w:firstLine="0"/>
        <w:jc w:val="left"/>
      </w:pPr>
      <w:r>
        <w:t>69. О специальной оценке условий труда: Федеральный закон от 28.12.2013 № 426-ФЗ.</w:t>
      </w:r>
    </w:p>
    <w:p>
      <w:pPr>
        <w:ind w:firstLine="0"/>
        <w:jc w:val="left"/>
      </w:pPr>
      <w:r>
        <w:t>70.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заполнению: приказ Минтруда России от 21.11.2023 № 817н.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