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31</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32</w:t>
      </w:r>
    </w:p>
    <w:p>
      <w:pPr>
        <w:tabs>
          <w:tab w:pos="9354" w:val="right" w:leader="dot"/>
        </w:tabs>
        <w:ind w:firstLine="0" w:left="283" w:right="567"/>
        <w:jc w:val="left"/>
      </w:pPr>
      <w:r>
        <w:rPr>
          <w:b w:val="0"/>
        </w:rPr>
        <w:t>3.1 Условия испытаний</w:t>
        <w:tab/>
        <w:t>32</w:t>
      </w:r>
    </w:p>
    <w:p>
      <w:pPr>
        <w:tabs>
          <w:tab w:pos="9354" w:val="right" w:leader="dot"/>
        </w:tabs>
        <w:ind w:firstLine="0" w:left="283" w:right="567"/>
        <w:jc w:val="left"/>
      </w:pPr>
      <w:r>
        <w:rPr>
          <w:b w:val="0"/>
        </w:rPr>
        <w:t>3.2 Влияние полосы приёма (лабораторный этап)</w:t>
        <w:tab/>
        <w:t>32</w:t>
      </w:r>
    </w:p>
    <w:p>
      <w:pPr>
        <w:tabs>
          <w:tab w:pos="9354" w:val="right" w:leader="dot"/>
        </w:tabs>
        <w:ind w:firstLine="0" w:left="283" w:right="567"/>
        <w:jc w:val="left"/>
      </w:pPr>
      <w:r>
        <w:rPr>
          <w:b w:val="0"/>
        </w:rPr>
        <w:t>3.3 Пропускная способность платформы и ограничивающее звено</w:t>
        <w:tab/>
        <w:t>34</w:t>
      </w:r>
    </w:p>
    <w:p>
      <w:pPr>
        <w:tabs>
          <w:tab w:pos="9354" w:val="right" w:leader="dot"/>
        </w:tabs>
        <w:ind w:firstLine="0" w:left="283" w:right="567"/>
        <w:jc w:val="left"/>
      </w:pPr>
      <w:r>
        <w:rPr>
          <w:b w:val="0"/>
        </w:rPr>
        <w:t>3.4 Доработки канала передачи видео и итоговые результаты</w:t>
        <w:tab/>
        <w:t>38</w:t>
      </w:r>
    </w:p>
    <w:p>
      <w:pPr>
        <w:tabs>
          <w:tab w:pos="9354" w:val="right" w:leader="dot"/>
        </w:tabs>
        <w:ind w:firstLine="0" w:left="283" w:right="567"/>
        <w:jc w:val="left"/>
      </w:pPr>
      <w:r>
        <w:rPr>
          <w:b w:val="0"/>
        </w:rPr>
        <w:t>3.5 Искажения изображения камеры, наводка передатчика и выбор мощности</w:t>
        <w:tab/>
        <w:t>44</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46</w:t>
      </w:r>
    </w:p>
    <w:p>
      <w:pPr>
        <w:tabs>
          <w:tab w:pos="9354" w:val="right" w:leader="dot"/>
        </w:tabs>
        <w:ind w:firstLine="0" w:left="283" w:right="567"/>
        <w:jc w:val="left"/>
      </w:pPr>
      <w:r>
        <w:rPr>
          <w:b w:val="0"/>
        </w:rPr>
        <w:t>3.7 Сравнение с IEEE 802.11 (Wi-Fi 2,4 и 5 ГГц) и LoRa</w:t>
        <w:tab/>
        <w:t>50</w:t>
      </w:r>
    </w:p>
    <w:p>
      <w:pPr>
        <w:tabs>
          <w:tab w:pos="9354" w:val="right" w:leader="dot"/>
        </w:tabs>
        <w:ind w:firstLine="0" w:left="283" w:right="567"/>
        <w:jc w:val="left"/>
      </w:pPr>
      <w:r>
        <w:rPr>
          <w:b w:val="0"/>
        </w:rPr>
        <w:t>3.8 Выводы</w:t>
        <w:tab/>
        <w:t>57</w:t>
      </w:r>
    </w:p>
    <w:p>
      <w:pPr>
        <w:tabs>
          <w:tab w:pos="9354" w:val="right" w:leader="dot"/>
        </w:tabs>
        <w:ind w:firstLine="0" w:left="0" w:right="567"/>
        <w:jc w:val="left"/>
      </w:pPr>
      <w:r>
        <w:rPr>
          <w:b/>
        </w:rPr>
        <w:t>4 Экономическая часть</w:t>
        <w:tab/>
        <w:t>59</w:t>
      </w:r>
    </w:p>
    <w:p>
      <w:pPr>
        <w:tabs>
          <w:tab w:pos="9354" w:val="right" w:leader="dot"/>
        </w:tabs>
        <w:ind w:firstLine="0" w:left="283" w:right="567"/>
        <w:jc w:val="left"/>
      </w:pPr>
      <w:r>
        <w:rPr>
          <w:b w:val="0"/>
        </w:rPr>
        <w:t>4.1 Оценка целесообразности проведения исследования</w:t>
        <w:tab/>
        <w:t>60</w:t>
      </w:r>
    </w:p>
    <w:p>
      <w:pPr>
        <w:tabs>
          <w:tab w:pos="9354" w:val="right" w:leader="dot"/>
        </w:tabs>
        <w:ind w:firstLine="0" w:left="283" w:right="567"/>
        <w:jc w:val="left"/>
      </w:pPr>
      <w:r>
        <w:rPr>
          <w:b w:val="0"/>
        </w:rPr>
        <w:t>4.2 Планирование разработки</w:t>
        <w:tab/>
        <w:t>63</w:t>
      </w:r>
    </w:p>
    <w:p>
      <w:pPr>
        <w:tabs>
          <w:tab w:pos="9354" w:val="right" w:leader="dot"/>
        </w:tabs>
        <w:ind w:firstLine="0" w:left="283" w:right="567"/>
        <w:jc w:val="left"/>
      </w:pPr>
      <w:r>
        <w:rPr>
          <w:b w:val="0"/>
        </w:rPr>
        <w:t>4.3 Определение затрат, себестоимости и цены разработки</w:t>
        <w:tab/>
        <w:t>66</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70</w:t>
      </w:r>
    </w:p>
    <w:p>
      <w:pPr>
        <w:tabs>
          <w:tab w:pos="9354" w:val="right" w:leader="dot"/>
        </w:tabs>
        <w:ind w:firstLine="0" w:left="283" w:right="567"/>
        <w:jc w:val="left"/>
      </w:pPr>
      <w:r>
        <w:rPr>
          <w:b w:val="0"/>
        </w:rPr>
        <w:t>4.5 Выводы</w:t>
        <w:tab/>
        <w:t>72</w:t>
      </w:r>
    </w:p>
    <w:p>
      <w:pPr>
        <w:tabs>
          <w:tab w:pos="9354" w:val="right" w:leader="dot"/>
        </w:tabs>
        <w:ind w:firstLine="0" w:left="0" w:right="567"/>
        <w:jc w:val="left"/>
      </w:pPr>
      <w:r>
        <w:rPr>
          <w:b/>
        </w:rPr>
        <w:t>5 Охрана труда и окружающей среды</w:t>
        <w:tab/>
        <w:t>74</w:t>
      </w:r>
    </w:p>
    <w:p>
      <w:pPr>
        <w:tabs>
          <w:tab w:pos="9354" w:val="right" w:leader="dot"/>
        </w:tabs>
        <w:ind w:firstLine="0" w:left="283" w:right="567"/>
        <w:jc w:val="left"/>
      </w:pPr>
      <w:r>
        <w:rPr>
          <w:b w:val="0"/>
        </w:rPr>
        <w:t>5.1 Введение</w:t>
        <w:tab/>
        <w:t>74</w:t>
      </w:r>
    </w:p>
    <w:p>
      <w:pPr>
        <w:tabs>
          <w:tab w:pos="9354" w:val="right" w:leader="dot"/>
        </w:tabs>
        <w:ind w:firstLine="0" w:left="283" w:right="567"/>
        <w:jc w:val="left"/>
      </w:pPr>
      <w:r>
        <w:rPr>
          <w:b w:val="0"/>
        </w:rPr>
        <w:t>5.2 Оценка условий труда</w:t>
        <w:tab/>
        <w:t>76</w:t>
      </w:r>
    </w:p>
    <w:p>
      <w:pPr>
        <w:tabs>
          <w:tab w:pos="9354" w:val="right" w:leader="dot"/>
        </w:tabs>
        <w:ind w:firstLine="0" w:left="283" w:right="567"/>
        <w:jc w:val="left"/>
      </w:pPr>
      <w:r>
        <w:rPr>
          <w:b w:val="0"/>
        </w:rPr>
        <w:t>5.3 Оценка условий труда по эргономическим параметрам</w:t>
        <w:tab/>
        <w:t>84</w:t>
      </w:r>
    </w:p>
    <w:p>
      <w:pPr>
        <w:tabs>
          <w:tab w:pos="9354" w:val="right" w:leader="dot"/>
        </w:tabs>
        <w:ind w:firstLine="0" w:left="283" w:right="567"/>
        <w:jc w:val="left"/>
      </w:pPr>
      <w:r>
        <w:rPr>
          <w:b w:val="0"/>
        </w:rPr>
        <w:t>5.4 Оценка помещения по электроопасности</w:t>
        <w:tab/>
        <w:t>87</w:t>
      </w:r>
    </w:p>
    <w:p>
      <w:pPr>
        <w:tabs>
          <w:tab w:pos="9354" w:val="right" w:leader="dot"/>
        </w:tabs>
        <w:ind w:firstLine="0" w:left="283" w:right="567"/>
        <w:jc w:val="left"/>
      </w:pPr>
      <w:r>
        <w:rPr>
          <w:b w:val="0"/>
        </w:rPr>
        <w:t>5.5 Классификация помещения по пожароопасности</w:t>
        <w:tab/>
        <w:t>88</w:t>
      </w:r>
    </w:p>
    <w:p>
      <w:pPr>
        <w:tabs>
          <w:tab w:pos="9354" w:val="right" w:leader="dot"/>
        </w:tabs>
        <w:ind w:firstLine="0" w:left="283" w:right="567"/>
        <w:jc w:val="left"/>
      </w:pPr>
      <w:r>
        <w:rPr>
          <w:b w:val="0"/>
        </w:rPr>
        <w:t>5.6 Расчёт искусственного освещения</w:t>
        <w:tab/>
        <w:t>89</w:t>
      </w:r>
    </w:p>
    <w:p>
      <w:pPr>
        <w:tabs>
          <w:tab w:pos="9354" w:val="right" w:leader="dot"/>
        </w:tabs>
        <w:ind w:firstLine="0" w:left="283" w:right="567"/>
        <w:jc w:val="left"/>
      </w:pPr>
      <w:r>
        <w:rPr>
          <w:b w:val="0"/>
        </w:rPr>
        <w:t>5.7 Выводы</w:t>
        <w:tab/>
        <w:t>92</w:t>
      </w:r>
    </w:p>
    <w:p>
      <w:pPr>
        <w:tabs>
          <w:tab w:pos="9354" w:val="right" w:leader="dot"/>
        </w:tabs>
        <w:ind w:firstLine="0" w:left="0" w:right="567"/>
        <w:jc w:val="left"/>
      </w:pPr>
      <w:r>
        <w:rPr>
          <w:b w:val="0"/>
        </w:rPr>
        <w:t>Заключение</w:t>
        <w:tab/>
        <w:t>94</w:t>
      </w:r>
    </w:p>
    <w:p>
      <w:pPr>
        <w:tabs>
          <w:tab w:pos="9354" w:val="right" w:leader="dot"/>
        </w:tabs>
        <w:ind w:firstLine="0" w:left="0" w:right="567"/>
        <w:jc w:val="left"/>
      </w:pPr>
      <w:r>
        <w:rPr>
          <w:b w:val="0"/>
        </w:rPr>
        <w:t>Список использованных источников</w:t>
        <w:tab/>
        <w:t>97</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106 с., 14 рис., 40 табл., 80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 105 дБ у Wi-Fi HaLow на 650 кбит/с — дальность получается от 130 до 540 м, тогда как в свободном пространстве (n = 2) — 4,9 км. Две модели, предложенные специально для IEEE 802.11ah, на 1 км расходятся на 12 дБ [27],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 при мощности 1 дБм: потери на трассе 54 дБ, запас до чувствительности около 48 дБ</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получен при мощности передатчика 1 дБм: регулятор снижает мощность, пока запас избыточен, поэтому сам уровень сигнала зависит от мощности, а о трассе говорят потери на ней — 51 дБ — и запас до чувствительности приёмника — около 50 дБ.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190–3600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51.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52.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53.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54.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55.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56.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57.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58.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59.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60. СП 51.13330.2011. Защита от шума. Актуализированная редакция СНиП 23-03-2003 : свод правил : утвержден приказом Министерства регионального развития Российской Федерации от 28.12.2010 № 825 : дата введения 2011-05-20. – Текст : электронный // Электронный фонд правовых и нормативно-технических документов : [сайт]. – URL: https://docs.cntd.ru/document/1200084097 (дата обращения: 23.10.2026).</w:t>
      </w:r>
    </w:p>
    <w:p>
      <w:pPr>
        <w:ind w:firstLine="0"/>
        <w:jc w:val="left"/>
      </w:pPr>
      <w:r>
        <w:t>61. HP Pro Series 400 G9 Desktop PCs : QuickSpecs c08017709 : Version 18, May 8, 2025 / HP Inc. – 99 p. – Текст : электронный // HP : [сайт]. – URL: https://h20195.www2.hp.com/v2/GetDocument.aspx?docname=c08017709 (дата обращения: 22.10.2026).</w:t>
      </w:r>
    </w:p>
    <w:p>
      <w:pPr>
        <w:ind w:firstLine="0"/>
        <w:jc w:val="left"/>
      </w:pPr>
      <w:r>
        <w:t>62. Сплит-системы Daichi AIR : AIR20AVQ1 / AIR20FV1 – AIR70AVQ1 / AIR70FV1 : технические характеристики. – Текст : электронный // Библиотека С.О.К. : [сайт]. – URL: https://c-o-k.ru/library/instructions/daichi/kondicionery-bytovye/133972.pdf (дата обращения: 22.10.2026).</w:t>
      </w:r>
    </w:p>
    <w:p>
      <w:pPr>
        <w:ind w:firstLine="0"/>
        <w:jc w:val="left"/>
      </w:pPr>
      <w:r>
        <w:t>63. Шредер Cactus CS-SH-G6 : характеристики. – Текст : электронный // КНС : [сайт]. – URL: https://www.kns.ru/product/shreder-cactus-cs-sh-g6/characteristics/ (дата обращения: 22.10.2026).</w:t>
      </w:r>
    </w:p>
    <w:p>
      <w:pPr>
        <w:ind w:firstLine="0"/>
        <w:jc w:val="left"/>
      </w:pPr>
      <w:r>
        <w:t>64.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65.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66.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67.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68.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69.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70.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71.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72.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73.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74.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75.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76.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77.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78.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79. СП 1.13130.2020. Системы противопожарной защиты. Эвакуационные пути и выходы : свод правил : утвержден приказом МЧС России от 19.03.2020 № 194 : дата введения 2020-09-19. – Текст : электронный // Электронный фонд правовых и нормативно-технических документов : [сайт]. – URL: https://docs.cntd.ru/document/565248961 (дата обращения: 22.10.2026).</w:t>
      </w:r>
    </w:p>
    <w:p>
      <w:pPr>
        <w:ind w:firstLine="0"/>
        <w:jc w:val="left"/>
      </w:pPr>
      <w:r>
        <w:t>80.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9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106</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