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19</w:t>
      </w:r>
    </w:p>
    <w:p>
      <w:pPr>
        <w:tabs>
          <w:tab w:pos="9354" w:val="right" w:leader="dot"/>
        </w:tabs>
        <w:ind w:firstLine="0" w:left="283" w:right="567"/>
        <w:jc w:val="left"/>
      </w:pPr>
      <w:r>
        <w:rPr>
          <w:b w:val="0"/>
        </w:rPr>
        <w:t>2.3 Программа экспериментальных исследований</w:t>
        <w:tab/>
        <w:t>22</w:t>
      </w:r>
    </w:p>
    <w:p>
      <w:pPr>
        <w:tabs>
          <w:tab w:pos="9354" w:val="right" w:leader="dot"/>
        </w:tabs>
        <w:ind w:firstLine="0" w:left="283" w:right="567"/>
        <w:jc w:val="left"/>
      </w:pPr>
      <w:r>
        <w:rPr>
          <w:b w:val="0"/>
        </w:rPr>
        <w:t>2.4 Методика измерений и обработки результатов</w:t>
        <w:tab/>
        <w:t>24</w:t>
      </w:r>
    </w:p>
    <w:p>
      <w:pPr>
        <w:tabs>
          <w:tab w:pos="9354" w:val="right" w:leader="dot"/>
        </w:tabs>
        <w:ind w:firstLine="0" w:left="283" w:right="567"/>
        <w:jc w:val="left"/>
      </w:pPr>
      <w:r>
        <w:rPr>
          <w:b w:val="0"/>
        </w:rPr>
        <w:t>2.5 Выбор аппаратных средств</w:t>
        <w:tab/>
        <w:t>27</w:t>
      </w:r>
    </w:p>
    <w:p>
      <w:pPr>
        <w:tabs>
          <w:tab w:pos="9354" w:val="right" w:leader="dot"/>
        </w:tabs>
        <w:ind w:firstLine="0" w:left="283" w:right="567"/>
        <w:jc w:val="left"/>
      </w:pPr>
      <w:r>
        <w:rPr>
          <w:b w:val="0"/>
        </w:rPr>
        <w:t>2.6 Выбор и настройка программных средств</w:t>
        <w:tab/>
        <w:t>28</w:t>
      </w:r>
    </w:p>
    <w:p>
      <w:pPr>
        <w:tabs>
          <w:tab w:pos="9354" w:val="right" w:leader="dot"/>
        </w:tabs>
        <w:ind w:firstLine="0" w:left="283" w:right="567"/>
        <w:jc w:val="left"/>
      </w:pPr>
      <w:r>
        <w:rPr>
          <w:b w:val="0"/>
        </w:rPr>
        <w:t>2.7 Выводы</w:t>
        <w:tab/>
        <w:t>31</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32</w:t>
      </w:r>
    </w:p>
    <w:p>
      <w:pPr>
        <w:tabs>
          <w:tab w:pos="9354" w:val="right" w:leader="dot"/>
        </w:tabs>
        <w:ind w:firstLine="0" w:left="283" w:right="567"/>
        <w:jc w:val="left"/>
      </w:pPr>
      <w:r>
        <w:rPr>
          <w:b w:val="0"/>
        </w:rPr>
        <w:t>3.1 Условия испытаний</w:t>
        <w:tab/>
        <w:t>32</w:t>
      </w:r>
    </w:p>
    <w:p>
      <w:pPr>
        <w:tabs>
          <w:tab w:pos="9354" w:val="right" w:leader="dot"/>
        </w:tabs>
        <w:ind w:firstLine="0" w:left="283" w:right="567"/>
        <w:jc w:val="left"/>
      </w:pPr>
      <w:r>
        <w:rPr>
          <w:b w:val="0"/>
        </w:rPr>
        <w:t>3.2 Влияние полосы приёма (лабораторный этап)</w:t>
        <w:tab/>
        <w:t>32</w:t>
      </w:r>
    </w:p>
    <w:p>
      <w:pPr>
        <w:tabs>
          <w:tab w:pos="9354" w:val="right" w:leader="dot"/>
        </w:tabs>
        <w:ind w:firstLine="0" w:left="283" w:right="567"/>
        <w:jc w:val="left"/>
      </w:pPr>
      <w:r>
        <w:rPr>
          <w:b w:val="0"/>
        </w:rPr>
        <w:t>3.3 Пропускная способность платформы и ограничивающее звено</w:t>
        <w:tab/>
        <w:t>34</w:t>
      </w:r>
    </w:p>
    <w:p>
      <w:pPr>
        <w:tabs>
          <w:tab w:pos="9354" w:val="right" w:leader="dot"/>
        </w:tabs>
        <w:ind w:firstLine="0" w:left="283" w:right="567"/>
        <w:jc w:val="left"/>
      </w:pPr>
      <w:r>
        <w:rPr>
          <w:b w:val="0"/>
        </w:rPr>
        <w:t>3.4 Доработки канала передачи видео и итоговые результаты</w:t>
        <w:tab/>
        <w:t>38</w:t>
      </w:r>
    </w:p>
    <w:p>
      <w:pPr>
        <w:tabs>
          <w:tab w:pos="9354" w:val="right" w:leader="dot"/>
        </w:tabs>
        <w:ind w:firstLine="0" w:left="283" w:right="567"/>
        <w:jc w:val="left"/>
      </w:pPr>
      <w:r>
        <w:rPr>
          <w:b w:val="0"/>
        </w:rPr>
        <w:t>3.5 Искажения изображения камеры, наводка передатчика и выбор мощности</w:t>
        <w:tab/>
        <w:t>44</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46</w:t>
      </w:r>
    </w:p>
    <w:p>
      <w:pPr>
        <w:tabs>
          <w:tab w:pos="9354" w:val="right" w:leader="dot"/>
        </w:tabs>
        <w:ind w:firstLine="0" w:left="283" w:right="567"/>
        <w:jc w:val="left"/>
      </w:pPr>
      <w:r>
        <w:rPr>
          <w:b w:val="0"/>
        </w:rPr>
        <w:t>3.7 Сравнение с IEEE 802.11 (Wi-Fi 2,4 и 5 ГГц) и LoRa</w:t>
        <w:tab/>
        <w:t>50</w:t>
      </w:r>
    </w:p>
    <w:p>
      <w:pPr>
        <w:tabs>
          <w:tab w:pos="9354" w:val="right" w:leader="dot"/>
        </w:tabs>
        <w:ind w:firstLine="0" w:left="283" w:right="567"/>
        <w:jc w:val="left"/>
      </w:pPr>
      <w:r>
        <w:rPr>
          <w:b w:val="0"/>
        </w:rPr>
        <w:t>3.8 Выводы</w:t>
        <w:tab/>
        <w:t>57</w:t>
      </w:r>
    </w:p>
    <w:p>
      <w:pPr>
        <w:tabs>
          <w:tab w:pos="9354" w:val="right" w:leader="dot"/>
        </w:tabs>
        <w:ind w:firstLine="0" w:left="0" w:right="567"/>
        <w:jc w:val="left"/>
      </w:pPr>
      <w:r>
        <w:rPr>
          <w:b/>
        </w:rPr>
        <w:t>4 Экономическая часть</w:t>
        <w:tab/>
        <w:t>59</w:t>
      </w:r>
    </w:p>
    <w:p>
      <w:pPr>
        <w:tabs>
          <w:tab w:pos="9354" w:val="right" w:leader="dot"/>
        </w:tabs>
        <w:ind w:firstLine="0" w:left="283" w:right="567"/>
        <w:jc w:val="left"/>
      </w:pPr>
      <w:r>
        <w:rPr>
          <w:b w:val="0"/>
        </w:rPr>
        <w:t>4.1 Оценка целесообразности проведения исследования</w:t>
        <w:tab/>
        <w:t>60</w:t>
      </w:r>
    </w:p>
    <w:p>
      <w:pPr>
        <w:tabs>
          <w:tab w:pos="9354" w:val="right" w:leader="dot"/>
        </w:tabs>
        <w:ind w:firstLine="0" w:left="283" w:right="567"/>
        <w:jc w:val="left"/>
      </w:pPr>
      <w:r>
        <w:rPr>
          <w:b w:val="0"/>
        </w:rPr>
        <w:t>4.2 Планирование разработки</w:t>
        <w:tab/>
        <w:t>63</w:t>
      </w:r>
    </w:p>
    <w:p>
      <w:pPr>
        <w:tabs>
          <w:tab w:pos="9354" w:val="right" w:leader="dot"/>
        </w:tabs>
        <w:ind w:firstLine="0" w:left="283" w:right="567"/>
        <w:jc w:val="left"/>
      </w:pPr>
      <w:r>
        <w:rPr>
          <w:b w:val="0"/>
        </w:rPr>
        <w:t>4.3 Определение затрат, себестоимости и цены разработки</w:t>
        <w:tab/>
        <w:t>66</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70</w:t>
      </w:r>
    </w:p>
    <w:p>
      <w:pPr>
        <w:tabs>
          <w:tab w:pos="9354" w:val="right" w:leader="dot"/>
        </w:tabs>
        <w:ind w:firstLine="0" w:left="283" w:right="567"/>
        <w:jc w:val="left"/>
      </w:pPr>
      <w:r>
        <w:rPr>
          <w:b w:val="0"/>
        </w:rPr>
        <w:t>4.5 Выводы</w:t>
        <w:tab/>
        <w:t>72</w:t>
      </w:r>
    </w:p>
    <w:p>
      <w:pPr>
        <w:tabs>
          <w:tab w:pos="9354" w:val="right" w:leader="dot"/>
        </w:tabs>
        <w:ind w:firstLine="0" w:left="0" w:right="567"/>
        <w:jc w:val="left"/>
      </w:pPr>
      <w:r>
        <w:rPr>
          <w:b/>
        </w:rPr>
        <w:t>5 Охрана труда и окружающей среды</w:t>
        <w:tab/>
        <w:t>74</w:t>
      </w:r>
    </w:p>
    <w:p>
      <w:pPr>
        <w:tabs>
          <w:tab w:pos="9354" w:val="right" w:leader="dot"/>
        </w:tabs>
        <w:ind w:firstLine="0" w:left="283" w:right="567"/>
        <w:jc w:val="left"/>
      </w:pPr>
      <w:r>
        <w:rPr>
          <w:b w:val="0"/>
        </w:rPr>
        <w:t>5.1 Введение</w:t>
        <w:tab/>
        <w:t>74</w:t>
      </w:r>
    </w:p>
    <w:p>
      <w:pPr>
        <w:tabs>
          <w:tab w:pos="9354" w:val="right" w:leader="dot"/>
        </w:tabs>
        <w:ind w:firstLine="0" w:left="283" w:right="567"/>
        <w:jc w:val="left"/>
      </w:pPr>
      <w:r>
        <w:rPr>
          <w:b w:val="0"/>
        </w:rPr>
        <w:t>5.2 Оценка условий труда</w:t>
        <w:tab/>
        <w:t>76</w:t>
      </w:r>
    </w:p>
    <w:p>
      <w:pPr>
        <w:tabs>
          <w:tab w:pos="9354" w:val="right" w:leader="dot"/>
        </w:tabs>
        <w:ind w:firstLine="0" w:left="283" w:right="567"/>
        <w:jc w:val="left"/>
      </w:pPr>
      <w:r>
        <w:rPr>
          <w:b w:val="0"/>
        </w:rPr>
        <w:t>5.3 Оценка условий труда по эргономическим параметрам</w:t>
        <w:tab/>
        <w:t>85</w:t>
      </w:r>
    </w:p>
    <w:p>
      <w:pPr>
        <w:tabs>
          <w:tab w:pos="9354" w:val="right" w:leader="dot"/>
        </w:tabs>
        <w:ind w:firstLine="0" w:left="283" w:right="567"/>
        <w:jc w:val="left"/>
      </w:pPr>
      <w:r>
        <w:rPr>
          <w:b w:val="0"/>
        </w:rPr>
        <w:t>5.4 Оценка помещения по электроопасности</w:t>
        <w:tab/>
        <w:t>87</w:t>
      </w:r>
    </w:p>
    <w:p>
      <w:pPr>
        <w:tabs>
          <w:tab w:pos="9354" w:val="right" w:leader="dot"/>
        </w:tabs>
        <w:ind w:firstLine="0" w:left="283" w:right="567"/>
        <w:jc w:val="left"/>
      </w:pPr>
      <w:r>
        <w:rPr>
          <w:b w:val="0"/>
        </w:rPr>
        <w:t>5.5 Классификация помещения по пожароопасности</w:t>
        <w:tab/>
        <w:t>88</w:t>
      </w:r>
    </w:p>
    <w:p>
      <w:pPr>
        <w:tabs>
          <w:tab w:pos="9354" w:val="right" w:leader="dot"/>
        </w:tabs>
        <w:ind w:firstLine="0" w:left="283" w:right="567"/>
        <w:jc w:val="left"/>
      </w:pPr>
      <w:r>
        <w:rPr>
          <w:b w:val="0"/>
        </w:rPr>
        <w:t>5.6 Расчёт искусственного освещения</w:t>
        <w:tab/>
        <w:t>89</w:t>
      </w:r>
    </w:p>
    <w:p>
      <w:pPr>
        <w:tabs>
          <w:tab w:pos="9354" w:val="right" w:leader="dot"/>
        </w:tabs>
        <w:ind w:firstLine="0" w:left="283" w:right="567"/>
        <w:jc w:val="left"/>
      </w:pPr>
      <w:r>
        <w:rPr>
          <w:b w:val="0"/>
        </w:rPr>
        <w:t>5.7 Выводы</w:t>
        <w:tab/>
        <w:t>93</w:t>
      </w:r>
    </w:p>
    <w:p>
      <w:pPr>
        <w:tabs>
          <w:tab w:pos="9354" w:val="right" w:leader="dot"/>
        </w:tabs>
        <w:ind w:firstLine="0" w:left="0" w:right="567"/>
        <w:jc w:val="left"/>
      </w:pPr>
      <w:r>
        <w:rPr>
          <w:b w:val="0"/>
        </w:rPr>
        <w:t>Заключение</w:t>
        <w:tab/>
        <w:t>95</w:t>
      </w:r>
    </w:p>
    <w:p>
      <w:pPr>
        <w:tabs>
          <w:tab w:pos="9354" w:val="right" w:leader="dot"/>
        </w:tabs>
        <w:ind w:firstLine="0" w:left="0" w:right="567"/>
        <w:jc w:val="left"/>
      </w:pPr>
      <w:r>
        <w:rPr>
          <w:b w:val="0"/>
        </w:rPr>
        <w:t>Список использованных источников</w:t>
        <w:tab/>
        <w:t>98</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 Традиционный Wi-Fi в работе — IEEE 802.11n (Wi-Fi 4) в диапазоне 2,4 ГГц с каналом 20 МГц; на большом расстоянии модуль сам переходит на медленные режимы 802.11b/g. Этот радиотракт встроен в процессор ESP32-S3 той же платы.</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108 с., 14 рис., 40 табл., 82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не хватает канала в свободном диапазоне — таком, который можно использовать без разрешения на частоты, соблюдая нормы ГКРЧ, — и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при мощности 14 дБм против 20 дБм у Wi-Fi выигрыш на малых скоростях сокращается до 5,6 дБ (по расчёту дальность в свободном пространстве в 1,9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В России диапазон 868 МГц открыт без лицензии для устройств любого назначения: решение ГКРЧ от 07.05.2007 № 07-20-03-001 [15], полоса 866–868 МГц добавлена решением ГКРЧ № 18-46-03-1 [23]. Условия для этой полосы: эффективная излучаемая мощность (ЭИМ) не более 25 мВт, то есть 14 дБм, а непрерывная передача допускается только с прослушиванием эфира перед излучением (LBT). Wi-Fi HaLow этому соответствует: станция передаёт, только убедившись, что канал свободен (механизм CSMA/CA). В полосу помещаются каналы шириной 1 и 2 МГц; в работе использован канал 2 МГц с центром 867,0 МГц при мощности на выходе модуля не более 14 дБм, штатные антенны плат сигнал заметно не усиливают. В пределах аэродромов диапазон применять запрещено, что для БПЛА существенно. Для Wi-Fi 2,4 ГГц то же решение разрешает до 100 мВт (20 дБм) эквивалентной изотропно излучаемой мощности (ЭИИМ) [15]; в этих единицах норма Wi-Fi HaLow составляет 16,15 дБм.</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Канала в свободном диапазоне, сочетающего оба свойства, среди распространённых решений нет.</w:t>
      </w:r>
    </w:p>
    <w:p>
      <w:r>
        <w:t>2. Wi-Fi HaLow сочетает оба свойства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5,6 дБ больше, чем у Wi-Fi 2,4 ГГц (дальность в свободном пространстве по расчёту в 1,9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Высоты взяты по сценарию применения: 1,5 м — антенна наземного пункта в руках оператора или на штативе, такую же высоту антенны абонента у земли принимают модели каналов 3GPP [24]; 50 и 100 м — рабочие высоты БПЛА: визуальные полёты беспилотников массой до 30 кг разрешены на высотах менее 150 м [25].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·cos θ,</m:t>
              </m:r>
            </m:oMath>
          </w:p>
        </w:tc>
        <w:tc>
          <w:tcPr>
            <w:tcW w:type="dxa" w:w="1020"/>
            <w:vAlign w:val="center"/>
          </w:tcPr>
          <w:p>
            <w:pPr>
              <w:pStyle w:val="Formula"/>
              <w:jc w:val="right"/>
            </w:pPr>
            <w:r>
              <w:t>(2.5)</w:t>
            </w:r>
          </w:p>
        </w:tc>
      </w:tr>
    </w:tbl>
    <w:p>
      <w:pPr>
        <w:ind w:firstLine="0"/>
      </w:pPr>
      <w:r>
        <w:t xml:space="preserve">где </w:t>
      </w:r>
      <w:r>
        <w:t>θ — угол между направлением движения БПЛА и направлением на приёмник. Наибольший сдвиг — при движении прямо к приёмнику или от него (cos θ = ±1).</w:t>
      </w:r>
    </w:p>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Приёмник OFDM компенсирует сдвиг частоты в каждом кадре: по известной стандарту обучающей последовательности в начале кадра он оценивает, насколько частота сигнала отличается от его собственной, и поворачивает фазу принятых отсчётов на эту величину, а остаток в течение кадра отслеживает по пилотным поднесущим [7]. Тот же механизм нужен и неподвижным узлам: кварцевые генераторы передатчика и приёмника расходятся на единицы–десятки миллионных долей, что на 867 МГц даёт сдвиг в килогерцы — во много раз больше доплеровского. Поэтому на работу канала доплеровский сдвиг практически не влияет и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30–38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 через стену</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 перемещение людей и предметов между платами, помехи других устройств диапазона, изменение фона платы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 через стену)</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 105 дБ у Wi-Fi HaLow на 650 кбит/с — дальность получается от 130 до 540 м, тогда как в свободном пространстве (n = 2) — 4,9 км. Две модели, предложенные специально для IEEE 802.11ah, на 1 км расходятся на 12 дБ [27],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через стену канал заметно меняется: отношение сигнал/шум за пять минут колебалось от 24 до 40 дБ, а скорость в разное время суток различалась в 2–3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Фон модуль измеряет сам: это мощность в канале в моменты, когда узлы сети не передают; по ней модуль решает, свободен ли эфир. Фон зависит от работы электроники платы — шины камеры, памяти PSRAM, тактового сигнала сенсора — и от помех других устройств, поэтому меняется в течение суток.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через стену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28],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отношению сигнал/шум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через стену;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через стену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[29].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Фрагмент ежесекундной записи программы просмотра приведён в таблице 2.4 (строки через 60 с; в файле записывается 70 показателей, в таблице — основные).</w:t>
      </w:r>
    </w:p>
    <w:p>
      <w:pPr>
        <w:pStyle w:val="TableCaption"/>
        <w:ind w:firstLine="0"/>
      </w:pPr>
      <w:r>
        <w:t>Таблица 2.4 – Фрагмент журнала программы просмотра (контрольный опыт итоговой версии)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680"/>
        <w:gridCol w:w="793"/>
        <w:gridCol w:w="1133"/>
        <w:gridCol w:w="1020"/>
        <w:gridCol w:w="907"/>
        <w:gridCol w:w="793"/>
        <w:gridCol w:w="793"/>
        <w:gridCol w:w="1020"/>
        <w:gridCol w:w="850"/>
        <w:gridCol w:w="907"/>
      </w:tblGrid>
      <w:tr>
        <w:trPr>
          <w:cantSplit/>
          <w:tblHeader w:val="true"/>
        </w:trPr>
        <w:tc>
          <w:tcPr>
            <w:tcW w:type="dxa" w:w="680"/>
            <w:vAlign w:val="center"/>
          </w:tcPr>
          <w:p>
            <w:pPr>
              <w:pStyle w:val="TableText"/>
              <w:keepNext/>
              <w:jc w:val="center"/>
            </w:pPr>
            <w:r>
              <w:rPr>
                <w:b/>
                <w:sz w:val="20"/>
              </w:rPr>
              <w:t>t, с</w:t>
            </w:r>
          </w:p>
        </w:tc>
        <w:tc>
          <w:tcPr>
            <w:tcW w:type="dxa" w:w="794"/>
            <w:vAlign w:val="center"/>
          </w:tcPr>
          <w:p>
            <w:pPr>
              <w:pStyle w:val="TableText"/>
              <w:keepNext/>
              <w:jc w:val="center"/>
            </w:pPr>
            <w:r>
              <w:rPr>
                <w:b/>
                <w:sz w:val="20"/>
              </w:rPr>
              <w:t>Кадр/с</w:t>
            </w:r>
          </w:p>
        </w:tc>
        <w:tc>
          <w:tcPr>
            <w:tcW w:type="dxa" w:w="1134"/>
            <w:vAlign w:val="center"/>
          </w:tcPr>
          <w:p>
            <w:pPr>
              <w:pStyle w:val="TableText"/>
              <w:keepNext/>
              <w:jc w:val="center"/>
            </w:pPr>
            <w:r>
              <w:rPr>
                <w:b/>
                <w:sz w:val="20"/>
              </w:rPr>
              <w:t>Полезная скорость, кбит/с</w:t>
            </w:r>
          </w:p>
        </w:tc>
        <w:tc>
          <w:tcPr>
            <w:tcW w:type="dxa" w:w="1020"/>
            <w:vAlign w:val="center"/>
          </w:tcPr>
          <w:p>
            <w:pPr>
              <w:pStyle w:val="TableText"/>
              <w:keepNext/>
              <w:jc w:val="center"/>
            </w:pPr>
            <w:r>
              <w:rPr>
                <w:b/>
                <w:sz w:val="20"/>
              </w:rPr>
              <w:t>Потери фрагментов, %</w:t>
            </w:r>
          </w:p>
        </w:tc>
        <w:tc>
          <w:tcPr>
            <w:tcW w:type="dxa" w:w="907"/>
            <w:vAlign w:val="center"/>
          </w:tcPr>
          <w:p>
            <w:pPr>
              <w:pStyle w:val="TableText"/>
              <w:keepNext/>
              <w:jc w:val="center"/>
            </w:pPr>
            <w:r>
              <w:rPr>
                <w:b/>
                <w:sz w:val="20"/>
              </w:rPr>
              <w:t>RSSI, дБм</w:t>
            </w:r>
          </w:p>
        </w:tc>
        <w:tc>
          <w:tcPr>
            <w:tcW w:type="dxa" w:w="794"/>
            <w:vAlign w:val="center"/>
          </w:tcPr>
          <w:p>
            <w:pPr>
              <w:pStyle w:val="TableText"/>
              <w:keepNext/>
              <w:jc w:val="center"/>
            </w:pPr>
            <w:r>
              <w:rPr>
                <w:b/>
                <w:sz w:val="20"/>
              </w:rPr>
              <w:t>SNR, дБ</w:t>
            </w:r>
          </w:p>
        </w:tc>
        <w:tc>
          <w:tcPr>
            <w:tcW w:type="dxa" w:w="794"/>
            <w:vAlign w:val="center"/>
          </w:tcPr>
          <w:p>
            <w:pPr>
              <w:pStyle w:val="TableText"/>
              <w:keepNext/>
              <w:jc w:val="center"/>
            </w:pPr>
            <w:r>
              <w:rPr>
                <w:b/>
                <w:sz w:val="20"/>
              </w:rPr>
              <w:t>P, дБм</w:t>
            </w:r>
          </w:p>
        </w:tc>
        <w:tc>
          <w:tcPr>
            <w:tcW w:type="dxa" w:w="1020"/>
            <w:vAlign w:val="center"/>
          </w:tcPr>
          <w:p>
            <w:pPr>
              <w:pStyle w:val="TableText"/>
              <w:keepNext/>
              <w:jc w:val="center"/>
            </w:pPr>
            <w:r>
              <w:rPr>
                <w:b/>
                <w:sz w:val="20"/>
              </w:rPr>
              <w:t>MCS (граница)</w:t>
            </w:r>
          </w:p>
        </w:tc>
        <w:tc>
          <w:tcPr>
            <w:tcW w:type="dxa" w:w="850"/>
            <w:vAlign w:val="center"/>
          </w:tcPr>
          <w:p>
            <w:pPr>
              <w:pStyle w:val="TableText"/>
              <w:keepNext/>
              <w:jc w:val="center"/>
            </w:pPr>
            <w:r>
              <w:rPr>
                <w:b/>
                <w:sz w:val="20"/>
              </w:rPr>
              <w:t>PER, %</w:t>
            </w:r>
          </w:p>
        </w:tc>
        <w:tc>
          <w:tcPr>
            <w:tcW w:type="dxa" w:w="907"/>
            <w:vAlign w:val="center"/>
          </w:tcPr>
          <w:p>
            <w:pPr>
              <w:pStyle w:val="TableText"/>
              <w:keepNext/>
              <w:jc w:val="center"/>
            </w:pPr>
            <w:r>
              <w:rPr>
                <w:b/>
                <w:sz w:val="20"/>
              </w:rPr>
              <w:t>RTT, мс</w:t>
            </w:r>
          </w:p>
        </w:tc>
      </w:tr>
      <w:tr>
        <w:trPr>
          <w:cantSplit/>
        </w:trPr>
        <w:tc>
          <w:tcPr>
            <w:tcW w:type="dxa" w:w="680"/>
            <w:vAlign w:val="center"/>
          </w:tcPr>
          <w:p>
            <w:pPr>
              <w:pStyle w:val="TableText"/>
              <w:keepNext/>
              <w:jc w:val="center"/>
            </w:pPr>
            <w:r>
              <w:rPr>
                <w:sz w:val="20"/>
              </w:rPr>
              <w:t>30</w:t>
            </w:r>
          </w:p>
        </w:tc>
        <w:tc>
          <w:tcPr>
            <w:tcW w:type="dxa" w:w="794"/>
            <w:vAlign w:val="center"/>
          </w:tcPr>
          <w:p>
            <w:pPr>
              <w:pStyle w:val="TableText"/>
              <w:keepNext/>
              <w:jc w:val="center"/>
            </w:pPr>
            <w:r>
              <w:rPr>
                <w:sz w:val="20"/>
              </w:rPr>
              <w:t>5,0</w:t>
            </w:r>
          </w:p>
        </w:tc>
        <w:tc>
          <w:tcPr>
            <w:tcW w:type="dxa" w:w="1134"/>
            <w:vAlign w:val="center"/>
          </w:tcPr>
          <w:p>
            <w:pPr>
              <w:pStyle w:val="TableText"/>
              <w:keepNext/>
              <w:jc w:val="center"/>
            </w:pPr>
            <w:r>
              <w:rPr>
                <w:sz w:val="20"/>
              </w:rPr>
              <w:t>1170</w:t>
            </w:r>
          </w:p>
        </w:tc>
        <w:tc>
          <w:tcPr>
            <w:tcW w:type="dxa" w:w="1020"/>
            <w:vAlign w:val="center"/>
          </w:tcPr>
          <w:p>
            <w:pPr>
              <w:pStyle w:val="TableText"/>
              <w:keepNext/>
              <w:jc w:val="center"/>
            </w:pPr>
            <w:r>
              <w:rPr>
                <w:sz w:val="20"/>
              </w:rPr>
              <w:t>1,43</w:t>
            </w:r>
          </w:p>
        </w:tc>
        <w:tc>
          <w:tcPr>
            <w:tcW w:type="dxa" w:w="907"/>
            <w:vAlign w:val="center"/>
          </w:tcPr>
          <w:p>
            <w:pPr>
              <w:pStyle w:val="TableText"/>
              <w:keepNext/>
              <w:jc w:val="center"/>
            </w:pPr>
            <w:r>
              <w:rPr>
                <w:sz w:val="20"/>
              </w:rPr>
              <w:t>−52</w:t>
            </w:r>
          </w:p>
        </w:tc>
        <w:tc>
          <w:tcPr>
            <w:tcW w:type="dxa" w:w="794"/>
            <w:vAlign w:val="center"/>
          </w:tcPr>
          <w:p>
            <w:pPr>
              <w:pStyle w:val="TableText"/>
              <w:keepNext/>
              <w:jc w:val="center"/>
            </w:pPr>
            <w:r>
              <w:rPr>
                <w:sz w:val="20"/>
              </w:rPr>
              <w:t>36</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438</w:t>
            </w:r>
          </w:p>
        </w:tc>
      </w:tr>
      <w:tr>
        <w:trPr>
          <w:cantSplit/>
        </w:trPr>
        <w:tc>
          <w:tcPr>
            <w:tcW w:type="dxa" w:w="680"/>
            <w:vAlign w:val="center"/>
          </w:tcPr>
          <w:p>
            <w:pPr>
              <w:pStyle w:val="TableText"/>
              <w:keepNext/>
              <w:jc w:val="center"/>
            </w:pPr>
            <w:r>
              <w:rPr>
                <w:sz w:val="20"/>
              </w:rPr>
              <w:t>90</w:t>
            </w:r>
          </w:p>
        </w:tc>
        <w:tc>
          <w:tcPr>
            <w:tcW w:type="dxa" w:w="794"/>
            <w:vAlign w:val="center"/>
          </w:tcPr>
          <w:p>
            <w:pPr>
              <w:pStyle w:val="TableText"/>
              <w:keepNext/>
              <w:jc w:val="center"/>
            </w:pPr>
            <w:r>
              <w:rPr>
                <w:sz w:val="20"/>
              </w:rPr>
              <w:t>6,6</w:t>
            </w:r>
          </w:p>
        </w:tc>
        <w:tc>
          <w:tcPr>
            <w:tcW w:type="dxa" w:w="1134"/>
            <w:vAlign w:val="center"/>
          </w:tcPr>
          <w:p>
            <w:pPr>
              <w:pStyle w:val="TableText"/>
              <w:keepNext/>
              <w:jc w:val="center"/>
            </w:pPr>
            <w:r>
              <w:rPr>
                <w:sz w:val="20"/>
              </w:rPr>
              <w:t>1125</w:t>
            </w:r>
          </w:p>
        </w:tc>
        <w:tc>
          <w:tcPr>
            <w:tcW w:type="dxa" w:w="1020"/>
            <w:vAlign w:val="center"/>
          </w:tcPr>
          <w:p>
            <w:pPr>
              <w:pStyle w:val="TableText"/>
              <w:keepNext/>
              <w:jc w:val="center"/>
            </w:pPr>
            <w:r>
              <w:rPr>
                <w:sz w:val="20"/>
              </w:rPr>
              <w:t>1,08</w:t>
            </w:r>
          </w:p>
        </w:tc>
        <w:tc>
          <w:tcPr>
            <w:tcW w:type="dxa" w:w="907"/>
            <w:vAlign w:val="center"/>
          </w:tcPr>
          <w:p>
            <w:pPr>
              <w:pStyle w:val="TableText"/>
              <w:keepNext/>
              <w:jc w:val="center"/>
            </w:pPr>
            <w:r>
              <w:rPr>
                <w:sz w:val="20"/>
              </w:rPr>
              <w:t>−49</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65</w:t>
            </w:r>
          </w:p>
        </w:tc>
        <w:tc>
          <w:tcPr>
            <w:tcW w:type="dxa" w:w="907"/>
            <w:vAlign w:val="center"/>
          </w:tcPr>
          <w:p>
            <w:pPr>
              <w:pStyle w:val="TableText"/>
              <w:keepNext/>
              <w:jc w:val="center"/>
            </w:pPr>
            <w:r>
              <w:rPr>
                <w:sz w:val="20"/>
              </w:rPr>
              <w:t>433</w:t>
            </w:r>
          </w:p>
        </w:tc>
      </w:tr>
      <w:tr>
        <w:trPr>
          <w:cantSplit/>
        </w:trPr>
        <w:tc>
          <w:tcPr>
            <w:tcW w:type="dxa" w:w="680"/>
            <w:vAlign w:val="center"/>
          </w:tcPr>
          <w:p>
            <w:pPr>
              <w:pStyle w:val="TableText"/>
              <w:keepNext/>
              <w:jc w:val="center"/>
            </w:pPr>
            <w:r>
              <w:rPr>
                <w:sz w:val="20"/>
              </w:rPr>
              <w:t>150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1023</w:t>
            </w:r>
          </w:p>
        </w:tc>
        <w:tc>
          <w:tcPr>
            <w:tcW w:type="dxa" w:w="1020"/>
            <w:vAlign w:val="center"/>
          </w:tcPr>
          <w:p>
            <w:pPr>
              <w:pStyle w:val="TableText"/>
              <w:keepNext/>
              <w:jc w:val="center"/>
            </w:pPr>
            <w:r>
              <w:rPr>
                <w:sz w:val="20"/>
              </w:rPr>
              <w:t>1,50</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34</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4 (4)</w:t>
            </w:r>
          </w:p>
        </w:tc>
        <w:tc>
          <w:tcPr>
            <w:tcW w:type="dxa" w:w="850"/>
            <w:vAlign w:val="center"/>
          </w:tcPr>
          <w:p>
            <w:pPr>
              <w:pStyle w:val="TableText"/>
              <w:keepNext/>
              <w:jc w:val="center"/>
            </w:pPr>
            <w:r>
              <w:rPr>
                <w:sz w:val="20"/>
              </w:rPr>
              <w:t>74</w:t>
            </w:r>
          </w:p>
        </w:tc>
        <w:tc>
          <w:tcPr>
            <w:tcW w:type="dxa" w:w="907"/>
            <w:vAlign w:val="center"/>
          </w:tcPr>
          <w:p>
            <w:pPr>
              <w:pStyle w:val="TableText"/>
              <w:keepNext/>
              <w:jc w:val="center"/>
            </w:pPr>
            <w:r>
              <w:rPr>
                <w:sz w:val="20"/>
              </w:rPr>
              <w:t>413</w:t>
            </w:r>
          </w:p>
        </w:tc>
      </w:tr>
      <w:tr>
        <w:trPr>
          <w:cantSplit/>
        </w:trPr>
        <w:tc>
          <w:tcPr>
            <w:tcW w:type="dxa" w:w="680"/>
            <w:vAlign w:val="center"/>
          </w:tcPr>
          <w:p>
            <w:pPr>
              <w:pStyle w:val="TableText"/>
              <w:keepNext/>
              <w:jc w:val="center"/>
            </w:pPr>
            <w:r>
              <w:rPr>
                <w:sz w:val="20"/>
              </w:rPr>
              <w:t>210</w:t>
            </w:r>
          </w:p>
        </w:tc>
        <w:tc>
          <w:tcPr>
            <w:tcW w:type="dxa" w:w="794"/>
            <w:vAlign w:val="center"/>
          </w:tcPr>
          <w:p>
            <w:pPr>
              <w:pStyle w:val="TableText"/>
              <w:keepNext/>
              <w:jc w:val="center"/>
            </w:pPr>
            <w:r>
              <w:rPr>
                <w:sz w:val="20"/>
              </w:rPr>
              <w:t>6,0</w:t>
            </w:r>
          </w:p>
        </w:tc>
        <w:tc>
          <w:tcPr>
            <w:tcW w:type="dxa" w:w="1134"/>
            <w:vAlign w:val="center"/>
          </w:tcPr>
          <w:p>
            <w:pPr>
              <w:pStyle w:val="TableText"/>
              <w:keepNext/>
              <w:jc w:val="center"/>
            </w:pPr>
            <w:r>
              <w:rPr>
                <w:sz w:val="20"/>
              </w:rPr>
              <w:t>1024</w:t>
            </w:r>
          </w:p>
        </w:tc>
        <w:tc>
          <w:tcPr>
            <w:tcW w:type="dxa" w:w="1020"/>
            <w:vAlign w:val="center"/>
          </w:tcPr>
          <w:p>
            <w:pPr>
              <w:pStyle w:val="TableText"/>
              <w:keepNext/>
              <w:jc w:val="center"/>
            </w:pPr>
            <w:r>
              <w:rPr>
                <w:sz w:val="20"/>
              </w:rPr>
              <w:t>1,48</w:t>
            </w:r>
          </w:p>
        </w:tc>
        <w:tc>
          <w:tcPr>
            <w:tcW w:type="dxa" w:w="907"/>
            <w:vAlign w:val="center"/>
          </w:tcPr>
          <w:p>
            <w:pPr>
              <w:pStyle w:val="TableText"/>
              <w:keepNext/>
              <w:jc w:val="center"/>
            </w:pPr>
            <w:r>
              <w:rPr>
                <w:sz w:val="20"/>
              </w:rPr>
              <w:t>−50</w:t>
            </w:r>
          </w:p>
        </w:tc>
        <w:tc>
          <w:tcPr>
            <w:tcW w:type="dxa" w:w="794"/>
            <w:vAlign w:val="center"/>
          </w:tcPr>
          <w:p>
            <w:pPr>
              <w:pStyle w:val="TableText"/>
              <w:keepNext/>
              <w:jc w:val="center"/>
            </w:pPr>
            <w:r>
              <w:rPr>
                <w:sz w:val="20"/>
              </w:rPr>
              <w:t>38</w:t>
            </w:r>
          </w:p>
        </w:tc>
        <w:tc>
          <w:tcPr>
            <w:tcW w:type="dxa" w:w="794"/>
            <w:vAlign w:val="center"/>
          </w:tcPr>
          <w:p>
            <w:pPr>
              <w:pStyle w:val="TableText"/>
              <w:keepNext/>
              <w:jc w:val="center"/>
            </w:pPr>
            <w:r>
              <w:rPr>
                <w:sz w:val="20"/>
              </w:rPr>
              <w:t>1</w:t>
            </w:r>
          </w:p>
        </w:tc>
        <w:tc>
          <w:tcPr>
            <w:tcW w:type="dxa" w:w="1020"/>
            <w:vAlign w:val="center"/>
          </w:tcPr>
          <w:p>
            <w:pPr>
              <w:pStyle w:val="TableText"/>
              <w:keepNext/>
              <w:jc w:val="center"/>
            </w:pPr>
            <w:r>
              <w:rPr>
                <w:sz w:val="20"/>
              </w:rPr>
              <w:t>5 (4)</w:t>
            </w:r>
          </w:p>
        </w:tc>
        <w:tc>
          <w:tcPr>
            <w:tcW w:type="dxa" w:w="850"/>
            <w:vAlign w:val="center"/>
          </w:tcPr>
          <w:p>
            <w:pPr>
              <w:pStyle w:val="TableText"/>
              <w:keepNext/>
              <w:jc w:val="center"/>
            </w:pPr>
            <w:r>
              <w:rPr>
                <w:sz w:val="20"/>
              </w:rPr>
              <w:t>70</w:t>
            </w:r>
          </w:p>
        </w:tc>
        <w:tc>
          <w:tcPr>
            <w:tcW w:type="dxa" w:w="907"/>
            <w:vAlign w:val="center"/>
          </w:tcPr>
          <w:p>
            <w:pPr>
              <w:pStyle w:val="TableText"/>
              <w:keepNext/>
              <w:jc w:val="center"/>
            </w:pPr>
            <w:r>
              <w:rPr>
                <w:sz w:val="20"/>
              </w:rPr>
              <w:t>403</w:t>
            </w:r>
          </w:p>
        </w:tc>
      </w:tr>
      <w:tr>
        <w:trPr>
          <w:cantSplit/>
        </w:trPr>
        <w:tc>
          <w:tcPr>
            <w:tcW w:type="dxa" w:w="680"/>
            <w:vAlign w:val="center"/>
          </w:tcPr>
          <w:p>
            <w:pPr>
              <w:pStyle w:val="TableText"/>
              <w:jc w:val="center"/>
            </w:pPr>
            <w:r>
              <w:rPr>
                <w:sz w:val="20"/>
              </w:rPr>
              <w:t>270</w:t>
            </w:r>
          </w:p>
        </w:tc>
        <w:tc>
          <w:tcPr>
            <w:tcW w:type="dxa" w:w="794"/>
            <w:vAlign w:val="center"/>
          </w:tcPr>
          <w:p>
            <w:pPr>
              <w:pStyle w:val="TableText"/>
              <w:jc w:val="center"/>
            </w:pPr>
            <w:r>
              <w:rPr>
                <w:sz w:val="20"/>
              </w:rPr>
              <w:t>5,8</w:t>
            </w:r>
          </w:p>
        </w:tc>
        <w:tc>
          <w:tcPr>
            <w:tcW w:type="dxa" w:w="1134"/>
            <w:vAlign w:val="center"/>
          </w:tcPr>
          <w:p>
            <w:pPr>
              <w:pStyle w:val="TableText"/>
              <w:jc w:val="center"/>
            </w:pPr>
            <w:r>
              <w:rPr>
                <w:sz w:val="20"/>
              </w:rPr>
              <w:t>992</w:t>
            </w:r>
          </w:p>
        </w:tc>
        <w:tc>
          <w:tcPr>
            <w:tcW w:type="dxa" w:w="1020"/>
            <w:vAlign w:val="center"/>
          </w:tcPr>
          <w:p>
            <w:pPr>
              <w:pStyle w:val="TableText"/>
              <w:jc w:val="center"/>
            </w:pPr>
            <w:r>
              <w:rPr>
                <w:sz w:val="20"/>
              </w:rPr>
              <w:t>1,25</w:t>
            </w:r>
          </w:p>
        </w:tc>
        <w:tc>
          <w:tcPr>
            <w:tcW w:type="dxa" w:w="907"/>
            <w:vAlign w:val="center"/>
          </w:tcPr>
          <w:p>
            <w:pPr>
              <w:pStyle w:val="TableText"/>
              <w:jc w:val="center"/>
            </w:pPr>
            <w:r>
              <w:rPr>
                <w:sz w:val="20"/>
              </w:rPr>
              <w:t>−50</w:t>
            </w:r>
          </w:p>
        </w:tc>
        <w:tc>
          <w:tcPr>
            <w:tcW w:type="dxa" w:w="794"/>
            <w:vAlign w:val="center"/>
          </w:tcPr>
          <w:p>
            <w:pPr>
              <w:pStyle w:val="TableText"/>
              <w:jc w:val="center"/>
            </w:pPr>
            <w:r>
              <w:rPr>
                <w:sz w:val="20"/>
              </w:rPr>
              <w:t>36</w:t>
            </w:r>
          </w:p>
        </w:tc>
        <w:tc>
          <w:tcPr>
            <w:tcW w:type="dxa" w:w="794"/>
            <w:vAlign w:val="center"/>
          </w:tcPr>
          <w:p>
            <w:pPr>
              <w:pStyle w:val="TableText"/>
              <w:jc w:val="center"/>
            </w:pPr>
            <w:r>
              <w:rPr>
                <w:sz w:val="20"/>
              </w:rPr>
              <w:t>1</w:t>
            </w:r>
          </w:p>
        </w:tc>
        <w:tc>
          <w:tcPr>
            <w:tcW w:type="dxa" w:w="1020"/>
            <w:vAlign w:val="center"/>
          </w:tcPr>
          <w:p>
            <w:pPr>
              <w:pStyle w:val="TableText"/>
              <w:jc w:val="center"/>
            </w:pPr>
            <w:r>
              <w:rPr>
                <w:sz w:val="20"/>
              </w:rPr>
              <w:t>4 (4)</w:t>
            </w:r>
          </w:p>
        </w:tc>
        <w:tc>
          <w:tcPr>
            <w:tcW w:type="dxa" w:w="850"/>
            <w:vAlign w:val="center"/>
          </w:tcPr>
          <w:p>
            <w:pPr>
              <w:pStyle w:val="TableText"/>
              <w:jc w:val="center"/>
            </w:pPr>
            <w:r>
              <w:rPr>
                <w:sz w:val="20"/>
              </w:rPr>
              <w:t>68</w:t>
            </w:r>
          </w:p>
        </w:tc>
        <w:tc>
          <w:tcPr>
            <w:tcW w:type="dxa" w:w="907"/>
            <w:vAlign w:val="center"/>
          </w:tcPr>
          <w:p>
            <w:pPr>
              <w:pStyle w:val="TableText"/>
              <w:jc w:val="center"/>
            </w:pPr>
            <w:r>
              <w:rPr>
                <w:sz w:val="20"/>
              </w:rPr>
              <w:t>378</w:t>
            </w:r>
          </w:p>
        </w:tc>
      </w:tr>
    </w:tbl>
    <w:p>
      <w:pPr>
        <w:spacing w:line="240" w:lineRule="auto"/>
      </w:pP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через стену скорость канала в течение суток меняется в 2–3 раза: при одной и той же настройке синтетический поток за один вечер менялся от 302 до 590 кбит/с, а видео в одной точке давало 600–700 кбит/с днём и 228 кбит/с ночью.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2.5</w:t>
      </w:r>
      <w:r>
        <w:t>).</w:t>
      </w:r>
    </w:p>
    <w:p>
      <w:pPr>
        <w:pStyle w:val="TableCaption"/>
        <w:ind w:firstLine="0"/>
      </w:pPr>
      <w:r>
        <w:t>Таблица 2.5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[30]</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[31, 32]</w:t>
            </w:r>
          </w:p>
        </w:tc>
        <w:tc>
          <w:tcPr>
            <w:tcW w:type="dxa" w:w="2041"/>
            <w:vAlign w:val="center"/>
          </w:tcPr>
          <w:p>
            <w:pPr>
              <w:pStyle w:val="TableText"/>
              <w:keepNext/>
              <w:jc w:val="left"/>
            </w:pPr>
            <w:r>
              <w:rPr>
                <w:sz w:val="22"/>
              </w:rPr>
              <w:t>Morse Micro MM6108 [33]</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[34]</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[35, 36]</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[37]</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[38]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через стену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отношению сигнал/шум,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(приём видеокадров из фрагментов,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составляет видеокадры из фрагментов,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25–28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[38];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25–28 дБ выше, чем у приёмника, долю неудачных попыток передачи 50–67 % при отношении сигнал/шум 30–38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подготовлен и настроен в разрешённой конфигурации: канал шириной 2 МГц с центральной частотой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через стену);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 через стену.</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до 4 МГц снизило их в 4,4 раза (с 7,49 до 1,71 %), а ширина сигнала при более узкой полосе приёма почти не влияет (1,71 и 1,88 % — в пределах разброса). Причина — шум и помехи, которые собирает приёмник: по формуле (1.2) мощность шума пропорциональна полосе приёма, и при её сужении с B₁ до B₂ шум уменьшается на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ΔN</m:t>
              </m:r>
              <m:r>
                <m:rPr>
                  <m:sty m:val="p"/>
                </m:rPr>
                <w:rPr>
                  <w:rFonts w:ascii="Cambria Math" w:hAnsi="Cambria Math"/>
                </w:rPr>
                <m:t xml:space="preserve"> = 10 lg </m:t>
              </m:r>
              <m:f>
                <m:num>
                  <m:sSub>
                    <m:e>
                      <m:r>
                        <w:rPr>
                          <w:rFonts w:ascii="Cambria Math" w:hAnsi="Cambria Math"/>
                        </w:rPr>
                        <m:t xml:space="preserve">B</m:t>
                      </m:r>
                    </m:e>
                    <m:sub>
                      <m:r>
                        <m:rPr>
                          <m:sty m:val="p"/>
                        </m:rPr>
                        <w:rPr>
                          <w:rFonts w:ascii="Cambria Math" w:hAnsi="Cambria Math"/>
                        </w:rPr>
                        <m:t xml:space="preserve">1</m:t>
                      </m:r>
                    </m:sub>
                  </m:sSub>
                </m:num>
                <m:den>
                  <m:sSub>
                    <m:e>
                      <m:r>
                        <w:rPr>
                          <w:rFonts w:ascii="Cambria Math" w:hAnsi="Cambria Math"/>
                        </w:rPr>
                        <m:t xml:space="preserve">B</m:t>
                      </m:r>
                    </m:e>
                    <m:sub>
                      <m:r>
                        <m:rPr>
                          <m:sty m:val="p"/>
                        </m:rPr>
                        <w:rPr>
                          <w:rFonts w:ascii="Cambria Math" w:hAnsi="Cambria Math"/>
                        </w:rPr>
                        <m:t xml:space="preserve">2</m:t>
                      </m:r>
                    </m:sub>
                  </m:sSub>
                </m:den>
              </m:f>
              <m:r>
                <m:rPr>
                  <m:sty m:val="p"/>
                </m:rPr>
                <w:rPr>
                  <w:rFonts w:ascii="Cambria Math" w:hAnsi="Cambria Math"/>
                </w:rPr>
                <m:t xml:space="preserve"> = 10 lg </m:t>
              </m:r>
              <m:f>
                <m:num>
                  <m:r>
                    <m:rPr>
                      <m:sty m:val="p"/>
                    </m:rPr>
                    <w:rPr>
                      <w:rFonts w:ascii="Cambria Math" w:hAnsi="Cambria Math"/>
                    </w:rPr>
                    <m:t xml:space="preserve">8</m:t>
                  </m:r>
                </m:num>
                <m:den>
                  <m:r>
                    <m:rPr>
                      <m:sty m:val="p"/>
                    </m:rPr>
                    <w:rPr>
                      <w:rFonts w:ascii="Cambria Math" w:hAnsi="Cambria Math"/>
                    </w:rPr>
                    <m:t xml:space="preserve">4</m:t>
                  </m:r>
                </m:den>
              </m:f>
              <m:r>
                <m:rPr>
                  <m:sty m:val="p"/>
                </m:rPr>
                <w:rPr>
                  <w:rFonts w:ascii="Cambria Math" w:hAnsi="Cambria Math"/>
                </w:rPr>
                <m:t xml:space="preserve"> = 3,0 дБ,</m:t>
              </m:r>
            </m:oMath>
          </w:p>
        </w:tc>
        <w:tc>
          <w:tcPr>
            <w:tcW w:type="dxa" w:w="1020"/>
            <w:vAlign w:val="center"/>
          </w:tcPr>
          <w:p>
            <w:pPr>
              <w:pStyle w:val="Formula"/>
              <w:jc w:val="right"/>
            </w:pPr>
            <w:r>
              <w:t>(3.1)</w:t>
            </w:r>
          </w:p>
        </w:tc>
      </w:tr>
    </w:tbl>
    <w:p>
      <w:pPr>
        <w:ind w:firstLine="0"/>
      </w:pPr>
      <w:r>
        <w:t xml:space="preserve">где </w:t>
      </w:r>
      <w:r>
        <w:t>ΔN — уменьшение мощности шума, дБ; B₁, B₂ — полоса приёма до и после сужения, МГц.</w:t>
      </w:r>
    </w:p>
    <w:p>
      <w:r>
        <w:t>Сигнал занимает 2 МГц в обоих случаях, поэтому отношение сигнал/шум растёт на те же 3,0 дБ. Одним тепловым шумом снижение потерь в 4,4 раза не объясняется: в полосу 8 МГц попадают и излучения других устройств диапазона 863–870 МГц, а при сужении полосы приёма они отсекаются. Эксперимент подтвердил направление эффекта: чем уже полоса приёма, тем меньше потерь.</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через стену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через стену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389253"/>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389253"/>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[38].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(3.2)</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[39],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в итоговой настройке (3 Мбод, пауза 1,5 мс) пропускает до 1,79 Мбит/с (таблица 3.3)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через стену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через стену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Код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через стену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 через стену)</w:t>
      </w:r>
    </w:p>
    <w:p>
      <w:r>
        <w:rPr>
          <w:b/>
        </w:rPr>
        <w:t xml:space="preserve">Нижняя граница модуляции по отношению сигнал/шум.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через стену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через стену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через стену меняется в 2–3 раза по времени суток (раздел 2.4),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через стену, канал шириной 2 МГц,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отношению сигнал/шум</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через стену)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через стену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 при мощности 1 дБм: потери на трассе 54 дБ, запас до чувствительности около 48 дБ</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w:t>
            </w:r>
          </w:p>
        </w:tc>
        <w:tc>
          <w:tcPr>
            <w:tcW w:type="dxa" w:w="2551"/>
            <w:vAlign w:val="center"/>
          </w:tcPr>
          <w:p>
            <w:pPr>
              <w:pStyle w:val="TableText"/>
              <w:keepNext/>
              <w:jc w:val="center"/>
            </w:pPr>
            <w:r>
              <w:rPr>
                <w:sz w:val="22"/>
              </w:rPr>
              <w:t>медиана 0,34–0,50 с; в контрольном опыте в среднем 0,42 с, самые медленные видеокадры — до 0,8 с в 9 из 10 отчётов, наибольшая — 1,46 с</w:t>
            </w:r>
          </w:p>
        </w:tc>
        <w:tc>
          <w:tcPr>
            <w:tcW w:type="dxa" w:w="3288"/>
            <w:vAlign w:val="center"/>
          </w:tcPr>
          <w:p>
            <w:pPr>
              <w:pStyle w:val="TableText"/>
              <w:keepNext/>
              <w:jc w:val="left"/>
            </w:pPr>
            <w:r>
              <w:rPr>
                <w:sz w:val="22"/>
              </w:rPr>
              <w:t>опыты с инерцией качества и единой версией программы; контрольный опыт</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r>
        <w:rPr>
          <w:b/>
        </w:rPr>
        <w:t xml:space="preserve">Контрольный опыт. </w:t>
      </w:r>
      <w:r>
        <w:t>Опыт длительностью 282 с выполнен на трассе 5 м через стену с итоговой версией программ. Получено: полезная скорость в среднем 1028 кбит/с (медиана посекундных значений — 1024 кбит/с), 5,6 видеокадра в секунду; показано 1572 видеокадра, потеряно 16 (1,0 %), досылкой восстановлено 35; потери фрагментов после повторов MAC — 1,2 %. Мощность передатчика 1 дБм, уровень сигнала −50 дБм, SNR 36 дБ, нижняя граница модуляции держалась на MCS 4, PER — 68 % (медианы), RTT в среднем 0,42 с. Среднее значение задержки сглаживает выбросы, поэтому отдельно приведён разброс: в каждом отчёте модуля (около 2 с) самый быстрый видеокадр подтверждался за 0,06–0,18 с, самый медленный — в 9 из 10 отчётов не дольше 0,8 с, наибольшая задержка за опыт — 1,46 с. Уровень сигнала −50 дБм получен при мощности передатчика 1 дБм: регулятор снижает мощность, пока запас избыточен, поэтому сам уровень сигнала зависит от мощности, а о трассе говорят потери на ней — 51 дБ — и запас до чувствительности приёмника — около 50 дБ. Фрагмент журнала — в таблице 2.4.</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через стену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через стену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через стену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(3.3)</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25–28 дБ выше, чем у платы приёмника без камеры (−85…−88 дБм),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при превышении на 28 дБ граница в свободном пространстве сокращается в 25 раз — до 39 м на MCS 7 и 190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[28].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[28]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[28].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идёт с полной скоростью (наибольшие потери)</w:t>
            </w:r>
          </w:p>
        </w:tc>
        <w:tc>
          <w:tcPr>
            <w:tcW w:type="dxa" w:w="1247"/>
            <w:vAlign w:val="center"/>
          </w:tcPr>
          <w:p>
            <w:pPr>
              <w:pStyle w:val="TableText"/>
              <w:keepNext/>
              <w:jc w:val="center"/>
            </w:pPr>
            <w:r>
              <w:rPr>
                <w:sz w:val="20"/>
              </w:rPr>
              <w:t>68</w:t>
            </w:r>
          </w:p>
        </w:tc>
        <w:tc>
          <w:tcPr>
            <w:tcW w:type="dxa" w:w="1474"/>
            <w:vAlign w:val="center"/>
          </w:tcPr>
          <w:p>
            <w:pPr>
              <w:pStyle w:val="TableText"/>
              <w:keepNext/>
              <w:jc w:val="center"/>
            </w:pPr>
            <w:r>
              <w:rPr>
                <w:sz w:val="20"/>
              </w:rPr>
              <w:t>0,069</w:t>
            </w:r>
          </w:p>
        </w:tc>
        <w:tc>
          <w:tcPr>
            <w:tcW w:type="dxa" w:w="1247"/>
            <w:vAlign w:val="center"/>
          </w:tcPr>
          <w:p>
            <w:pPr>
              <w:pStyle w:val="TableText"/>
              <w:keepNext/>
              <w:jc w:val="center"/>
            </w:pPr>
            <w:r>
              <w:rPr>
                <w:sz w:val="20"/>
              </w:rPr>
              <w:t>83</w:t>
            </w:r>
          </w:p>
        </w:tc>
        <w:tc>
          <w:tcPr>
            <w:tcW w:type="dxa" w:w="1474"/>
            <w:vAlign w:val="center"/>
          </w:tcPr>
          <w:p>
            <w:pPr>
              <w:pStyle w:val="TableText"/>
              <w:keepNext/>
              <w:jc w:val="center"/>
            </w:pPr>
            <w:r>
              <w:rPr>
                <w:sz w:val="20"/>
              </w:rPr>
              <w:t>0,14</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Привычная оценка дальности Wi-Fi 2,4 ГГц в сотни метров относится к полной скорости. На этой паре плат Wi-Fi держал полную скорость видео до потерь 83 дБ (≈ 140 м), видео прекратилось при 96 дБ, а 0,87 км — граница связи на самой медленной скорости 802.11b 1 Мбит/с, где передаются только служебные кадры. Wi-Fi HaLow полную скорость видео держит до 68 дБ (≈ 70 м): видеопоток около 1 Мбит/с близок к пределу его пропускной способности, и запас по скорости исчерпывается раньше; зато видео на пониженной скорости и сама связь сохраняются намного дальше, чем у Wi-Fi.</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фрагменты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 через стену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фрагментов и паузы планирования, которых в Wi-Fi-тракте нет. Измерения Wi-Fi HaLow и Wi-Fi 2,4 ГГц на трассе 5 м через стену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[40].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[41]; по пользовательским данным, канал управления ExpressLRS 900 МГц работал с БПЛА на 40,7 км при 10 мВт [42]. Но скорость LoRa — 0,29–5,5 кбит/с в канале 125 кГц [3], ниже полученной полезной скорости Wi-Fi HaLow в 190–3600 раз, а время передачи одного пакета — от 0,39 до 31 мс в режимах ExpressLRS [43]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(3.3)</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Чёткого порога скорости для видео нет: при меньшей скорости видео сохраняется за счёт снижения качества сжатия и разрешения (раздел 3.4). Промежуточные режимы MCS 1–6 на рисунке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4668339"/>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4668339"/>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[44].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[42]</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[28];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[28]</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[43];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до 4 МГц снизило потери в 4,4 раза — шум в полосе уменьшается на 10 lg(8/4) = 3,0 дБ, и в узкую полосу попадает меньше помех других устройств диапазона.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отношению сигнал/шум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через стену: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через стену: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сочетает оба свойства: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5,6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Измерение на одной паре плат подтвердило расчёт для наименьших скоростей: граница связи, где обе технологии работают на самой медленной модуляции, у Wi-Fi HaLow в 1,8 раза дальше (по расчёту — в 1,9 раза;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шириной 2 МГц с центральной частотой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через стену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отношению сигнал/шум;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через стену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отношению сигнал/шум,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r>
        <w:t>Часть ограничений этими мерами не снимается, и при интеграции их нужно учитывать: на плате с интерфейсом UART полезная скорость не превысит 3,92 Мбит/с, а на данной паре модулей она держится около 1 Мбит/с из-за потерь передач на уровне MAC, программа которого закрыта; помехи собственной электроники на компактном борту полностью не устранить; с расстоянием качество изображения снижается вплоть до разрешения 240 × 160; у земли — при взлёте, посадке и полёте на малой высоте — дальность в разы меньше, чем на рабочей высоте; мощность выше 14 дБм не разрешена, а в пределах аэродромов диапазон 866–868 МГц применять нельзя.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3GPP TR 38.901 V17.0.0 (2022-03). Study on channel model for frequencies from 0.5 to 100 GHz (Release 17) : technical report / 3rd Generation Partnership Project. – Valbonne : ETSI, 2022. – 106 p. – Текст : электронный // 3GPP : [сайт]. – URL: https://www.3gpp.org/ftp/Specs/archive/38_series/38.901/ (дата обращения: 22.10.2026).</w:t>
      </w:r>
    </w:p>
    <w:p>
      <w:pPr>
        <w:ind w:firstLine="0"/>
        <w:jc w:val="left"/>
      </w:pPr>
      <w:r>
        <w:t>25. Об утверждении Федеральных правил использования воздушного пространства Российской Федерации : постановление Правительства Российской Федерации от 11.03.2010 № 138 (в ред. постановления от 03.02.2020 № 74). – Текст : электронный // ГАРАНТ.РУ : информационно-правовой портал. – URL: https://base.garant.ru/197839/ (дата обращения: 22.10.2026).</w:t>
      </w:r>
    </w:p>
    <w:p>
      <w:pPr>
        <w:ind w:firstLine="0"/>
        <w:jc w:val="left"/>
      </w:pPr>
      <w:r>
        <w:t>26. Shannon, C. E. A Mathematical Theory of Communication / C. E. Shannon // Bell System Technical Journal. – 1948. – Vol. 27, no. 3. – P. 379–423. – Текст : электронный.</w:t>
      </w:r>
    </w:p>
    <w:p>
      <w:pPr>
        <w:ind w:firstLine="0"/>
        <w:jc w:val="left"/>
      </w:pPr>
      <w:r>
        <w:t>27.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28.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29.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30. LILYGO T-Halow ESP32-S3 Development Board, Wi-Fi HaLow. – Текст : электронный // AliExpress : [сайт]. – URL: https://www.aliexpress.com/item/1005007402959136.html (дата обращения: 24.09.2026).</w:t>
      </w:r>
    </w:p>
    <w:p>
      <w:pPr>
        <w:ind w:firstLine="0"/>
        <w:jc w:val="left"/>
      </w:pPr>
      <w:r>
        <w:t>31. ESP32 Wi-Fi HaLow Camera HT-HC32. – Текст : электронный // Heltec Automation : [сайт]. – URL: https://wiki.heltec.org/docs/devices/wifi-halow/ht-hc32/ (дата обращения: 13.10.2026).</w:t>
      </w:r>
    </w:p>
    <w:p>
      <w:pPr>
        <w:ind w:firstLine="0"/>
        <w:jc w:val="left"/>
      </w:pPr>
      <w:r>
        <w:t>32. ESP32 Wi-Fi HaLow Camera. – Текст : электронный // Heltec Automation : [сайт]. – URL: https://heltec.org/project/ht-hc32/ (дата обращения: 13.10.2026).</w:t>
      </w:r>
    </w:p>
    <w:p>
      <w:pPr>
        <w:ind w:firstLine="0"/>
        <w:jc w:val="left"/>
      </w:pPr>
      <w:r>
        <w:t>33.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34.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35. NRC7394 Evaluation Kit Purchase page. – Текст : электронный // NEWRACOM : [сайт]. – URL: https://newracom.com/nrc7394-evaluation-kit-purchase-page (дата обращения: 24.09.2026).</w:t>
      </w:r>
    </w:p>
    <w:p>
      <w:pPr>
        <w:ind w:firstLine="0"/>
        <w:jc w:val="left"/>
      </w:pPr>
      <w:r>
        <w:t>36. NRC7292 EVK. – Текст : электронный // NEWRACOM : [сайт]. – URL: https://newracom.com/products/nrc7292-evk (дата обращения: 24.09.2026).</w:t>
      </w:r>
    </w:p>
    <w:p>
      <w:pPr>
        <w:ind w:firstLine="0"/>
        <w:jc w:val="left"/>
      </w:pPr>
      <w:r>
        <w:t>37. MM6108-EKH05-05US, WiFi Development Tools — 802.11 Wi-Fi HaLow IoT Development Board. – Текст : электронный // ЧИП и ДИП : [сайт]. – URL: https://chipdip.ru/product0/8040419288 (дата обращения: 24.09.2026).</w:t>
      </w:r>
    </w:p>
    <w:p>
      <w:pPr>
        <w:ind w:firstLine="0"/>
        <w:jc w:val="left"/>
      </w:pPr>
      <w:r>
        <w:t>38.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39.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40. ESP32-CAM Performance Reference Benchmark : dataset / TNeutron. – 2025. – Текст : электронный // GitHub : [сайт]. – URL: https://github.com/TNeutron/ESP32-CAM-Performence-Reference-Benchmark (дата обращения: 08.10.2026).</w:t>
      </w:r>
    </w:p>
    <w:p>
      <w:pPr>
        <w:ind w:firstLine="0"/>
        <w:jc w:val="left"/>
      </w:pPr>
      <w:r>
        <w:t>41.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42. Long Range / ExpressLRS. – Текст : электронный // GitHub : ExpressLRS/Docs. – URL: https://github.com/ExpressLRS/Docs/blob/master/docs/info/long-range.md (дата обращения: 08.10.2026).</w:t>
      </w:r>
    </w:p>
    <w:p>
      <w:pPr>
        <w:ind w:firstLine="0"/>
        <w:jc w:val="left"/>
      </w:pPr>
      <w:r>
        <w:t>43. Signal Health / ExpressLRS. – Текст : электронный // GitHub : ExpressLRS/Docs. – URL: https://github.com/ExpressLRS/Docs/blob/master/docs/info/signal-health.md (дата обращения: 08.10.2026).</w:t>
      </w:r>
    </w:p>
    <w:p>
      <w:pPr>
        <w:ind w:firstLine="0"/>
        <w:jc w:val="left"/>
      </w:pPr>
      <w:r>
        <w:t>44.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45.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46.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47.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48.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49.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50.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51.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52. ГОСТ 12.2.007.0-75. Система стандартов безопасности труда. Изделия электротехнические. Общие требования безопасности : государственный стандарт Союза ССР : утвержден постановлением Государственного комитета стандартов Совета Министров СССР от 10.09.1975 № 2368 : дата введения 1978-01-01. – Текст : электронный // МЕГАНОРМ : [сайт]. – URL: https://meganorm.ru/Data1/6/6884/index.htm (дата обращения: 23.10.2026).</w:t>
      </w:r>
    </w:p>
    <w:p>
      <w:pPr>
        <w:ind w:firstLine="0"/>
        <w:jc w:val="left"/>
      </w:pPr>
      <w:r>
        <w:t>53.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54.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55.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56.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57.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58.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59.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60.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61. Универсальная светодиодная панель MASTER ДВО 48W-4000K-595х595х40-опал IP40 KZS : артикул 48786 : технические характеристики / FERON. – Текст : электронный // FERON : [сайт]. – URL: https://feron.ru/catalog/svetodiodnye_paneli_armstrong/universalnaya_svetodiodnaya_panel_master_dvo_48w_4000k_595kh595kh40_opal_ip40_kzs/ (дата обращения: 23.10.2026).</w:t>
      </w:r>
    </w:p>
    <w:p>
      <w:pPr>
        <w:ind w:firstLine="0"/>
        <w:jc w:val="left"/>
      </w:pPr>
      <w:r>
        <w:t>62. СП 51.13330.2011. Защита от шума. Актуализированная редакция СНиП 23-03-2003 : свод правил : утвержден приказом Министерства регионального развития Российской Федерации от 28.12.2010 № 825 (ред. от 12.12.2023) : дата введения 2011-05-20. – Текст : электронный // Электронный фонд правовых и нормативно-технических документов : [сайт]. – URL: https://docs.cntd.ru/document/1200084097 (дата обращения: 23.10.2026).</w:t>
      </w:r>
    </w:p>
    <w:p>
      <w:pPr>
        <w:ind w:firstLine="0"/>
        <w:jc w:val="left"/>
      </w:pPr>
      <w:r>
        <w:t>63. HP Pro Series 400 G9 Desktop PCs : QuickSpecs c08017709 : Version 18, May 8, 2025 / HP Inc. – 99 p. – Текст : электронный // HP : [сайт]. – URL: https://h20195.www2.hp.com/v2/GetDocument.aspx?docname=c08017709 (дата обращения: 22.10.2026).</w:t>
      </w:r>
    </w:p>
    <w:p>
      <w:pPr>
        <w:ind w:firstLine="0"/>
        <w:jc w:val="left"/>
      </w:pPr>
      <w:r>
        <w:t>64. Сплит-системы Daichi AIR : AIR20AVQ1 / AIR20FV1 – AIR70AVQ1 / AIR70FV1 : технические характеристики. – Текст : электронный // Библиотека С.О.К. : [сайт]. – URL: https://c-o-k.ru/library/instructions/daichi/kondicionery-bytovye/133972.pdf (дата обращения: 22.10.2026).</w:t>
      </w:r>
    </w:p>
    <w:p>
      <w:pPr>
        <w:ind w:firstLine="0"/>
        <w:jc w:val="left"/>
      </w:pPr>
      <w:r>
        <w:t>65. Шредер Cactus CS-SH-G6 : характеристики. – Текст : электронный // КНС : [сайт]. – URL: https://www.kns.ru/product/shreder-cactus-cs-sh-g6/characteristics/ (дата обращения: 22.10.2026).</w:t>
      </w:r>
    </w:p>
    <w:p>
      <w:pPr>
        <w:ind w:firstLine="0"/>
        <w:jc w:val="left"/>
      </w:pPr>
      <w:r>
        <w:t>66.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67.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68.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69.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70.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71.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72.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73.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74.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75.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76.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77.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78.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79.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80.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81. СП 1.13130.2020. Системы противопожарной защиты. Эвакуационные пути и выходы : свод правил : утвержден приказом МЧС России от 19.03.2020 № 194 : дата введения 2020-09-19. – Текст : электронный // Электронный фонд правовых и нормативно-технических документов : [сайт]. – URL: https://docs.cntd.ru/document/565248961 (дата обращения: 22.10.2026).</w:t>
      </w:r>
    </w:p>
    <w:p>
      <w:pPr>
        <w:ind w:firstLine="0"/>
        <w:jc w:val="left"/>
      </w:pPr>
      <w:r>
        <w:t>82.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9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108</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