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[7] на платформе LilyGO T-HaLow по сравнению с традиционными протоколами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сравнение с IEEE 802.11 на той же аппаратной платформе и рекомендации по применению технологии для связи с БПЛА.</w:t>
      </w:r>
    </w:p>
    <w:p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должен перекрывать затраты на её выполнение. Необходимо убедиться в научной новизне, эффективности и окупаемости исследования, для чего по методике [42] выполняются:</w:t>
      </w:r>
    </w:p>
    <w:p>
      <w:r>
        <w:t xml:space="preserve">– </w:t>
      </w:r>
      <w:r>
        <w:t>оценка целесообразности НИР на основе сравнения с существующими технологиями;</w:t>
      </w:r>
    </w:p>
    <w:p>
      <w:r>
        <w:t xml:space="preserve">– </w:t>
      </w:r>
      <w:r>
        <w:t>планирование работ: определение трудоёмкости НИР и построение сетевого графика;</w:t>
      </w:r>
    </w:p>
    <w:p>
      <w:r>
        <w:t xml:space="preserve">– </w:t>
      </w:r>
      <w:r>
        <w:t>определение затрат, себестоимости и цены НИР;</w:t>
      </w:r>
    </w:p>
    <w:p>
      <w:r>
        <w:t xml:space="preserve">– </w:t>
      </w:r>
      <w:r>
        <w:t>оценка экономической эффективности и срока окупаемости.</w:t>
      </w:r>
    </w:p>
    <w:p>
      <w:r>
        <w:t>В результате будет получена комплексная оценка экономической обоснованности НИР и 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</w:t>
      </w:r>
    </w:p>
    <w:p>
      <w:pPr>
        <w:pStyle w:val="Heading2"/>
      </w:pPr>
      <w:r>
        <w:t>4.1 Оценка целесообразности проведения исследования</w:t>
      </w:r>
    </w:p>
    <w:p>
      <w:r>
        <w:t xml:space="preserve"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научно-технической прогрессивности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>, который определяется балльным сравнением НТПр с уже существующим решением — базой для сравнения [42].</w:t>
      </w:r>
    </w:p>
    <w:p>
      <w:r>
        <w:t>Сравнение проводится по трём признакам: научно-технический уровень (новизна), перспективность и возможность применения результатов. Баллы назначаются по ориентировочным шкалам методики [42].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>
      <w:r>
        <w:t>Канал передачи данных с борта БПЛА на удалённый наземный пункт может быть построен на одной из трёх технологий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уровень лишь приближается к мировому — 5 баллов; перспективность — 4 балла («полезная»):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>
      <w:r>
        <w:t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HaLow,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>
      <w:r>
        <w:t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474"/>
        <w:gridCol w:w="1587"/>
        <w:gridCol w:w="1587"/>
        <w:gridCol w:w="1587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1: LoRa,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2: Wi-Fi 2,4 ГГц,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НТПр: Wi-Fi HaLow, баллы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для каждой базы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Нi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7·0,4 + 7·0,4 + 8·0,2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0,4 + 0,4 + 0,2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Нi</m:t>
            </m:r>
          </m:sub>
        </m:sSub>
      </m:oMath>
      <w:r>
        <w:t xml:space="preserve"> – значение показателя i-го признака НТПр, являющейся результатом дипломной работы, баллы (таблица 4.1);</w:t>
      </w:r>
    </w:p>
    <w:p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Б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Бi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Бi</m:t>
            </m:r>
          </m:sub>
        </m:sSub>
      </m:oMath>
      <w:r>
        <w:t xml:space="preserve"> – значение показателя i-го признака НТПр, выбранной за базу для сравнения, баллы (таблица 4.1). Для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+ 4·0,4 + 2·0,2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4,0;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+ 5·0,4 + 7·0,2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5,4.</m:t>
        </m:r>
      </m:oMath>
    </w:p>
    <w:p>
      <w:pPr>
        <w:keepNext/>
      </w:pPr>
      <w:r>
        <w:t xml:space="preserve">Подставляя полученные значения в формулу </w:t>
      </w:r>
      <w:r>
        <w:t>(4.1)</w:t>
      </w:r>
      <w:r>
        <w:t>, получаем индексы научно-технической прогрессивности относительно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4,0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1,80;   </m:t>
        </m:r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1,33.</m:t>
        </m:r>
      </m:oMath>
    </w:p>
    <w:p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2,4 ГГц, равный 1,33.</w:t>
      </w:r>
    </w:p>
    <w:p>
      <w:r>
        <w:t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ориентировочной шкале методики [42]: принципиально новое — 5 баллов, новое — 3, улучшенное — 2, существующего уровня — 1, устаревшее — 0. Оценка приведена в таблице 4.2.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используются серийные платы без доработки аппаратной части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Коэффициент новизны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Так как значение коэффициента больше 0,2, НИР обладает удовлетворительной новизной и её проведение целесообразно. Результат является новым по функциональному критерию и улучшенным по технологическому.</w:t>
      </w:r>
    </w:p>
    <w:p>
      <w:pPr>
        <w:pStyle w:val="Heading2"/>
      </w:pPr>
      <w:r>
        <w:t>4.2 Планирование разработки</w:t>
      </w:r>
    </w:p>
    <w:p>
      <w:r>
        <w:t>После подтверждения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параллельно и укладывается ли НИР в заданный срок. По методике [42] НИР делится на четыре стадии:</w:t>
      </w:r>
    </w:p>
    <w:p>
      <w:r>
        <w:t xml:space="preserve">– </w:t>
      </w:r>
      <w:r>
        <w:t>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>
      <w:r>
        <w:t xml:space="preserve">– </w:t>
      </w:r>
      <w:r>
        <w:t>теоретическая разработка — основа исследования: выбор моделей и методики, подготовка средств проведения эксперимента;</w:t>
      </w:r>
    </w:p>
    <w:p>
      <w:r>
        <w:t xml:space="preserve">– </w:t>
      </w:r>
      <w:r>
        <w:t>экспериментальные работы — проверка и уточнение теоретических положений измерениями;</w:t>
      </w:r>
    </w:p>
    <w:p>
      <w:r>
        <w:t xml:space="preserve">– </w:t>
      </w:r>
      <w:r>
        <w:t>заключительная стадия — оформление отчёта, оценка значимости полученных результатов и перспектив их применения.</w:t>
      </w:r>
    </w:p>
    <w:p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>
      <w:pPr>
        <w:pStyle w:val="TableCaption"/>
        <w:ind w:firstLine="0"/>
      </w:pPr>
      <w:r>
        <w:t>Таблица 4.3 – Стадии работ, выполняемые при проведении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551"/>
        <w:gridCol w:w="4818"/>
        <w:gridCol w:w="1984"/>
      </w:tblGrid>
      <w:tr>
        <w:trPr>
          <w:cantSplit/>
          <w:tblHeader w:val="true"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Продолжительность работ НИР,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159"/>
        <w:gridCol w:w="1020"/>
        <w:gridCol w:w="1020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70</w:t>
            </w:r>
          </w:p>
        </w:tc>
      </w:tr>
    </w:tbl>
    <w:p>
      <w:pPr>
        <w:spacing w:line="240" w:lineRule="auto"/>
      </w:pPr>
    </w:p>
    <w:p>
      <w:r>
        <w:t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70 дней. Резервов времени у работ нет, и ни один исполнитель не простаивает в ожидании результатов другого. Максимальная возможная длительность выполнения НИР составит 88 календарных дней, что удовлетворяет требованиям на срок выполнения дипломной работы, который определён с 29.09.2026 по 25.12.2026 и составляет 88 календарных дней. При ожидаемой продолжительности работ НИР завершается 07.12.2026.</w:t>
      </w:r>
    </w:p>
    <w:p>
      <w:pPr>
        <w:pStyle w:val="Heading2"/>
      </w:pPr>
      <w:r>
        <w:t>4.3 Определение затрат, себестоимости и цены разработки</w:t>
      </w:r>
    </w:p>
    <w:p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трудоёмкости работы на дневную ставку исполнителя [42].</w:t>
      </w:r>
    </w:p>
    <w:p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 — радиоинженер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трассе, управляет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регистрирующие 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>
      <w:r>
        <w:t>Месячные оклады исполнителей приняты по данным рынка труда г. Москвы для специалистов соответствующей квалификации [43]: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[44].</w:t>
      </w:r>
    </w:p>
    <w:p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>
      <w:pPr>
        <w:pStyle w:val="TableCaption"/>
        <w:ind w:firstLine="0"/>
      </w:pPr>
      <w:r>
        <w:t>Таблица 4.5 – Расчёт заработной платы исполнителей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020"/>
        <w:gridCol w:w="1474"/>
        <w:gridCol w:w="2948"/>
        <w:gridCol w:w="1247"/>
        <w:gridCol w:w="1360"/>
        <w:gridCol w:w="1474"/>
      </w:tblGrid>
      <w:tr>
        <w:trPr>
          <w:cantSplit/>
          <w:tblHeader w:val="true"/>
        </w:trPr>
        <w:tc>
          <w:tcPr>
            <w:tcW w:type="dxa" w:w="102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type="dxa" w:w="4195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  <w:tblHeader w:val="true"/>
        </w:trPr>
        <w:tc>
          <w:tcPr>
            <w:tcW w:type="dxa" w:w="1020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52 440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455 440</w:t>
            </w:r>
          </w:p>
        </w:tc>
      </w:tr>
    </w:tbl>
    <w:p>
      <w:pPr>
        <w:spacing w:line="240" w:lineRule="auto"/>
      </w:pPr>
    </w:p>
    <w:p>
      <w:pPr>
        <w:keepNext/>
      </w:pPr>
      <w:r>
        <w:t>Суммарные затраты на заработную плату: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55 000 + 50 000 + 85 000 + 35 000 + 110 000 + 68 000 + 52 440 = 455 440 руб.</m:t>
        </m:r>
      </m:oMath>
    </w:p>
    <w:p>
      <w:pPr>
        <w:keepNext/>
      </w:pPr>
      <w:r>
        <w:t>Помимо основных выплат исполнителям предусмотрена премия 20 % [42] за добросовестное выполнение и своевременную сдачу этапов НИР. Фонд оплаты труда, выделяемый на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1,2·455 440 = 546 528 руб.</m:t>
        </m:r>
      </m:oMath>
    </w:p>
    <w:p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[45] и взносы на страхование от несчастных случаев на производстве 0,2 %. Эти средства включают:</w:t>
      </w:r>
    </w:p>
    <w:p>
      <w:r>
        <w:t xml:space="preserve">– </w:t>
      </w:r>
      <w:r>
        <w:t>22 % — на обязательное пенсионное страхование;</w:t>
      </w:r>
    </w:p>
    <w:p>
      <w:r>
        <w:t xml:space="preserve">– </w:t>
      </w:r>
      <w:r>
        <w:t>5,1 % — на обязательное медицинское страхование;</w:t>
      </w:r>
    </w:p>
    <w:p>
      <w:r>
        <w:t xml:space="preserve">– </w:t>
      </w:r>
      <w:r>
        <w:t>2,9 % — на обязательное социальное страхование на случай временной нетрудоспособности и в связи с материнством;</w:t>
      </w:r>
    </w:p>
    <w:p>
      <w:r>
        <w:t xml:space="preserve">– </w:t>
      </w:r>
      <w:r>
        <w:t>0,2 % — на страхование от несчастных случаев на производстве и профессиональных заболеваний.</w:t>
      </w:r>
    </w:p>
    <w:p>
      <w:pPr>
        <w:keepNext/>
      </w:pPr>
      <w:r>
        <w:t>Отчисления на социальные нужды: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СОЦ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0,302·546 528 = 165 051 руб.</m:t>
        </m:r>
      </m:oMath>
    </w:p>
    <w:p>
      <w:pPr>
        <w:keepNext/>
      </w:pPr>
      <w:r>
        <w:t xml:space="preserve">Материальные, накладные и прочие расходы на НИР определим исходя из принятой оценки удельного веса расходов на оплату труда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в себестоимости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r>
        <w:t>Поэлементная укрупнённая структура затрат на НИР приведена в таблице 4.6.</w:t>
      </w:r>
    </w:p>
    <w:p>
      <w:pPr>
        <w:pStyle w:val="TableCaption"/>
        <w:ind w:firstLine="0"/>
      </w:pPr>
      <w:r>
        <w:t>Таблица 4.6 – Поэлементная укрупнённая структура затрат на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086"/>
        <w:gridCol w:w="2267"/>
      </w:tblGrid>
      <w:tr>
        <w:trPr>
          <w:cantSplit/>
          <w:tblHeader w:val="true"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элементов затрат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Материалы, полуфабрикаты, покупные комплектующие изделия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Заработная плата исполнителей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Расходы на социальные нужды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38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</w:t>
            </w:r>
          </w:p>
        </w:tc>
      </w:tr>
    </w:tbl>
    <w:p>
      <w:pPr>
        <w:spacing w:line="240" w:lineRule="auto"/>
      </w:pPr>
    </w:p>
    <w:p>
      <w:r>
        <w:t>К материалам, полуфабрикатам и покупным комплектующим изделиям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принадлежности. К накладным расходам — оплата электроэнергии, аренды и отопления помещения, заработной платы обслуживающего персонала, содержание вычислительной техники кафедры. К прочим расходам — услуги связи, поездки на полевую площадку для натурных испытаний и доступ к стандартам и научным публикациям по тематике исследования.</w:t>
      </w:r>
    </w:p>
    <w:p>
      <w:r>
        <w:t>В типовой структуре затрат на НИР удельный вес заработной платы составляет 34 % [42]. В настоящей работе он принят выше — 40 %: специального оборудования, работ сторонних организаций и командировок в НИР нет, и основную часть затрат составляет труд исполнителей. Доля отчислений на социальные нужды (12 %) соответствует тарифу 30,2 % от заработной платы. Стоимость материалов и покупных комплектующих изделий проверена прямым счётом (таблица 4.7): цена платы LilyGO T-HaLow 37,98 долл. США [28] по курсу 84,1975 руб./долл. на 20.09.2026 [46] составляет 3 198 руб., а всего материалы и комплектующие стоят 24 560 руб., или 1,8 % себестоимости, что не превышает принятой доли 5 %.</w:t>
      </w:r>
    </w:p>
    <w:p>
      <w:pPr>
        <w:pStyle w:val="TableCaption"/>
        <w:ind w:firstLine="0"/>
      </w:pPr>
      <w:r>
        <w:t>Таблица 4.7 – Стоимость материалов и покупных комплектующих изделий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818"/>
        <w:gridCol w:w="850"/>
        <w:gridCol w:w="850"/>
        <w:gridCol w:w="1133"/>
        <w:gridCol w:w="1247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Из таблицы 4.6 следует, что фонд заработной платы составляет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 xml:space="preserve"> себестоимости НИР; соответственно, по формуле (4.6) сама себестоимость: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546 528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1 366 320 руб.</m:t>
        </m:r>
      </m:oMath>
    </w:p>
    <w:p>
      <w:pPr>
        <w:keepNext/>
      </w:pPr>
      <w:r>
        <w:t>Цена НИР определяется исходя из обеспечения безубыточности организации, которая её выполняет [42]. Параметром, обеспечивающим безубыточность, служит уровень рентабельности по отношению к оплате труда: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[42].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тем они получены на одной аппаратной платформе в наземных испытаниях и ещё не проверены в полёте на борту БПЛА, что не позволяет принять верхнюю границу: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1 366 320 + 546 528·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3 005 904 руб.</m:t>
        </m:r>
      </m:oMath>
    </w:p>
    <w:p>
      <w:r>
        <w:t>В дальнейшем результаты НИР — измеренные характеристики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экономическим эффектом от применения результатов, который рассчитан в подразделе 4.4.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, уровень экономической эффективности затрат на НИР </w:t>
      </w:r>
      <m:oMath>
        <m:sSub>
          <m:e>
            <m:r>
              <w:rPr>
                <w:rFonts w:ascii="Cambria Math" w:hAnsi="Cambria Math"/>
              </w:rPr>
              <m:t xml:space="preserve"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и срок окупаемости вложений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[42].</w:t>
      </w:r>
    </w:p>
    <w:p>
      <w:pPr>
        <w:keepNext/>
      </w:pPr>
      <w:r>
        <w:t>Результатом НИР является не серийное изделие, а научно-технический результат — измеренные характеристики канала Wi-Fi HaLow и рекомендации по его применению. Непосредственно выручки он не приносит; его ценность проявляется у предприятия, которое использует результаты при проектировании каналов связи: оно решает ту же задачу с меньшими затратами. Поэтому экономический эффект НИР определяется как экономия затрат у потребителя её результатов [42]. В настоящей работе такая 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период, за который создаются линии, лет.</w:t>
      </w:r>
    </w:p>
    <w:p>
      <w:r>
        <w:t>При мониторинге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>
      <w:r>
        <w:t>Поэтому пролёт стремятся сделать как можно длиннее. Дальность пролёта в оценке — не расчётная, а измеренная граница связи той же пары плат T-HaLow на трассе прямой видимости при нормах мощности Российской Федерации (подраздел 3.6, таблица 3.10): 0,87 км для Wi-Fi 2,4 ГГц при 20 дБм и 1,55 км для Wi-Fi HaLow при 14 дБм. Несмотря на меньшую разрешённую мощность, Wi-Fi HaLow уходит дальше: допустимые потери на трассе у обеих технологий близки, а на частоте ниже 1 ГГц сигнал затухает меньше. На расстояниях от 0,87 до 1,55 км связь сохраняет только Wi-Fi HaLow.</w:t>
      </w:r>
    </w:p>
    <w:p>
      <w:r>
        <w:t>Ретранслятор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4.7).</w:t>
      </w:r>
    </w:p>
    <w:p>
      <w:pPr>
        <w:pStyle w:val="TableCaption"/>
        <w:ind w:firstLine="0"/>
      </w:pPr>
      <w:r>
        <w:t>Таблица 4.8 – Состав и стоимость ретранслятора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"/>
        <w:gridCol w:w="5385"/>
        <w:gridCol w:w="1020"/>
        <w:gridCol w:w="1133"/>
        <w:gridCol w:w="1247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LilyGO T-HaLow (ESP32-S3 + TX-AH-R900P)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>
      <w:pPr>
        <w:spacing w:line="240" w:lineRule="auto"/>
      </w:pPr>
    </w:p>
    <w:p>
      <w:pPr>
        <w:keepNext/>
      </w:pPr>
      <w:r>
        <w:t>Ретранслятор ставится в 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«Россети» находится 2,5 млн км линий электропередачи [47]. Если каналами связи с БПЛА ежегодно оснащается 0,24 % этой сети, то есть L = 6 000 км, потребуется ретрансляторов: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⌈6 000/0,87⌉ = 6 897;  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⌈6 000/1,55⌉ = 3 871.</m:t>
        </m:r>
      </m:oMath>
    </w:p>
    <w:p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6 897·7 296 = 50 320 512 руб.</m:t>
        </m:r>
      </m:oMath>
    </w:p>
    <w:p>
      <w:pPr>
        <w:keepNext/>
      </w:pPr>
      <w:r>
        <w:t>Затраты нового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3 871·7 296 = 28 242 816 руб.</m:t>
        </m:r>
      </m:oMath>
    </w:p>
    <w:p>
      <w:pPr>
        <w:keepNext/>
      </w:pPr>
      <w:r>
        <w:t xml:space="preserve">Подставив значения в формулу (4.8) при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50 320 512·1,33 - 28 242 816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38 683 465 руб./год.</m:t>
        </m:r>
      </m:oMath>
    </w:p>
    <w:p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[42] она определяется укрупнённо, пропорционально затратам участников создания и применения НТПр: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1 366 320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1 366 320 + 28 242 816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0,05.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keepNext/>
      </w:pPr>
      <w:r>
        <w:t>Уровень экономической эффективности затрат на НИР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38 683 465·0,05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3 005 904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0,64,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цена НИР, руб. (подраздел 4.3).</w:t>
      </w:r>
    </w:p>
    <w:p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Е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1,56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>Срок окупаемости составляет около 19 месяцев. Для наукоёмкой продукции уровень эффективности должен быть не менее 0,5, то есть вложения должны окупаться в пределах двух лет [42]; полученное значение 0,64 этому требованию удовлетворяет. Расчёт выполнен для одного предприятия; при передаче результатов нескольким предприятиям срок окупаемости сократится.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134" w:right="850" w:bottom="1417" w:left="1701" w:header="283" w:footer="283" w:gutter="0"/>
      <w:cols w:space="720"/>
      <w:docGrid w:linePitch="360"/>
      <w:pgNumType w:start="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