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значений показателей микроклимата и освещённости рабочего места специалиста. Определение класса условий труда специалиста</w:t>
      </w:r>
    </w:p>
    <w:p>
      <w:pPr>
        <w:pStyle w:val="Heading2"/>
      </w:pPr>
      <w:r>
        <w:t>5.1 Введение</w:t>
      </w:r>
    </w:p>
    <w:p>
      <w:r>
        <w:t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Основная часть работы — разработка программ для экспериментального стенда, обработка результатов измерений, теоретическая оценка дальности связи и оформление документации — выполняется на персональной электронно-вычислительной машине (ПЭВМ) в офисном кабинете.</w:t>
      </w:r>
    </w:p>
    <w:p>
      <w:r>
        <w:t>Параметры кабинета приведены в таблице 5.1, план — на рисунке 5.1. Кабинет в плане имеет Г-образную форму. Окна — оконный блок из трёх створок в левой стене — выходят во двор; под окнами установлены радиатор отопления и тумба.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основной части помещения (по левой / правой стене)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9,3 / 10,0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основной части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Размеры прихожей у входа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 × 2,0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51,1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153,4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Оконный блок (три створки)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2,10 × 1,45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рабочих мест с ПЭВМ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шт.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одновременно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5–6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чел.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м²</w:t>
            </w:r>
          </w:p>
        </w:tc>
      </w:tr>
    </w:tbl>
    <w:p>
      <w:pPr>
        <w:spacing w:line="240" w:lineRule="auto"/>
      </w:pPr>
    </w:p>
    <w:p>
      <w:r>
        <w:t>Размеры помещения измерены на месте. Все столы одинаковые, размером 1400 × 700 мм. Пол покрыт ламинатом, потолок подвесной типа «Армстронг», стены окрашены в светлые тона.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8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помещения: 1 — рабочий стол специалиста (РМ); 2 — кресло; 3 — окно; 4 — радиатор отопления; 5 — огнетушитель; 6 — дверь; Т — тумба; Ш — шкаф; ШР — шредер</w:t>
      </w:r>
    </w:p>
    <w:p>
      <w:r>
        <w:t>Площадь на одно рабочее место пользователя ПЭВМ с монитором на плоском дискретном экране должна составлять не менее 4,5 м² [48]. Фактическая площадь на одно рабочее место — 4,65 м², требование выполняется.</w:t>
      </w:r>
    </w:p>
    <w:p>
      <w:pPr>
        <w:pStyle w:val="Heading2"/>
      </w:pPr>
      <w:r>
        <w:t>5.2 Характеристика производственного оборудования</w:t>
      </w:r>
    </w:p>
    <w:p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>
      <w:pPr>
        <w:pStyle w:val="TableCaption"/>
        <w:ind w:firstLine="0"/>
      </w:pPr>
      <w:r>
        <w:t>Таблица 5.2 – Характеристики ПЭВМ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7370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ПК «Гравитон» Д50А: процессор AMD Ryzen 5 5600G (6 ядер), чипсет AMD A520, ОЗУ 16 ГБ DDR4, SSD 2 ТБ, Gigabit Ethernet; 373 × 174 × 419 мм, 6 кг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Монитор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Клавиатура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Мышь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>
      <w:pPr>
        <w:spacing w:line="240" w:lineRule="auto"/>
      </w:pPr>
    </w:p>
    <w:p>
      <w:r>
        <w:t>ПЭВМ питаются от однофазной сети переменного тока напряжением 220 В частотой 50 Гц; системные блоки и мониторы имеют I класс защиты от поражения электрическим током и подключаются к розеткам с заземляющим контактом. Кроме ПЭВМ, в помещении находятся кондиционер сплит-системы, шредер, светильники общего освещения.</w:t>
      </w:r>
    </w:p>
    <w:p>
      <w:pPr>
        <w:pStyle w:val="Heading2"/>
      </w:pPr>
      <w:r>
        <w:t>5.3 Характеристика производственного процесса</w:t>
      </w:r>
    </w:p>
    <w:p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 значительных физических усилий; основная нагрузка приходится на зрение и внимание.</w:t>
      </w:r>
    </w:p>
    <w:p>
      <w:r>
        <w:t>Режим работы: пятидневная рабочая неделя, с 9:00 до 18:00, обеденный перерыв 1 ч; продолжительность смены 8 ч, из них работа с экраном монитора — до 6 ч. Одновременно в кабинете работают 5–6 сотрудников.</w:t>
      </w:r>
    </w:p>
    <w:p>
      <w:pPr>
        <w:pStyle w:val="Heading2"/>
      </w:pPr>
      <w:r>
        <w:t>5.4 Оценка условий труда</w:t>
      </w:r>
    </w:p>
    <w:p>
      <w:r>
        <w:t>Условия труда оцениваются по Методике проведения специальной оценки условий труда, утверждённой приказом Минтруда России от 21.11.2023 № 817н [49].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— итоговый класс. При превышении нормативов предлагаются мероприятия по их устранению. Классы условий труда установлены Федеральным законом № 426-ФЗ [50]: 1 — оптимальные, 2 — допустимые, 3.1–3.4 — вредные, 4 — опасные.</w:t>
      </w:r>
    </w:p>
    <w:p>
      <w:pPr>
        <w:pStyle w:val="Heading3"/>
      </w:pPr>
      <w:r>
        <w:t>5.4.1 Вредные и опасные производственные факторы</w:t>
      </w:r>
    </w:p>
    <w:p>
      <w:r>
        <w:t>Производственные факторы, которые могут воздействовать на специалиста [51], и их источники приведены в таблице 5.3.</w:t>
      </w:r>
    </w:p>
    <w:p>
      <w:pPr>
        <w:pStyle w:val="TableCaption"/>
        <w:ind w:firstLine="0"/>
      </w:pPr>
      <w:r>
        <w:t>Таблица 5.3 –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948"/>
        <w:gridCol w:w="3685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идентифицируется: нет технологического оборудования — источника тепла или холода;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Идентифицируется, 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 и мониторы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идентифицируются: рабочее место пользователя ПЭВМ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по Р 2.2.2006-05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5.6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Раздел 5.7</w:t>
            </w:r>
          </w:p>
        </w:tc>
      </w:tr>
    </w:tbl>
    <w:p>
      <w:pPr>
        <w:spacing w:line="240" w:lineRule="auto"/>
      </w:pPr>
    </w:p>
    <w:p>
      <w:r>
        <w:t>Химический, биологический факторы, вибрация и ионизирующие излучения на рабочем месте отсутствуют.</w:t>
      </w:r>
    </w:p>
    <w:p>
      <w:pPr>
        <w:pStyle w:val="Heading3"/>
      </w:pPr>
      <w:r>
        <w:t>5.4.2 Микроклимат</w:t>
      </w:r>
    </w:p>
    <w:p>
      <w:r>
        <w:t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нагрузок; энерготраты организма при такой работе не превышают 139 Вт (120 ккал/ч), поэтому она относится к категории Iа. Оптимальные и допустимые значения показателей для этой категории установлены СанПиН 1.2.3685-21 [52, 53]. Источники тепла в помещении — люди, ПЭВМ, светильники и радиаторы отопления; температура поддерживается кондиционером.</w:t>
      </w:r>
    </w:p>
    <w:p>
      <w:r>
        <w:t>Фактические значения приняты по уставке кондиционера и по типовым значениям для офисных помещений с центральным отоплением; инструментальные измерения не проводились. Сравнение с нормой приведено в таблице 5.4.</w:t>
      </w:r>
    </w:p>
    <w:p>
      <w:pPr>
        <w:pStyle w:val="TableCaption"/>
        <w:ind w:firstLine="0"/>
      </w:pPr>
      <w:r>
        <w:t>Таблица 5.4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0,1–0,2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показатели микроклимата в оба периода года находятся в пределах оптимальных значений; условия по микроклимату — класс 1 (оптимальный).</w:t>
      </w:r>
    </w:p>
    <w:p>
      <w:pPr>
        <w:keepNext/>
      </w:pPr>
      <w:r>
        <w:t>Кондиционер сплит-системы не подаёт наружный воздух; воздухообмен обеспечивается естественной вентиляцией через открывающиеся створки окон. Необходимый расход наружного воздуха [54]: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одновременно работающих, не более 6 чел.; </w:t>
      </w:r>
      <m:oMath>
        <m:r>
          <w:rPr>
            <w:rFonts w:ascii="Cambria Math" w:hAnsi="Cambria Math"/>
          </w:rPr>
          <m:t xml:space="preserve">m</m:t>
        </m:r>
      </m:oMath>
      <w:r>
        <w:t xml:space="preserve"> – норма наружного воздуха на одного человека для офиса с естественным проветриванием, 40 м³/ч.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6·40 = 240 м³/ч,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L</m:t>
            </m: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153,4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.</m:t>
        </m:r>
      </m:oMath>
    </w:p>
    <w:p>
      <w:r>
        <w:t>Требуемая кратность воздухообмена 1,6 ч⁻¹ обеспечивается проветриванием через створки окон в регламентированные перерывы; норма 40 м³/ч установлена именно для помещений с естественным проветриванием [54].</w:t>
      </w:r>
    </w:p>
    <w:p>
      <w:pPr>
        <w:pStyle w:val="Heading3"/>
      </w:pPr>
      <w:r>
        <w:t>5.4.3 Световая среда</w:t>
      </w:r>
    </w:p>
    <w:p>
      <w:r>
        <w:t>Работа с экраном монитора и документами относится к зрительным работам высокой точности: наименьший размер объекта различения — элементов знаков на экране — 0,3–0,5 мм, это разряд III; контраст объекта с фоном и фон средние, это подразряд «в». Для него нормируемая освещённость при общем освещении — 300 лк, при комбинированном — 750 лк, показатель ослеплённости — не более 40 [55, 56]. Для рабочих мест с ПЭВМ дополнительно ограничены коэффициент пульсации освещённости — не более 5 % — и освещённость экрана — не более 200 лк [52].</w:t>
      </w:r>
    </w:p>
    <w:p>
      <w:r>
        <w:t>Общее освещение создают 8 встраиваемых светодиодных панелей 595 × 595 мм мощностью 45 Вт со световым потоком 4 800 лм и коэффициентом пульсации менее 1 %; естественное освещение — боковое, через окна в левой стене. Расчёт в разделе 5.8 показывает, что установленные светильники создают на рабочей поверхности 317 лк при норме 300 лк. Условия труда по световой среде — класс 2 (допустимый) [49].</w:t>
      </w:r>
    </w:p>
    <w:p>
      <w:pPr>
        <w:pStyle w:val="Heading3"/>
      </w:pPr>
      <w:r>
        <w:t>5.4.4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 и программирование, допустимый эквивалентный уровень звука за смену — 50 дБА [52]. Источники шума в кабинете — системные блоки ПЭВМ (одновременно работают до 6),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типовым паспортным данным такого оборудования. Вклад источника в эквивалентный уровень за смену [57, 58]: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экв,i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одного источника, дБА;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число одинаковых источников;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pPr>
        <w:keepNext/>
      </w:pPr>
      <w:r>
        <w:t>Эквивалентный уровень звука от всех источников — энергетическая сумма: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экв,i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r>
        <w:t>Результаты расчёта приведены в таблице 5.5.</w:t>
      </w:r>
    </w:p>
    <w:p>
      <w:pPr>
        <w:pStyle w:val="TableCaption"/>
        <w:ind w:firstLine="0"/>
      </w:pPr>
      <w:r>
        <w:t>Таблица 5.5 – Расчёт эквивалентного уровня звука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474"/>
        <w:gridCol w:w="1247"/>
        <w:gridCol w:w="1417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37,8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32,0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Шредер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43,2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44,5</w:t>
            </w:r>
          </w:p>
        </w:tc>
      </w:tr>
    </w:tbl>
    <w:p>
      <w:pPr>
        <w:spacing w:line="240" w:lineRule="auto"/>
      </w:pPr>
    </w:p>
    <w:p>
      <w:r>
        <w:t>Эквивалентный уровень звука 44,5 дБА не превышает нормы 50 дБА; условия труда по шуму допустимые (класс 2), запас до нормы — 5,5 дБА.</w:t>
      </w:r>
    </w:p>
    <w:p>
      <w:pPr>
        <w:pStyle w:val="Heading3"/>
      </w:pPr>
      <w:r>
        <w:t>5.4.5 Тяжесть и напряжённость трудового процесса</w:t>
      </w:r>
    </w:p>
    <w:p>
      <w:r>
        <w:t>Тяжесть трудового процесса характеризует физическую нагрузку, напряжённость — нагрузку на центральную нервную систему, органы чувств и эмоциональную сферу [59]. Оценка тяжести приведена в таблице 5.6; итоговый класс равен наибольшему из классов по отдельным показателям.</w:t>
      </w:r>
    </w:p>
    <w:p>
      <w:pPr>
        <w:pStyle w:val="TableCaption"/>
        <w:ind w:firstLine="0"/>
      </w:pPr>
      <w:r>
        <w:t>Таблица 5.6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20 000 за смену (клавиатура, мышь)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50 за смену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4 км за смену по горизонтали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оценивается по 23 показателям; результаты приведены в таблице 5.7.</w:t>
      </w:r>
    </w:p>
    <w:p>
      <w:pPr>
        <w:pStyle w:val="TableCaption"/>
        <w:ind w:firstLine="0"/>
      </w:pPr>
      <w:r>
        <w:t>Таблица 5.7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разработка программ, анализ результатов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расчётными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Разборчивость слов 100–90 %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Из 23 показателей 3 выше класса 2, и это свойства самой исследовательской работы: содержание работы творческое — решения ищутся без готового алгоритма (класс 3.2); измеренные значения постоянно сопоставляются с расчётными и нормативными (класс 3.1); с экраном монитора работа идёт до 6 ч за смену (класс 3.1). По правилу Р 2.2.2006-05 напряжённость признаётся допустимой, если таких показателей не больше пяти, а остальные относятся к классам 1 и 2 [59]. Напряжённость трудового процесса — класс 2 (допустимый). Для снижения утомления через каждый час работы с ПЭВМ делаются перерывы 10–15 мин с упражнениями для глаз и разминкой.</w:t>
      </w:r>
    </w:p>
    <w:p>
      <w:pPr>
        <w:pStyle w:val="Heading3"/>
      </w:pPr>
      <w:r>
        <w:t>5.4.6 Класс условий труда</w:t>
      </w:r>
    </w:p>
    <w:p>
      <w:r>
        <w:t>Итоговый класс условий труда равен наивысшему из классов по отдельным факторам [49]. Результаты приведены в таблице 5.8.</w:t>
      </w:r>
    </w:p>
    <w:p>
      <w:pPr>
        <w:pStyle w:val="TableCaption"/>
        <w:ind w:firstLine="0"/>
      </w:pPr>
      <w:r>
        <w:t>Таблица 5.8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267"/>
        <w:gridCol w:w="2267"/>
        <w:gridCol w:w="170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45 %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317 лк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300 лк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44,5 дБА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Итоговый класс условий труда специалиста — 2 (допустимый); вредных факторов на рабочем месте не выявлено.</w:t>
      </w:r>
    </w:p>
    <w:p>
      <w:pPr>
        <w:pStyle w:val="Heading2"/>
      </w:pPr>
      <w:r>
        <w:t>5.5 Оценка условий труда по эргономическим параметрам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[60, 61].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горизонтали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Органы управления и предметы труда размещаются в пределах зон досягаемости моторного поля [60], показанных на рисунке 5.3: в зоне А (оптимальной) находятся клавиатура и мышь, которыми пользуются постоянно, в зоне Б (лёгкой досягаемости) — документы, в зоне В (досягаемости вытянутой рукой) — редко используемые предметы. Монитор стоит за пределами зон досягаемости, на расстоянии наблюдения.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19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5.3 – Зоны досягаемости на рабочем столе (вид сверху, размеры в мм): 1 — монитор; 2 — клавиатура; 3 — мышь; 4 — документы; 5 — кресло; А — оптимальная зона; Б — зона лёгкой досягаемости; В — зона досягаемости</w:t>
      </w:r>
    </w:p>
    <w:p>
      <w:r>
        <w:t>Параметры рабочего места и видеотерминала сопоставлены с нормативными в таблице 5.9 [61, 62, 63].</w:t>
      </w:r>
    </w:p>
    <w:p>
      <w:pPr>
        <w:pStyle w:val="TableCaption"/>
        <w:ind w:firstLine="0"/>
      </w:pPr>
      <w:r>
        <w:t>Таблица 5.9 – Эргономические параметры рабочего места и видеотерминала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628"/>
        <w:gridCol w:w="2551"/>
        <w:gridCol w:w="1474"/>
        <w:gridCol w:w="1700"/>
      </w:tblGrid>
      <w:tr>
        <w:trPr>
          <w:cantSplit/>
          <w:tblHeader w:val="true"/>
        </w:trPr>
        <w:tc>
          <w:tcPr>
            <w:tcW w:type="dxa" w:w="362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Рабочее место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680–800 (нерегулируемая — 725)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600 / 500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от глаз до экрана, мм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500–750 в зависимости от размера экрана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40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>
      <w:pPr>
        <w:spacing w:line="240" w:lineRule="auto"/>
      </w:pPr>
    </w:p>
    <w:p>
      <w:r>
        <w:t>Параметры рабочего места, монитора и клавиатуры соответствуют нормам. Рабочее место специалиста стоит так, что окно находится слева и свет падает сбоку, без бликов на экране.</w:t>
      </w:r>
    </w:p>
    <w:p>
      <w:pPr>
        <w:pStyle w:val="Heading2"/>
      </w:pPr>
      <w:r>
        <w:t>5.6 Оценка помещения по электроопасности</w:t>
      </w:r>
    </w:p>
    <w:p>
      <w:r>
        <w:t>По опасности поражения электрическим током помещения делятся на помещения без повышенной опасности, с повышенной опасностью и особо опасные [64]. Относительная влажность воздуха в кабинете — 45 % (раздел 5.4.2), то есть не более 60 %, поэтому по ПУЭ помещение сухое; температура нормальная, токопроводящая пыль отсутствует, пол — ламинат —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>
      <w:r>
        <w:t>Предельно допустимые значения напряжения прикосновения и тока при нормальном режиме электроустановки переменного тока 50 Гц составляют 2 В и 0,3 мА [65]. Для защиты от поражения током [66, 67]:</w:t>
      </w:r>
    </w:p>
    <w:p>
      <w:r>
        <w:t xml:space="preserve">– </w:t>
      </w:r>
      <w:r>
        <w:t>ПЭВМ I класса защиты подключаются к розеткам с заземляющим контактом, соединённым с защитным проводником PE сети TN-S или TN-C-S;</w:t>
      </w:r>
    </w:p>
    <w:p>
      <w:r>
        <w:t xml:space="preserve">– </w:t>
      </w:r>
      <w:r>
        <w:t>групповые линии розеток защищаются автоматическими выключателями и устройством защитного отключения с током срабатывания 30 мА;</w:t>
      </w:r>
    </w:p>
    <w:p>
      <w:r>
        <w:t xml:space="preserve">– </w:t>
      </w:r>
      <w:r>
        <w:t>каждая ПЭВМ подключена через собственный источник бесперебойного питания, удлинители не используются; токоведущие части изолированы, кабели проложены в кабель-каналах;</w:t>
      </w:r>
    </w:p>
    <w:p>
      <w:r>
        <w:t xml:space="preserve">– </w:t>
      </w:r>
      <w:r>
        <w:t>корпуса оборудования не вскрываются, неисправное оборудование отключается от сети.</w:t>
      </w:r>
    </w:p>
    <w:p>
      <w:r>
        <w:t>Статическое электричество. Синтетическая обивка кресел способствует накоплению зарядов на теле человека; разряды неприятны и могут повредить электронику. Напряжённость электростатического поля на рабочем месте пользователя ПЭВМ не должна превышать 15 кВ/м [52]. Электризацию ограничивают оптимальная влажность воздуха (45 %) и заземление корпусов ПЭВМ через розетки с заземляющим контактом.</w:t>
      </w:r>
    </w:p>
    <w:p>
      <w:pPr>
        <w:pStyle w:val="Heading2"/>
      </w:pPr>
      <w:r>
        <w:t>5.7 Классификация помещения по пожароопасности</w:t>
      </w:r>
    </w:p>
    <w:p>
      <w:r>
        <w:t>Возможные причины пожара в кабинете — короткое замыкание и перегрузка электрической сети, неисправность блоков питания ПЭВМ и источников бесперебойного питания. Горючие материалы — мебель из ЛДСП (столы, тумбы, шкафы), кресла, пластмассовые корпуса оборудования и бумага; горючие газы, легковоспламеняющиеся и горючие жидкости отсутствуют.</w:t>
      </w:r>
    </w:p>
    <w:p>
      <w:r>
        <w:t>Кабинет — служебное помещение административного здания, которое по классу функциональной пожарной опасности относится к Ф4.3 [68]. Категории помещений по взрывопожарной и пожарной опасности (А, Б, В1–В4, Г, Д) устанавливаются для производственных и складских помещений [69], поэтому для кабинета категория не определяется; требования пожарной безопасности к нему задаются классом Ф4.3 и Правилами противопожарного режима [70].</w:t>
      </w:r>
    </w:p>
    <w:p>
      <w:r>
        <w:t>Мероприятия по пожарной безопасности [68, 70]:</w:t>
      </w:r>
    </w:p>
    <w:p>
      <w:r>
        <w:t xml:space="preserve">– </w:t>
      </w:r>
      <w:r>
        <w:t>в верхнем правом углу прихожей, у выхода, установлен огнетушитель; для тушения электрооборудования под напряжением до 1000 В пригодны углекислотные ОУ-3, ОУ-5 и порошковые ОП-4 огнетушители, углекислотные не портят электронику [71];</w:t>
      </w:r>
    </w:p>
    <w:p>
      <w:r>
        <w:t xml:space="preserve">– </w:t>
      </w:r>
      <w:r>
        <w:t>огнетушитель проверяется и перезаряжается в сроки, указанные в паспорте; путь к нему и к выходу не загромождается;</w:t>
      </w:r>
    </w:p>
    <w:p>
      <w:r>
        <w:t xml:space="preserve">– </w:t>
      </w:r>
      <w:r>
        <w:t>на этаже вывешен план эвакуации, сотрудники проходят противопожарный инструктаж;</w:t>
      </w:r>
    </w:p>
    <w:p>
      <w:r>
        <w:t xml:space="preserve">– </w:t>
      </w:r>
      <w:r>
        <w:t>не допускается оставлять включённым оборудование после работы, хранить бумагу у радиаторов и светильников;</w:t>
      </w:r>
    </w:p>
    <w:p>
      <w:r>
        <w:t xml:space="preserve">– </w:t>
      </w:r>
      <w:r>
        <w:t>ширина выхода из помещения 0,9 м, полотно двери открывается внутрь и не перекрывает пути движения в прихожей.</w:t>
      </w:r>
    </w:p>
    <w:p>
      <w:pPr>
        <w:pStyle w:val="Heading2"/>
      </w:pPr>
      <w:r>
        <w:t>5.8 Расчёт искусственного освещения</w:t>
      </w:r>
    </w:p>
    <w:p>
      <w:r>
        <w:t>Индивидуальное задание —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[55, 56, 72]. Нормируемая освещённость — 300 лк на горизонтальной рабочей поверхности на высоте 0,8 м (раздел 5.4.3).</w:t>
      </w:r>
    </w:p>
    <w:p>
      <w:pPr>
        <w:keepNext/>
      </w:pPr>
      <w:r>
        <w:t>Расчётная высота подвеса светильников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3,0 м;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поверхности,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3,0 - 0 - 0,8 = 2,2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10,0·5,0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2,2·(10,0 + 5,0)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длина и ширина основной части помещения, м.</w:t>
      </w:r>
    </w:p>
    <w:p>
      <w:r>
        <w:t>Коэффициенты отражения потолка, стен и пола (ламинат) — 70, 50 и 30 %. Коэффициент запаса для помещения с нормальными условиями среды Kз = 1,4, коэффициент неравномерности освещённости z = 1,1 [55, 56].</w:t>
      </w:r>
    </w:p>
    <w:p>
      <w:pPr>
        <w:keepNext/>
      </w:pPr>
      <w:r>
        <w:t>В кабинете установлены светильники — встраиваемые светодиодные панели 595 × 595 мм для потолка «Армстронг»: мощность 45 Вт, световой поток 4 800 лм, коэффициент пульсации менее 1 %, цветовая температура 4000 К, индекс цветопередачи не менее 80, матовый рассеиватель. Коэффициент использования светового потока для них при i ≈ 1,5 — η = 0,65 [72]. Необходимый суммарный световой поток: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300·51,1·1,4·1,1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36 335 лм,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 51,1 м²;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использования.</w:t>
      </w:r>
    </w:p>
    <w:p>
      <w:pPr>
        <w:keepNext/>
      </w:pPr>
      <w:r>
        <w:t>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36 335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4 800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7,57 ≈ 8,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одного светильника, 4 800 лм.</w:t>
      </w:r>
    </w:p>
    <w:p>
      <w:r>
        <w:t>Расчётное число совпадает с числом установленных светильников. Они расположены в 2 ряда по 4 вдоль длинной стороны помещения (рисунок 5.4). Расстояние между рядами L = 2,50 м, от крайних рядов до стен l = 1,25 м; в ряду светильники стоят через 2,33 м. Отношение L/h = 1,14 не превышает наивыгоднейшего значения 1,4 для светильников с косинусным светораспределением, то есть освещённость между светильниками не проседает.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3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>
      <w:pPr>
        <w:keepNext/>
      </w:pPr>
      <w:r>
        <w:t>Освещённость, создаваемая установленными светильниками на рабочей поверхности: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8·4 800·0,65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51,1·1,4·1,1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317 лк.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keepNext/>
      </w:pPr>
      <w:r>
        <w:t>Мощность осветительной установки: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N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8·45 = 360 Вт,</m:t>
        </m:r>
      </m:oMath>
    </w:p>
    <w:p>
      <w:r>
        <w:t>удельная мощность — 7,0 Вт/м². Освещённость 317 лк не ниже нормы 300 лк, пульсация светодиодных панелей менее 5 %, матовый рассеиватель ограничивает блёскость. Установленное общее освещение соответствует нормам, условия труда по световой среде — допустимые (класс 2).</w:t>
      </w:r>
    </w:p>
    <w:p>
      <w:pPr>
        <w:pStyle w:val="Heading2"/>
      </w:pPr>
      <w:r>
        <w:t>5.9 Охрана окружающей среды</w:t>
      </w:r>
    </w:p>
    <w:p>
      <w:r>
        <w:t>Работа в кабинете не сопровождается выбросами загрязняющих веществ в атмосферу и сбросами в воду [73]. Воздействие на окружающую среду связано с потреблением электроэнергии и образованием отходов.</w:t>
      </w:r>
    </w:p>
    <w:p>
      <w:r>
        <w:t xml:space="preserve">– </w:t>
      </w:r>
      <w:r>
        <w:t>Вышедшие из строя ПЭВМ, мониторы и аккумуляторы содержат полезные компоненты, захоронение которых запрещено, и передаются на утилизацию [74, 75].</w:t>
      </w:r>
    </w:p>
    <w:p>
      <w:r>
        <w:t xml:space="preserve">– </w:t>
      </w:r>
      <w:r>
        <w:t>Бумажные отходы после шредера сдаются на переработку как макулатура.</w:t>
      </w:r>
    </w:p>
    <w:p>
      <w:r>
        <w:t xml:space="preserve">– </w:t>
      </w:r>
      <w:r>
        <w:t>Светодиодное освещение не содержит ртути; ПЭВМ в перерывах переводятся в режим энергосбережения, освещение и оборудование выключаются по окончании работы.</w:t>
      </w:r>
    </w:p>
    <w:p>
      <w:pPr>
        <w:pStyle w:val="Heading2"/>
      </w:pPr>
      <w:r>
        <w:t>5.10 Выводы</w:t>
      </w:r>
    </w:p>
    <w:p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тяжести и напряжённости трудового процесса. Выявлено:</w:t>
      </w:r>
    </w:p>
    <w:p>
      <w:r>
        <w:t xml:space="preserve">– </w:t>
      </w:r>
      <w:r>
        <w:t>показатели микроклимата в оба периода года находятся в пределах оптимальных значений для категории работ Iа;</w:t>
      </w:r>
    </w:p>
    <w:p>
      <w:r>
        <w:t xml:space="preserve">– </w:t>
      </w:r>
      <w:r>
        <w:t>освещённость рабочих мест — 317 лк при норме 300 лк;</w:t>
      </w:r>
    </w:p>
    <w:p>
      <w:r>
        <w:t xml:space="preserve">– </w:t>
      </w:r>
      <w:r>
        <w:t>эквивалентный уровень шума 44,5 дБА не превышает нормы 50 дБА; тяжесть и напряжённость трудового процесса — класс 2;</w:t>
      </w:r>
    </w:p>
    <w:p>
      <w:r>
        <w:t xml:space="preserve">– </w:t>
      </w:r>
      <w:r>
        <w:t>итоговый класс условий труда — 2 (допустимый).</w:t>
      </w:r>
    </w:p>
    <w:p>
      <w:r>
        <w:t>Рабочее место оценено по эргономическим параметрам: стол, кресло, монитор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здание по функциональной пожарной опасности относится к классу Ф4.3. Приведены меры защиты от поражения током и статического электричества, а также меры пожарной безопасности.</w:t>
      </w:r>
    </w:p>
    <w:p>
      <w:r>
        <w:t>По индивидуальному заданию выполнен расчёт общего искусственного освещения методом коэффициента использования светового потока. Необходимое число светодиодных панелей по 45 Вт (4 800 лм) — 8, что совпадает с установленными; они обеспечивают 317 лк при норме 300 лк и пульсацию менее 5 %.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134" w:right="850" w:bottom="1417" w:left="1701" w:header="283" w:footer="283" w:gutter="0"/>
      <w:cols w:space="720"/>
      <w:docGrid w:linePitch="360"/>
      <w:pgNumType w:start="6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