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Охрана труда и окружающей среды</w:t>
      </w:r>
    </w:p>
    <w:p>
      <w:pPr>
        <w:pStyle w:val="Heading2"/>
      </w:pPr>
      <w:r>
        <w:t>5.1 Введение</w:t>
      </w:r>
    </w:p>
    <w:p>
      <w:r>
        <w:t>Раздел посвящён оценке условий труда специалиста, выполняющего исследование эффективности применения технологии Wi-Fi HaLow для передачи данных с удалённых объектов. В разделе проверяется, соответствуют ли фактические условия труда специалиста государственным нормативам, и при выявлении нарушений предлагаются меры по их устранению. Основная часть работы – разработка программ для экспериментального стенда, обработка результатов измерений, теоретическая оценка дальности связи и оформление документации – выполняется на персональной электронно-вычислительной машине (ПЭВМ) в офисном кабинете.</w:t>
      </w:r>
    </w:p>
    <w:p>
      <w:r>
        <w:t>Параметры кабинета приведены в таблице 5.1, план – на рисунке 5.1. Кабинет в плане имеет Г-образную форму. Окно – оконный блок из трёх створок в левой стене – выходит во двор; под окном установлены радиатор отопления и тумба.</w:t>
      </w:r>
    </w:p>
    <w:p>
      <w:pPr>
        <w:pStyle w:val="TableCaption"/>
        <w:ind w:firstLine="0"/>
      </w:pPr>
      <w:r>
        <w:t>Таблица 5.1 – Параметры помещения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5385"/>
        <w:gridCol w:w="2267"/>
        <w:gridCol w:w="1700"/>
      </w:tblGrid>
      <w:tr>
        <w:trPr>
          <w:cantSplit/>
          <w:tblHeader w:val="true"/>
        </w:trPr>
        <w:tc>
          <w:tcPr>
            <w:tcW w:type="dxa" w:w="5386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4"/>
              </w:rPr>
              <w:t>Наименование параметра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4"/>
              </w:rPr>
              <w:t>Единица измерения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Длина основной части помещения (по левой / правой стене)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9,3 / 10,0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м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Ширина основной части помещения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5,0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м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Размеры прихожей у входа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1,4 × 2,0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м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Высота помещения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м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Площадь помещения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51,1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м²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Объём помещения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153,3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м³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Оконный блок (три створки)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2,10 × 1,45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м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Число рабочих мест с ПЭВМ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шт.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Число одновременно работающих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чел.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pStyle w:val="TableText"/>
              <w:jc w:val="left"/>
            </w:pPr>
            <w:r>
              <w:rPr>
                <w:sz w:val="24"/>
              </w:rPr>
              <w:t>Площадь на одно рабочее место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sz w:val="24"/>
              </w:rPr>
              <w:t>4,65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sz w:val="24"/>
              </w:rPr>
              <w:t>м²</w:t>
            </w:r>
          </w:p>
        </w:tc>
      </w:tr>
    </w:tbl>
    <w:p>
      <w:pPr>
        <w:spacing w:line="240" w:lineRule="auto"/>
      </w:pPr>
    </w:p>
    <w:p>
      <w:r>
        <w:t>Все столы одинаковые, размером 1400 × 700 мм. Пол покрыт ламинатом, потолок подвесной типа «Армстронг», стены окрашены в светлые тона.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586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86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5.1 – План помещения: 1 – рабочий стол специалиста (РМ); 2 – кресло; 3 – окно; 4 – радиатор отопления; 5 – огнетушитель; 6 – дверь; Т – тумба; Ш – шкаф; ШР – шредер</w:t>
      </w:r>
    </w:p>
    <w:p>
      <w:r>
        <w:t>Площадь на одно рабочее место пользователя ПЭВМ с монитором на плоском дискретном экране должна составлять не менее 4,5 м² [51]. Фактическая площадь на одно рабочее место – 4,65 м², требование выполняется.</w:t>
      </w:r>
    </w:p>
    <w:p>
      <w:pPr>
        <w:pStyle w:val="Heading3"/>
      </w:pPr>
      <w:r>
        <w:t>5.1.1 Характеристика производственного оборудования</w:t>
      </w:r>
    </w:p>
    <w:p>
      <w:r>
        <w:t>Все 11 рабочих мест оборудованы одинаковыми ПЭВМ отечественного производства. Их характеристики приведены в таблице 5.2.</w:t>
      </w:r>
    </w:p>
    <w:p>
      <w:pPr>
        <w:pStyle w:val="TableCaption"/>
        <w:ind w:firstLine="0"/>
      </w:pPr>
      <w:r>
        <w:t>Таблица 5.2 – Характеристики ПЭВМ рабочего места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1984"/>
        <w:gridCol w:w="7370"/>
      </w:tblGrid>
      <w:tr>
        <w:trPr>
          <w:cantSplit/>
          <w:tblHeader w:val="true"/>
        </w:trPr>
        <w:tc>
          <w:tcPr>
            <w:tcW w:type="dxa" w:w="198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Устройство</w:t>
            </w:r>
          </w:p>
        </w:tc>
        <w:tc>
          <w:tcPr>
            <w:tcW w:type="dxa" w:w="737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Модель и характеристики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Системный блок</w:t>
            </w:r>
          </w:p>
        </w:tc>
        <w:tc>
          <w:tcPr>
            <w:tcW w:type="dxa" w:w="7370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ПК «Гравитон» Д50А: процессор AMD Ryzen 5 5600G (6 ядер), чипсет AMD A520, ОЗУ 16 ГБ DDR4, SSD 2 ТБ, Gigabit Ethernet; 373 × 174 × 419 мм, 6 кг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Монитор</w:t>
            </w:r>
          </w:p>
        </w:tc>
        <w:tc>
          <w:tcPr>
            <w:tcW w:type="dxa" w:w="7370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ICL ViewRay 2414VFH: 23,8″ (60,5 см), 1920 × 1080, яркость 300 кд/м², контраст 3000 : 1, 75 Гц, матовое антибликовое покрытие, наклон от −5 до +15°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Клавиатура</w:t>
            </w:r>
          </w:p>
        </w:tc>
        <w:tc>
          <w:tcPr>
            <w:tcW w:type="dxa" w:w="7370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«Гравитон» KV1: проводная, мембранная, 104 клавиши, 439 × 150 × 28 мм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Мышь</w:t>
            </w:r>
          </w:p>
        </w:tc>
        <w:tc>
          <w:tcPr>
            <w:tcW w:type="dxa" w:w="7370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«Гравитон» MS1: проводная, оптическая, 800–2400 dpi, симметричная</w:t>
            </w:r>
          </w:p>
        </w:tc>
      </w:tr>
    </w:tbl>
    <w:p>
      <w:pPr>
        <w:spacing w:line="240" w:lineRule="auto"/>
      </w:pPr>
    </w:p>
    <w:p>
      <w:r>
        <w:t>ПЭВМ питаются от однофазной сети переменного тока напряжением 220 В частотой 50 Гц. Системные блоки подключаются шнуром с заземляющей жилой к розеткам с заземляющим контактом: изделия, имеющие рабочую изоляцию и элемент для заземления, относятся к I классу защиты от поражения электрическим током [52]. Кроме ПЭВМ, в помещении находятся кондиционер сплит-системы, шредер, светильники общего освещения.</w:t>
      </w:r>
    </w:p>
    <w:p>
      <w:pPr>
        <w:pStyle w:val="Heading3"/>
      </w:pPr>
      <w:r>
        <w:t>5.1.2 Характеристика производственного процесса</w:t>
      </w:r>
    </w:p>
    <w:p>
      <w:r>
        <w:t>Процесс выполняется на ПЭВМ и заключается в составлении и отладке программ для плат экспериментального стенда, обработке журналов измерений, расчётах дальности связи и подготовке текстовой и графической документации. Работа выполняется сидя, без значительных физических усилий. Основная нагрузка приходится на зрение и внимание.</w:t>
      </w:r>
    </w:p>
    <w:p>
      <w:r>
        <w:t>Режим работы: пятидневная рабочая неделя, с 9:00 до 18:00, обеденный перерыв 1 ч; продолжительность смены 8 ч, из них работа с экраном монитора – до 6 ч. Одновременно в кабинете работают 5–6 сотрудников.</w:t>
      </w:r>
    </w:p>
    <w:p>
      <w:pPr>
        <w:pStyle w:val="Heading2"/>
      </w:pPr>
      <w:r>
        <w:t>5.2 Оценка условий труда</w:t>
      </w:r>
    </w:p>
    <w:p>
      <w:r>
        <w:t>Условия труда оцениваются по Методике проведения специальной оценки условий труда, утверждённой приказом Минтруда России от 21.11.2023 № 817н [53]. Порядок оценки: выявляются вредные и опасные факторы и их источники, фактические значения факторов сравниваются с нормативными, по степени отклонения устанавливается класс условий труда по каждому фактору, затем – итоговый класс. При превышении нормативов предлагаются мероприятия по их устранению. Классы условий труда установлены Федеральным законом № 426-ФЗ [54]: 1 – оптимальные, 2 – допустимые, 3.1–3.4 – вредные, 4 – опасные.</w:t>
      </w:r>
    </w:p>
    <w:p>
      <w:pPr>
        <w:pStyle w:val="Heading3"/>
      </w:pPr>
      <w:r>
        <w:t>5.2.1 Вредные и опасные производственные факторы</w:t>
      </w:r>
    </w:p>
    <w:p>
      <w:r>
        <w:t>Производственные факторы, которые могут воздействовать на специалиста [55], и их источники приведены в таблице 5.3.</w:t>
      </w:r>
    </w:p>
    <w:p>
      <w:pPr>
        <w:pStyle w:val="TableCaption"/>
        <w:ind w:firstLine="0"/>
      </w:pPr>
      <w:r>
        <w:t>Таблица 5.3 – Производственные факторы на рабочем месте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2721"/>
        <w:gridCol w:w="2948"/>
        <w:gridCol w:w="3685"/>
      </w:tblGrid>
      <w:tr>
        <w:trPr>
          <w:cantSplit/>
          <w:tblHeader w:val="true"/>
        </w:trPr>
        <w:tc>
          <w:tcPr>
            <w:tcW w:type="dxa" w:w="272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Фактор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Источник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Оценка по Методике СОУТ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Параметры микроклимата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Отопление, кондиционер, люди и ПЭВМ (тепловыделения)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Не идентифицируется: нет технологического оборудования – источника тепла или холода; оценивается по СанПиН 1.2.3685-21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Световая среда (освещённость рабочей поверхности)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Система общего искусственного освещения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Идентифицируется; оценивается по СП 52.13330.2016 и СанПиН 1.2.3685-21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Шум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Системные блоки ПЭВМ, кондиционер, шредер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Офисная техника; оценивается по СанПиН 1.2.3685-21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Электромагнитные поля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ПЭВМ и мониторы (сеть 50 Гц); радиомодули плат экспериментального стенда (867 МГц)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Оценивается расчётом по СанПиН 1.2.3685-21, раздел 5.2.5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Тяжесть трудового процесса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Рабочая поза сидя, работа с клавиатурой и мышью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Оценивается по Р 2.2.2006-05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Напряжённость трудового процесса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Работа с экраном, анализ информации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Оценивается по Р 2.2.2006-05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Опасность поражения электрическим током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Сеть 220 В, 50 Гц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Раздел 5.4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Пожарная опасность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Электрооборудование, мебель, бумага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Раздел 5.5</w:t>
            </w:r>
          </w:p>
        </w:tc>
      </w:tr>
    </w:tbl>
    <w:p>
      <w:pPr>
        <w:spacing w:line="240" w:lineRule="auto"/>
      </w:pPr>
    </w:p>
    <w:p>
      <w:r>
        <w:t>Химический, биологический факторы, вибрация и ионизирующие излучения на рабочем месте отсутствуют.</w:t>
      </w:r>
    </w:p>
    <w:p>
      <w:pPr>
        <w:pStyle w:val="Heading3"/>
      </w:pPr>
      <w:r>
        <w:t>5.2.2 Микроклимат</w:t>
      </w:r>
    </w:p>
    <w:p>
      <w:r>
        <w:t>Микроклимат характеризуется температурой, относительной влажностью и скоростью движения воздуха. Работа выполняется сидя, без систематических физических нагрузок. По ГОСТ 12.1.005-88 (приложение 1) работы, производимые сидя и сопровождающиеся незначительным физическим напряжением, с интенсивностью энергозатрат до 120 ккал/ч (139 Вт) относятся к категории Iа [56]. Оптимальные значения показателей для этой категории установлены ГОСТ 12.1.005-88 [56], допустимые – СанПиН 1.2.3685-21 [57]. Источники тепла в помещении – люди, ПЭВМ, светильники и радиаторы отопления.</w:t>
      </w:r>
    </w:p>
    <w:p>
      <w:r>
        <w:t>Температура воздуха поддерживается кондиционером. Нормативные и фактические значения показателей микроклимата приведены в таблице 5.4.</w:t>
      </w:r>
    </w:p>
    <w:p>
      <w:pPr>
        <w:pStyle w:val="TableCaption"/>
        <w:ind w:firstLine="0"/>
      </w:pPr>
      <w:r>
        <w:t>Таблица 5.4 – Нормативные и фактические значения показателей микроклимата (категория работ Iа)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2664"/>
        <w:gridCol w:w="1417"/>
        <w:gridCol w:w="1700"/>
        <w:gridCol w:w="1870"/>
        <w:gridCol w:w="1700"/>
      </w:tblGrid>
      <w:tr>
        <w:trPr>
          <w:cantSplit/>
          <w:tblHeader w:val="true"/>
        </w:trPr>
        <w:tc>
          <w:tcPr>
            <w:tcW w:type="dxa" w:w="2665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Период года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Оптимальные</w:t>
            </w:r>
          </w:p>
        </w:tc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Допустимые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Фактические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Температура воздуха, °C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Холодный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22–24</w:t>
            </w:r>
          </w:p>
        </w:tc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20,0–21,9;</w:t>
            </w:r>
          </w:p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24,1–25,0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22–23</w:t>
            </w:r>
          </w:p>
        </w:tc>
      </w:tr>
      <w:tr>
        <w:trPr>
          <w:cantSplit/>
        </w:trPr>
        <w:tc>
          <w:tcPr>
            <w:tcW w:type="dxa" w:w="2665"/>
            <w:vMerge/>
            <w:vAlign w:val="center"/>
          </w:tcPr>
          <w:p>
            <w:pPr>
              <w:keepNext/>
            </w:pPr>
          </w:p>
        </w:tc>
        <w:tc>
          <w:tcPr>
            <w:tcW w:type="dxa" w:w="141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Тёплый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23–25</w:t>
            </w:r>
          </w:p>
        </w:tc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21,0–22,9;</w:t>
            </w:r>
          </w:p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25,1–28,0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23–24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Относительная влажность, %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Холодный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40–60</w:t>
            </w:r>
          </w:p>
        </w:tc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15–75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50</w:t>
            </w:r>
          </w:p>
        </w:tc>
      </w:tr>
      <w:tr>
        <w:trPr>
          <w:cantSplit/>
        </w:trPr>
        <w:tc>
          <w:tcPr>
            <w:tcW w:type="dxa" w:w="2665"/>
            <w:vMerge/>
            <w:vAlign w:val="center"/>
          </w:tcPr>
          <w:p>
            <w:pPr>
              <w:keepNext/>
            </w:pPr>
          </w:p>
        </w:tc>
        <w:tc>
          <w:tcPr>
            <w:tcW w:type="dxa" w:w="141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Тёплый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40–60</w:t>
            </w:r>
          </w:p>
        </w:tc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15–75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40</w:t>
            </w:r>
          </w:p>
        </w:tc>
      </w:tr>
      <w:tr>
        <w:trPr>
          <w:cantSplit/>
        </w:trPr>
        <w:tc>
          <w:tcPr>
            <w:tcW w:type="dxa" w:w="2665"/>
            <w:vMerge w:val="restart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Скорость движения воздуха, м/с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Холодный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не более 0,1</w:t>
            </w:r>
          </w:p>
        </w:tc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не более 0,1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0,05</w:t>
            </w:r>
          </w:p>
        </w:tc>
      </w:tr>
      <w:tr>
        <w:trPr>
          <w:cantSplit/>
        </w:trPr>
        <w:tc>
          <w:tcPr>
            <w:tcW w:type="dxa" w:w="2665"/>
            <w:vMerge/>
            <w:vAlign w:val="center"/>
          </w:tcPr>
          <w:p/>
        </w:tc>
        <w:tc>
          <w:tcPr>
            <w:tcW w:type="dxa" w:w="141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Тёплый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не более 0,1</w:t>
            </w:r>
          </w:p>
        </w:tc>
        <w:tc>
          <w:tcPr>
            <w:tcW w:type="dxa" w:w="187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не более 0,1 / 0,2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0,05</w:t>
            </w:r>
          </w:p>
        </w:tc>
      </w:tr>
    </w:tbl>
    <w:p>
      <w:pPr>
        <w:spacing w:line="240" w:lineRule="auto"/>
      </w:pPr>
    </w:p>
    <w:p>
      <w:r>
        <w:t>Все показатели микроклимата в оба периода года находятся в пределах оптимальных значений; условия по микроклимату – класс 1 (оптимальный).</w:t>
      </w:r>
    </w:p>
    <w:p>
      <w:pPr>
        <w:keepNext/>
      </w:pPr>
      <w:r>
        <w:t>Кондиционер сплит-системы не подаёт наружный воздух; воздухообмен обеспечивается естественной вентиляцией через открывающиеся створки окон. Необходимый расход наружного воздуха [58]: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r>
                <w:rPr>
                  <w:rFonts w:ascii="Cambria Math" w:hAnsi="Cambria Math"/>
                </w:rPr>
                <m:t xml:space="preserve"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·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(5.1)</w:t>
            </w:r>
          </w:p>
        </w:tc>
      </w:tr>
    </w:tbl>
    <w:p>
      <w:pPr>
        <w:ind w:firstLine="0"/>
      </w:pPr>
      <w:r>
        <w:t xml:space="preserve">где </w:t>
      </w:r>
      <m:oMath>
        <m:r>
          <w:rPr>
            <w:rFonts w:ascii="Cambria Math" w:hAnsi="Cambria Math"/>
          </w:rPr>
          <m:t xml:space="preserve">N</m:t>
        </m:r>
      </m:oMath>
      <w:r>
        <w:t xml:space="preserve"> – число одновременно работающих, не более 6 чел.; </w:t>
      </w:r>
      <m:oMath>
        <m:r>
          <w:rPr>
            <w:rFonts w:ascii="Cambria Math" w:hAnsi="Cambria Math"/>
          </w:rPr>
          <m:t xml:space="preserve">m</m:t>
        </m:r>
      </m:oMath>
      <w:r>
        <w:t xml:space="preserve"> – норма наружного воздуха на одного человека для офиса с естественным проветриванием, 40 м³/ч.</w:t>
      </w:r>
    </w:p>
    <w:p>
      <w:pPr>
        <w:pStyle w:val="Formula"/>
        <w:jc w:val="center"/>
      </w:pPr>
      <m:oMath>
        <m:r>
          <w:rPr>
            <w:rFonts w:ascii="Cambria Math" w:hAnsi="Cambria Math"/>
          </w:rPr>
          <m:t xml:space="preserve">L</m:t>
        </m:r>
        <m:r>
          <m:rPr>
            <m:sty m:val="p"/>
          </m:rPr>
          <w:rPr>
            <w:rFonts w:ascii="Cambria Math" w:hAnsi="Cambria Math"/>
          </w:rPr>
          <m:t xml:space="preserve"> = 6·40 = 240 м³/ч, 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в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f>
          <m:num>
            <m:r>
              <w:rPr>
                <w:rFonts w:ascii="Cambria Math" w:hAnsi="Cambria Math"/>
              </w:rPr>
              <m:t xml:space="preserve">L</m:t>
            </m:r>
          </m:num>
          <m:den>
            <m:r>
              <w:rPr>
                <w:rFonts w:ascii="Cambria Math" w:hAnsi="Cambria Math"/>
              </w:rPr>
              <m:t xml:space="preserve">V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240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153,3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= 1,6 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 xml:space="preserve">ч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 xml:space="preserve">-1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.</m:t>
        </m:r>
      </m:oMath>
    </w:p>
    <w:p>
      <w:r>
        <w:t>Требуемая кратность воздухообмена 1,6 ч⁻¹ обеспечивается проветриванием через створки окон в регламентированные перерывы; норма 40 м³/ч установлена именно для помещений с естественным проветриванием [58].</w:t>
      </w:r>
    </w:p>
    <w:p>
      <w:pPr>
        <w:pStyle w:val="Heading3"/>
      </w:pPr>
      <w:r>
        <w:t>5.2.3 Световая среда</w:t>
      </w:r>
    </w:p>
    <w:p>
      <w:r>
        <w:t>Работа с экраном монитора и документами относится к зрительным работам высокой точности: наименьший размер объекта различения – элементов знаков на экране – 0,3–0,5 мм, это разряд III (высота самих знаков – 1,1–5 мм, этот размер учитывается в оценке напряжённости, раздел 5.2.6); контраст объекта с фоном и фон средние, это подразряд «в». Для него нормируемая освещённость при общем освещении – 300 лк, при комбинированном – 750 лк, показатель ослеплённости – не более 40 [59, 60]. В помещениях с рабочими местами, оборудованными ПЭВМ, коэффициент пульсации освещённости не должен превышать 5 % [57]. Нормы для зрительных работ разряда III по СП 52.13330.2016 приведены в таблице 5.5 [59].</w:t>
      </w:r>
    </w:p>
    <w:p>
      <w:pPr>
        <w:pStyle w:val="TableCaption"/>
        <w:ind w:firstLine="0"/>
      </w:pPr>
      <w:r>
        <w:t>Таблица 5.5 – Требования к освещению помещений при зрительных работах высокой точности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510"/>
        <w:gridCol w:w="680"/>
        <w:gridCol w:w="453"/>
        <w:gridCol w:w="453"/>
        <w:gridCol w:w="963"/>
        <w:gridCol w:w="963"/>
        <w:gridCol w:w="737"/>
        <w:gridCol w:w="680"/>
        <w:gridCol w:w="680"/>
        <w:gridCol w:w="566"/>
        <w:gridCol w:w="566"/>
        <w:gridCol w:w="566"/>
        <w:gridCol w:w="510"/>
        <w:gridCol w:w="510"/>
        <w:gridCol w:w="510"/>
      </w:tblGrid>
      <w:tr>
        <w:trPr>
          <w:cantSplit/>
          <w:tblHeader w:val="true"/>
        </w:trPr>
        <w:tc>
          <w:tcPr>
            <w:tcW w:type="dxa" w:w="510"/>
            <w:vMerge w:val="restart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Характеристика зрительной работы</w:t>
            </w:r>
          </w:p>
        </w:tc>
        <w:tc>
          <w:tcPr>
            <w:tcW w:type="dxa" w:w="680"/>
            <w:vMerge w:val="restart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Наименьший или эквивалентный размер объекта различения, мм</w:t>
            </w:r>
          </w:p>
        </w:tc>
        <w:tc>
          <w:tcPr>
            <w:tcW w:type="dxa" w:w="454"/>
            <w:vMerge w:val="restart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Разряд зрительной работы</w:t>
            </w:r>
          </w:p>
        </w:tc>
        <w:tc>
          <w:tcPr>
            <w:tcW w:type="dxa" w:w="454"/>
            <w:vMerge w:val="restart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Подразряд зрительной работы</w:t>
            </w:r>
          </w:p>
        </w:tc>
        <w:tc>
          <w:tcPr>
            <w:tcW w:type="dxa" w:w="964"/>
            <w:vMerge w:val="restart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Контраст объекта с фоном</w:t>
            </w:r>
          </w:p>
        </w:tc>
        <w:tc>
          <w:tcPr>
            <w:tcW w:type="dxa" w:w="964"/>
            <w:vMerge w:val="restart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Характеристика фона</w:t>
            </w:r>
          </w:p>
        </w:tc>
        <w:tc>
          <w:tcPr>
            <w:tcW w:type="dxa" w:w="3231"/>
            <w:gridSpan w:val="5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Искусственное освещение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Естествен-</w:t>
            </w:r>
          </w:p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ное</w:t>
            </w:r>
          </w:p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освещение</w:t>
            </w:r>
          </w:p>
        </w:tc>
        <w:tc>
          <w:tcPr>
            <w:tcW w:type="dxa" w:w="1020"/>
            <w:gridSpan w:val="2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Совме-</w:t>
            </w:r>
          </w:p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щённое</w:t>
            </w:r>
          </w:p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освещение</w:t>
            </w:r>
          </w:p>
        </w:tc>
      </w:tr>
      <w:tr>
        <w:trPr>
          <w:cantSplit/>
          <w:tblHeader w:val="true"/>
        </w:trPr>
        <w:tc>
          <w:tcPr>
            <w:tcW w:type="dxa" w:w="510"/>
            <w:vMerge/>
            <w:vAlign w:val="center"/>
          </w:tcPr>
          <w:p>
            <w:pPr>
              <w:keepNext/>
            </w:pPr>
          </w:p>
        </w:tc>
        <w:tc>
          <w:tcPr>
            <w:tcW w:type="dxa" w:w="680"/>
            <w:vMerge/>
            <w:vAlign w:val="center"/>
          </w:tcPr>
          <w:p>
            <w:pPr>
              <w:keepNext/>
            </w:pPr>
          </w:p>
        </w:tc>
        <w:tc>
          <w:tcPr>
            <w:tcW w:type="dxa" w:w="454"/>
            <w:vMerge/>
            <w:vAlign w:val="center"/>
          </w:tcPr>
          <w:p>
            <w:pPr>
              <w:keepNext/>
            </w:pPr>
          </w:p>
        </w:tc>
        <w:tc>
          <w:tcPr>
            <w:tcW w:type="dxa" w:w="454"/>
            <w:vMerge/>
            <w:vAlign w:val="center"/>
          </w:tcPr>
          <w:p>
            <w:pPr>
              <w:keepNext/>
            </w:pPr>
          </w:p>
        </w:tc>
        <w:tc>
          <w:tcPr>
            <w:tcW w:type="dxa" w:w="964"/>
            <w:vMerge/>
            <w:vAlign w:val="center"/>
          </w:tcPr>
          <w:p>
            <w:pPr>
              <w:keepNext/>
            </w:pPr>
          </w:p>
        </w:tc>
        <w:tc>
          <w:tcPr>
            <w:tcW w:type="dxa" w:w="964"/>
            <w:vMerge/>
            <w:vAlign w:val="center"/>
          </w:tcPr>
          <w:p>
            <w:pPr>
              <w:keepNext/>
            </w:pPr>
          </w:p>
        </w:tc>
        <w:tc>
          <w:tcPr>
            <w:tcW w:type="dxa" w:w="2097"/>
            <w:gridSpan w:val="3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Освещённость, лк</w:t>
            </w:r>
          </w:p>
        </w:tc>
        <w:tc>
          <w:tcPr>
            <w:tcW w:type="dxa" w:w="1134"/>
            <w:gridSpan w:val="2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Сочетание нормируемых величин показателя ослеплённости и коэффициента пульсации</w:t>
            </w:r>
          </w:p>
        </w:tc>
        <w:tc>
          <w:tcPr>
            <w:tcW w:type="dxa" w:w="2097"/>
            <w:gridSpan w:val="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КЕО, %</w:t>
            </w:r>
          </w:p>
        </w:tc>
      </w:tr>
      <w:tr>
        <w:trPr>
          <w:cantSplit/>
          <w:tblHeader w:val="true"/>
        </w:trPr>
        <w:tc>
          <w:tcPr>
            <w:tcW w:type="dxa" w:w="510"/>
            <w:vMerge/>
            <w:vAlign w:val="center"/>
          </w:tcPr>
          <w:p>
            <w:pPr>
              <w:keepNext/>
            </w:pPr>
          </w:p>
        </w:tc>
        <w:tc>
          <w:tcPr>
            <w:tcW w:type="dxa" w:w="680"/>
            <w:vMerge/>
            <w:vAlign w:val="center"/>
          </w:tcPr>
          <w:p>
            <w:pPr>
              <w:keepNext/>
            </w:pPr>
          </w:p>
        </w:tc>
        <w:tc>
          <w:tcPr>
            <w:tcW w:type="dxa" w:w="454"/>
            <w:vMerge/>
            <w:vAlign w:val="center"/>
          </w:tcPr>
          <w:p>
            <w:pPr>
              <w:keepNext/>
            </w:pPr>
          </w:p>
        </w:tc>
        <w:tc>
          <w:tcPr>
            <w:tcW w:type="dxa" w:w="454"/>
            <w:vMerge/>
            <w:vAlign w:val="center"/>
          </w:tcPr>
          <w:p>
            <w:pPr>
              <w:keepNext/>
            </w:pPr>
          </w:p>
        </w:tc>
        <w:tc>
          <w:tcPr>
            <w:tcW w:type="dxa" w:w="964"/>
            <w:vMerge/>
            <w:vAlign w:val="center"/>
          </w:tcPr>
          <w:p>
            <w:pPr>
              <w:keepNext/>
            </w:pPr>
          </w:p>
        </w:tc>
        <w:tc>
          <w:tcPr>
            <w:tcW w:type="dxa" w:w="964"/>
            <w:vMerge/>
            <w:vAlign w:val="center"/>
          </w:tcPr>
          <w:p>
            <w:pPr>
              <w:keepNext/>
            </w:pPr>
          </w:p>
        </w:tc>
        <w:tc>
          <w:tcPr>
            <w:tcW w:type="dxa" w:w="1417"/>
            <w:gridSpan w:val="2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при системе комбинированного освещения</w:t>
            </w:r>
          </w:p>
        </w:tc>
        <w:tc>
          <w:tcPr>
            <w:tcW w:type="dxa" w:w="680"/>
            <w:vMerge w:val="restart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при системе общего освещения</w:t>
            </w:r>
          </w:p>
        </w:tc>
        <w:tc>
          <w:tcPr>
            <w:tcW w:type="dxa" w:w="567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P</w:t>
            </w:r>
          </w:p>
        </w:tc>
        <w:tc>
          <w:tcPr>
            <w:tcW w:type="dxa" w:w="567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Kп, %</w:t>
            </w:r>
          </w:p>
        </w:tc>
        <w:tc>
          <w:tcPr>
            <w:tcW w:type="dxa" w:w="567"/>
            <w:vMerge w:val="restart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при верхнем или комбинированном освещении</w:t>
            </w:r>
          </w:p>
        </w:tc>
        <w:tc>
          <w:tcPr>
            <w:tcW w:type="dxa" w:w="510"/>
            <w:vMerge w:val="restart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при боковом освещении</w:t>
            </w:r>
          </w:p>
        </w:tc>
        <w:tc>
          <w:tcPr>
            <w:tcW w:type="dxa" w:w="510"/>
            <w:vMerge w:val="restart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при верхнем или комбинированном освещении</w:t>
            </w:r>
          </w:p>
        </w:tc>
        <w:tc>
          <w:tcPr>
            <w:tcW w:type="dxa" w:w="510"/>
            <w:vMerge w:val="restart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при боковом освещении</w:t>
            </w:r>
          </w:p>
        </w:tc>
      </w:tr>
      <w:tr>
        <w:trPr>
          <w:cantSplit/>
          <w:tblHeader w:val="true"/>
          <w:trHeight w:val="2154" w:hRule="atLeast"/>
        </w:trPr>
        <w:tc>
          <w:tcPr>
            <w:tcW w:type="dxa" w:w="510"/>
            <w:vMerge/>
            <w:vAlign w:val="center"/>
          </w:tcPr>
          <w:p>
            <w:pPr>
              <w:keepNext/>
            </w:pPr>
          </w:p>
        </w:tc>
        <w:tc>
          <w:tcPr>
            <w:tcW w:type="dxa" w:w="680"/>
            <w:vMerge/>
            <w:vAlign w:val="center"/>
          </w:tcPr>
          <w:p>
            <w:pPr>
              <w:keepNext/>
            </w:pPr>
          </w:p>
        </w:tc>
        <w:tc>
          <w:tcPr>
            <w:tcW w:type="dxa" w:w="454"/>
            <w:vMerge/>
            <w:vAlign w:val="center"/>
          </w:tcPr>
          <w:p>
            <w:pPr>
              <w:keepNext/>
            </w:pPr>
          </w:p>
        </w:tc>
        <w:tc>
          <w:tcPr>
            <w:tcW w:type="dxa" w:w="454"/>
            <w:vMerge/>
            <w:vAlign w:val="center"/>
          </w:tcPr>
          <w:p>
            <w:pPr>
              <w:keepNext/>
            </w:pPr>
          </w:p>
        </w:tc>
        <w:tc>
          <w:tcPr>
            <w:tcW w:type="dxa" w:w="964"/>
            <w:vMerge/>
            <w:vAlign w:val="center"/>
          </w:tcPr>
          <w:p>
            <w:pPr>
              <w:keepNext/>
            </w:pPr>
          </w:p>
        </w:tc>
        <w:tc>
          <w:tcPr>
            <w:tcW w:type="dxa" w:w="964"/>
            <w:vMerge/>
            <w:vAlign w:val="center"/>
          </w:tcPr>
          <w:p>
            <w:pPr>
              <w:keepNext/>
            </w:pPr>
          </w:p>
        </w:tc>
        <w:tc>
          <w:tcPr>
            <w:tcW w:type="dxa" w:w="737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всего</w:t>
            </w:r>
          </w:p>
        </w:tc>
        <w:tc>
          <w:tcPr>
            <w:tcW w:type="dxa" w:w="680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18"/>
              </w:rPr>
              <w:t>в том числе от общего</w:t>
            </w:r>
          </w:p>
        </w:tc>
        <w:tc>
          <w:tcPr>
            <w:tcW w:type="dxa" w:w="680"/>
            <w:vMerge/>
            <w:vAlign w:val="center"/>
          </w:tcPr>
          <w:p>
            <w:pPr>
              <w:keepNext/>
            </w:pPr>
          </w:p>
        </w:tc>
        <w:tc>
          <w:tcPr>
            <w:tcW w:type="dxa" w:w="567"/>
            <w:vMerge/>
            <w:vAlign w:val="center"/>
          </w:tcPr>
          <w:p>
            <w:pPr>
              <w:keepNext/>
            </w:pPr>
          </w:p>
        </w:tc>
        <w:tc>
          <w:tcPr>
            <w:tcW w:type="dxa" w:w="567"/>
            <w:vMerge/>
            <w:vAlign w:val="center"/>
          </w:tcPr>
          <w:p>
            <w:pPr>
              <w:keepNext/>
            </w:pPr>
          </w:p>
        </w:tc>
        <w:tc>
          <w:tcPr>
            <w:tcW w:type="dxa" w:w="567"/>
            <w:vMerge/>
            <w:vAlign w:val="center"/>
          </w:tcPr>
          <w:p>
            <w:pPr>
              <w:keepNext/>
            </w:pPr>
          </w:p>
        </w:tc>
        <w:tc>
          <w:tcPr>
            <w:tcW w:type="dxa" w:w="510"/>
            <w:vMerge/>
            <w:vAlign w:val="center"/>
          </w:tcPr>
          <w:p>
            <w:pPr>
              <w:keepNext/>
            </w:pPr>
          </w:p>
        </w:tc>
        <w:tc>
          <w:tcPr>
            <w:tcW w:type="dxa" w:w="510"/>
            <w:vMerge/>
            <w:vAlign w:val="center"/>
          </w:tcPr>
          <w:p>
            <w:pPr>
              <w:keepNext/>
            </w:pPr>
          </w:p>
        </w:tc>
        <w:tc>
          <w:tcPr>
            <w:tcW w:type="dxa" w:w="510"/>
            <w:vMerge/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510"/>
            <w:vMerge w:val="restart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Высокой точности</w:t>
            </w:r>
          </w:p>
        </w:tc>
        <w:tc>
          <w:tcPr>
            <w:tcW w:type="dxa" w:w="680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От 0,3 до 0,5</w:t>
            </w:r>
          </w:p>
        </w:tc>
        <w:tc>
          <w:tcPr>
            <w:tcW w:type="dxa" w:w="454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III</w:t>
            </w:r>
          </w:p>
        </w:tc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type="dxa" w:w="9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Малый</w:t>
            </w:r>
          </w:p>
        </w:tc>
        <w:tc>
          <w:tcPr>
            <w:tcW w:type="dxa" w:w="9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Тёмный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2000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1500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200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500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40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15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567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–</w:t>
            </w:r>
          </w:p>
        </w:tc>
        <w:tc>
          <w:tcPr>
            <w:tcW w:type="dxa" w:w="510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–</w:t>
            </w:r>
          </w:p>
        </w:tc>
        <w:tc>
          <w:tcPr>
            <w:tcW w:type="dxa" w:w="510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3,0</w:t>
            </w:r>
          </w:p>
        </w:tc>
        <w:tc>
          <w:tcPr>
            <w:tcW w:type="dxa" w:w="510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1,2</w:t>
            </w:r>
          </w:p>
        </w:tc>
      </w:tr>
      <w:tr>
        <w:trPr>
          <w:cantSplit/>
        </w:trPr>
        <w:tc>
          <w:tcPr>
            <w:tcW w:type="dxa" w:w="510"/>
            <w:vMerge/>
            <w:vAlign w:val="center"/>
          </w:tcPr>
          <w:p>
            <w:pPr>
              <w:keepNext/>
            </w:pPr>
          </w:p>
        </w:tc>
        <w:tc>
          <w:tcPr>
            <w:tcW w:type="dxa" w:w="680"/>
            <w:vMerge/>
            <w:vAlign w:val="center"/>
          </w:tcPr>
          <w:p>
            <w:pPr>
              <w:keepNext/>
            </w:pPr>
          </w:p>
        </w:tc>
        <w:tc>
          <w:tcPr>
            <w:tcW w:type="dxa" w:w="454"/>
            <w:vMerge/>
            <w:vAlign w:val="center"/>
          </w:tcPr>
          <w:p>
            <w:pPr>
              <w:keepNext/>
            </w:pPr>
          </w:p>
        </w:tc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б</w:t>
            </w:r>
          </w:p>
        </w:tc>
        <w:tc>
          <w:tcPr>
            <w:tcW w:type="dxa" w:w="9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Малый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средний</w:t>
            </w:r>
          </w:p>
        </w:tc>
        <w:tc>
          <w:tcPr>
            <w:tcW w:type="dxa" w:w="9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Средний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тёмный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1000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750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200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300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40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15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567"/>
            <w:vMerge/>
            <w:vAlign w:val="center"/>
          </w:tcPr>
          <w:p>
            <w:pPr>
              <w:keepNext/>
            </w:pPr>
          </w:p>
        </w:tc>
        <w:tc>
          <w:tcPr>
            <w:tcW w:type="dxa" w:w="510"/>
            <w:vMerge/>
            <w:vAlign w:val="center"/>
          </w:tcPr>
          <w:p>
            <w:pPr>
              <w:keepNext/>
            </w:pPr>
          </w:p>
        </w:tc>
        <w:tc>
          <w:tcPr>
            <w:tcW w:type="dxa" w:w="510"/>
            <w:vMerge/>
            <w:vAlign w:val="center"/>
          </w:tcPr>
          <w:p>
            <w:pPr>
              <w:keepNext/>
            </w:pPr>
          </w:p>
        </w:tc>
        <w:tc>
          <w:tcPr>
            <w:tcW w:type="dxa" w:w="510"/>
            <w:vMerge/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510"/>
            <w:vMerge/>
            <w:vAlign w:val="center"/>
          </w:tcPr>
          <w:p>
            <w:pPr>
              <w:keepNext/>
            </w:pPr>
          </w:p>
        </w:tc>
        <w:tc>
          <w:tcPr>
            <w:tcW w:type="dxa" w:w="680"/>
            <w:vMerge/>
            <w:vAlign w:val="center"/>
          </w:tcPr>
          <w:p>
            <w:pPr>
              <w:keepNext/>
            </w:pPr>
          </w:p>
        </w:tc>
        <w:tc>
          <w:tcPr>
            <w:tcW w:type="dxa" w:w="454"/>
            <w:vMerge/>
            <w:vAlign w:val="center"/>
          </w:tcPr>
          <w:p>
            <w:pPr>
              <w:keepNext/>
            </w:pPr>
          </w:p>
        </w:tc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9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Малый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средний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большой</w:t>
            </w:r>
          </w:p>
        </w:tc>
        <w:tc>
          <w:tcPr>
            <w:tcW w:type="dxa" w:w="9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Светлый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средний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тёмный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750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200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300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40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15</w:t>
            </w:r>
          </w:p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567"/>
            <w:vMerge/>
            <w:vAlign w:val="center"/>
          </w:tcPr>
          <w:p>
            <w:pPr>
              <w:keepNext/>
            </w:pPr>
          </w:p>
        </w:tc>
        <w:tc>
          <w:tcPr>
            <w:tcW w:type="dxa" w:w="510"/>
            <w:vMerge/>
            <w:vAlign w:val="center"/>
          </w:tcPr>
          <w:p>
            <w:pPr>
              <w:keepNext/>
            </w:pPr>
          </w:p>
        </w:tc>
        <w:tc>
          <w:tcPr>
            <w:tcW w:type="dxa" w:w="510"/>
            <w:vMerge/>
            <w:vAlign w:val="center"/>
          </w:tcPr>
          <w:p>
            <w:pPr>
              <w:keepNext/>
            </w:pPr>
          </w:p>
        </w:tc>
        <w:tc>
          <w:tcPr>
            <w:tcW w:type="dxa" w:w="510"/>
            <w:vMerge/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510"/>
            <w:vMerge/>
            <w:vAlign w:val="center"/>
          </w:tcPr>
          <w:p/>
        </w:tc>
        <w:tc>
          <w:tcPr>
            <w:tcW w:type="dxa" w:w="680"/>
            <w:vMerge/>
            <w:vAlign w:val="center"/>
          </w:tcPr>
          <w:p/>
        </w:tc>
        <w:tc>
          <w:tcPr>
            <w:tcW w:type="dxa" w:w="454"/>
            <w:vMerge/>
            <w:vAlign w:val="center"/>
          </w:tcPr>
          <w:p/>
        </w:tc>
        <w:tc>
          <w:tcPr>
            <w:tcW w:type="dxa" w:w="45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г</w:t>
            </w:r>
          </w:p>
        </w:tc>
        <w:tc>
          <w:tcPr>
            <w:tcW w:type="dxa" w:w="9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Средний</w:t>
            </w:r>
          </w:p>
          <w:p>
            <w:pPr>
              <w:pStyle w:val="TableText"/>
              <w:jc w:val="center"/>
            </w:pPr>
            <w:r>
              <w:rPr>
                <w:sz w:val="20"/>
              </w:rPr>
              <w:t>большой</w:t>
            </w:r>
          </w:p>
        </w:tc>
        <w:tc>
          <w:tcPr>
            <w:tcW w:type="dxa" w:w="9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Светлый</w:t>
            </w:r>
          </w:p>
          <w:p>
            <w:pPr>
              <w:pStyle w:val="TableText"/>
              <w:jc w:val="center"/>
            </w:pPr>
            <w:r>
              <w:rPr>
                <w:sz w:val="20"/>
              </w:rPr>
              <w:t>средний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567"/>
            <w:vMerge/>
            <w:vAlign w:val="center"/>
          </w:tcPr>
          <w:p/>
        </w:tc>
        <w:tc>
          <w:tcPr>
            <w:tcW w:type="dxa" w:w="510"/>
            <w:vMerge/>
            <w:vAlign w:val="center"/>
          </w:tcPr>
          <w:p/>
        </w:tc>
        <w:tc>
          <w:tcPr>
            <w:tcW w:type="dxa" w:w="510"/>
            <w:vMerge/>
            <w:vAlign w:val="center"/>
          </w:tcPr>
          <w:p/>
        </w:tc>
        <w:tc>
          <w:tcPr>
            <w:tcW w:type="dxa" w:w="510"/>
            <w:vMerge/>
            <w:vAlign w:val="center"/>
          </w:tcPr>
          <w:p/>
        </w:tc>
      </w:tr>
    </w:tbl>
    <w:p>
      <w:pPr>
        <w:spacing w:line="240" w:lineRule="auto"/>
      </w:pPr>
    </w:p>
    <w:p>
      <w:r>
        <w:t>Общее освещение создают 8 встраиваемых светодиодных панелей 595 × 595 мм; по паспортным данным панели того же типа мощность одной панели – 48 Вт, световой поток – 4 800 лм, коэффициент пульсации – менее 1 % [61]; естественное освещение – боковое, через окно в левой стене. Расчёт в разделе 5.6 показывает, что к концу срока службы, с учётом коэффициента запаса, светильники создают на рабочей поверхности 287 лк: отклонение от нормы 300 лк составляет −4,3 % и находится в пределах допуска −10…+20 %, принятого при проектировании освещения [60]. Допуск относится именно к этой, расчётной освещённости. Новые светильники дают больше – около 430 лк: запас в 1,5 раза заложен на снижение их потока и загрязнение. Условия труда по световой среде приняты допустимыми (класс 2); при специальной оценке условий труда класс устанавливается по измеренной освещённости [53].</w:t>
      </w:r>
    </w:p>
    <w:p>
      <w:pPr>
        <w:pStyle w:val="Heading3"/>
      </w:pPr>
      <w:r>
        <w:t>5.2.4 Шум</w:t>
      </w:r>
    </w:p>
    <w:p>
      <w:r>
        <w:t>Шум снижает внимание и работоспособность и повышает утомляемость. Гигиенический норматив для рабочих мест – эквивалентный уровень звука за смену 80 дБА [57]; он один для всех видов работ и относится к шуму на рабочем месте, в том числе от собственного оборудования. Для помещений офисов и кабинетов конструкторских, проектных и научно-исследовательских организаций свод правил по защите от шума устанавливает более строгие допустимые уровни шума, проникающего из других помещений и извне: эквивалентный уровень звука 50 дБА, максимальный – 65 дБА, уровни звукового давления в октавных полосах частот – по таблице 5.6 [62]. Шум оборудования кабинета оценивается по нормативу 80 дБА и дополнительно сравнивается с более строгим значением 50 дБА. Спектр шума в кабинете не измерялся, поэтому шум оценивается по уровню звука в дБА.</w:t>
      </w:r>
    </w:p>
    <w:p>
      <w:pPr>
        <w:pStyle w:val="TableCaption"/>
        <w:ind w:firstLine="0"/>
      </w:pPr>
      <w:r>
        <w:t>Таблица 5.6 – Допустимые уровни проникающего шума в помещениях офисов и научно-исследовательских организаций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2154"/>
        <w:gridCol w:w="510"/>
        <w:gridCol w:w="510"/>
        <w:gridCol w:w="510"/>
        <w:gridCol w:w="510"/>
        <w:gridCol w:w="510"/>
        <w:gridCol w:w="566"/>
        <w:gridCol w:w="566"/>
        <w:gridCol w:w="566"/>
        <w:gridCol w:w="566"/>
        <w:gridCol w:w="1474"/>
        <w:gridCol w:w="1474"/>
      </w:tblGrid>
      <w:tr>
        <w:trPr>
          <w:cantSplit/>
          <w:tblHeader w:val="true"/>
        </w:trPr>
        <w:tc>
          <w:tcPr>
            <w:tcW w:type="dxa" w:w="2154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Назначение помещений</w:t>
            </w:r>
          </w:p>
        </w:tc>
        <w:tc>
          <w:tcPr>
            <w:tcW w:type="dxa" w:w="4818"/>
            <w:gridSpan w:val="9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Уровни звукового давления, дБ, в октавных полосах со среднегеометрическими частотами, Гц</w:t>
            </w:r>
          </w:p>
        </w:tc>
        <w:tc>
          <w:tcPr>
            <w:tcW w:type="dxa" w:w="1474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Эквива-</w:t>
            </w:r>
          </w:p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лентный уровень звука, дБА</w:t>
            </w:r>
          </w:p>
        </w:tc>
        <w:tc>
          <w:tcPr>
            <w:tcW w:type="dxa" w:w="1474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Макси-</w:t>
            </w:r>
          </w:p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мальный уровень звука, дБА</w:t>
            </w:r>
          </w:p>
        </w:tc>
      </w:tr>
      <w:tr>
        <w:trPr>
          <w:cantSplit/>
          <w:tblHeader w:val="true"/>
        </w:trPr>
        <w:tc>
          <w:tcPr>
            <w:tcW w:type="dxa" w:w="2154"/>
            <w:vMerge/>
            <w:vAlign w:val="center"/>
          </w:tcPr>
          <w:p>
            <w:pPr>
              <w:keepNext/>
            </w:pPr>
          </w:p>
        </w:tc>
        <w:tc>
          <w:tcPr>
            <w:tcW w:type="dxa" w:w="51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31,5</w:t>
            </w:r>
          </w:p>
        </w:tc>
        <w:tc>
          <w:tcPr>
            <w:tcW w:type="dxa" w:w="51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63</w:t>
            </w:r>
          </w:p>
        </w:tc>
        <w:tc>
          <w:tcPr>
            <w:tcW w:type="dxa" w:w="51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125</w:t>
            </w:r>
          </w:p>
        </w:tc>
        <w:tc>
          <w:tcPr>
            <w:tcW w:type="dxa" w:w="51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250</w:t>
            </w:r>
          </w:p>
        </w:tc>
        <w:tc>
          <w:tcPr>
            <w:tcW w:type="dxa" w:w="51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500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1000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2000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4000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8000</w:t>
            </w:r>
          </w:p>
        </w:tc>
        <w:tc>
          <w:tcPr>
            <w:tcW w:type="dxa" w:w="1474"/>
            <w:vMerge/>
            <w:vAlign w:val="center"/>
          </w:tcPr>
          <w:p>
            <w:pPr>
              <w:keepNext/>
            </w:pPr>
          </w:p>
        </w:tc>
        <w:tc>
          <w:tcPr>
            <w:tcW w:type="dxa" w:w="1474"/>
            <w:vMerge/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Помещения офисов, рабочие помещения и кабинеты административных зданий, конструкторских, проектных и научно-исследовательских организаций</w:t>
            </w:r>
          </w:p>
        </w:tc>
        <w:tc>
          <w:tcPr>
            <w:tcW w:type="dxa" w:w="510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86</w:t>
            </w:r>
          </w:p>
        </w:tc>
        <w:tc>
          <w:tcPr>
            <w:tcW w:type="dxa" w:w="510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71</w:t>
            </w:r>
          </w:p>
        </w:tc>
        <w:tc>
          <w:tcPr>
            <w:tcW w:type="dxa" w:w="510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61</w:t>
            </w:r>
          </w:p>
        </w:tc>
        <w:tc>
          <w:tcPr>
            <w:tcW w:type="dxa" w:w="510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54</w:t>
            </w:r>
          </w:p>
        </w:tc>
        <w:tc>
          <w:tcPr>
            <w:tcW w:type="dxa" w:w="510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49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45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42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38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65</w:t>
            </w:r>
          </w:p>
        </w:tc>
      </w:tr>
    </w:tbl>
    <w:p>
      <w:pPr>
        <w:spacing w:line="240" w:lineRule="auto"/>
      </w:pPr>
    </w:p>
    <w:p>
      <w:r>
        <w:t>Источники шума в кабинете – системные блоки ПЭВМ (одновременно работают до 6), внутренний блок кондиционера и шредер, работающий кратковременно; разговоры сотрудников к производственному шуму не относятся. Уровни звука источников приняты по паспортным данным оборудования того же класса для самого шумного режима работы: системный блок офисного ПК – 19 дБА на месте оператора в наиболее шумном из указанных в паспорте режимов [63]; внутренний блок настенной сплит-системы холодопроизводительностью 5,3 кВт, рассчитанной на помещение около 50 м², – от 30 до 44 дБА в зависимости от скорости вентилятора, принято наибольшее значение 44 дБА [64]; шредер с уровнем секретности P-5 – 60 дБ [65]. Вклад источника в эквивалентный уровень за смену [66, 67]: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экв,i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+ 10·lg 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+ 10·lg 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,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(5.2)</w:t>
            </w:r>
          </w:p>
        </w:tc>
      </w:tr>
    </w:tbl>
    <w:p>
      <w:pPr>
        <w:ind w:firstLine="0"/>
      </w:pPr>
      <w:r>
        <w:t xml:space="preserve">где </w:t>
      </w:r>
      <m:oMath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i</m:t>
            </m:r>
          </m:sub>
        </m:sSub>
      </m:oMath>
      <w:r>
        <w:t xml:space="preserve"> – уровень звука одного источника, дБА; </w:t>
      </w:r>
      <m:oMath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i</m:t>
            </m:r>
          </m:sub>
        </m:sSub>
      </m:oMath>
      <w:r>
        <w:t xml:space="preserve"> – число одинаковых источников;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i</m:t>
            </m:r>
          </m:sub>
        </m:sSub>
      </m:oMath>
      <w:r>
        <w:t xml:space="preserve"> – время работы источника за смену, ч; </w:t>
      </w:r>
      <m:oMath>
        <m:r>
          <w:rPr>
            <w:rFonts w:ascii="Cambria Math" w:hAnsi="Cambria Math"/>
          </w:rPr>
          <m:t xml:space="preserve">T</m:t>
        </m:r>
      </m:oMath>
      <w:r>
        <w:t xml:space="preserve"> – продолжительность смены, 8 ч.</w:t>
      </w:r>
    </w:p>
    <w:p>
      <w:pPr>
        <w:keepNext/>
      </w:pPr>
      <w:r>
        <w:t>Эквивалентный уровень звука от всех источников – энергетическая сумма: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экв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10·lg</m:t>
              </m:r>
              <m:nary>
                <m:naryPr>
                  <m:chr m:val="∑"/>
                  <m:limLoc m:val="undOvr"/>
                </m:naryPr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=1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k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0,1·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экв,i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 xml:space="preserve">.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(5.3)</w:t>
            </w:r>
          </w:p>
        </w:tc>
      </w:tr>
    </w:tbl>
    <w:p>
      <w:r>
        <w:t>Результаты расчёта приведены в таблице 5.7.</w:t>
      </w:r>
    </w:p>
    <w:p>
      <w:pPr>
        <w:pStyle w:val="TableCaption"/>
        <w:ind w:firstLine="0"/>
      </w:pPr>
      <w:r>
        <w:t>Таблица 5.7 – Расчёт эквивалентного уровня звука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3514"/>
        <w:gridCol w:w="1474"/>
        <w:gridCol w:w="1247"/>
        <w:gridCol w:w="1417"/>
        <w:gridCol w:w="1700"/>
      </w:tblGrid>
      <w:tr>
        <w:trPr>
          <w:cantSplit/>
          <w:tblHeader w:val="true"/>
        </w:trPr>
        <w:tc>
          <w:tcPr>
            <w:tcW w:type="dxa" w:w="3515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Источник шума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Уровень звука, дБА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Число, шт.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Время работы, ч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Вклад за смену, дБА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Системные блоки ПЭВМ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26,8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Внутренний блок кондиционера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44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44,0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Шредер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60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0,17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43,3</w:t>
            </w:r>
          </w:p>
        </w:tc>
      </w:tr>
      <w:tr>
        <w:trPr>
          <w:cantSplit/>
        </w:trPr>
        <w:tc>
          <w:tcPr>
            <w:tcW w:type="dxa" w:w="7653"/>
            <w:gridSpan w:val="4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2"/>
              </w:rPr>
              <w:t>Эквивалентный уровень за смену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  <w:t>46,7</w:t>
            </w:r>
          </w:p>
        </w:tc>
      </w:tr>
    </w:tbl>
    <w:p>
      <w:pPr>
        <w:spacing w:line="240" w:lineRule="auto"/>
      </w:pPr>
    </w:p>
    <w:p>
      <w:r>
        <w:t>Эквивалентный уровень звука 46,7 дБА не превышает гигиенического норматива 80 дБА и укладывается даже в более строгий допустимый уровень 50 дБА для офисов (запас 3,3 дБА). По Методике СОУТ, условия труда по шуму – класс 2 (допустимый).</w:t>
      </w:r>
    </w:p>
    <w:p>
      <w:pPr>
        <w:pStyle w:val="Heading3"/>
      </w:pPr>
      <w:r>
        <w:t>5.2.5 Электромагнитные поля</w:t>
      </w:r>
    </w:p>
    <w:p>
      <w:r>
        <w:t>Источники электромагнитных полей на рабочем месте – ПЭВМ и мониторы, которые питаются от сети 50 Гц, и радиомодули плат экспериментального стенда: при отладке программ платы передают данные по каналу Wi-Fi HaLow на частоте 867 МГц. Отдельных нормативов электромагнитных полей от ПЭВМ действующий СанПиН 1.2.3685-21 не содержит, поля частотой 50 Гц в кабинете не измерялись. Излучение стенда оценивается расчётом.</w:t>
      </w:r>
    </w:p>
    <w:p>
      <w:pPr>
        <w:keepNext/>
      </w:pPr>
      <w:r>
        <w:t>Наибольшая мощность передатчика модуля TX-AH стенда – +20 дБм, то есть 100 мВт [17]. В опытах мощность стенда ограничена 14 дБм: в полосе 866–868 МГц решения ГКРЧ допускают эффективную излучаемую мощность не более 25 мВт [15, 23], поэтому расчёт по 20 дБм идёт в запас. Усиление штатных антенн – 0 дБи. На расстоянии больше длины волны (0,35 м) плотность потока энергии от одновременно передающих плат: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r>
                <w:rPr>
                  <w:rFonts w:ascii="Cambria Math" w:hAnsi="Cambria Math"/>
                </w:rPr>
                <m:t xml:space="preserve">ППЭ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·</m:t>
                  </m:r>
                  <m:r>
                    <w:rPr>
                      <w:rFonts w:ascii="Cambria Math" w:hAnsi="Cambria Math"/>
                    </w:rPr>
                    <m:t xml:space="preserve"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·</m:t>
                  </m:r>
                  <m:r>
                    <w:rPr>
                      <w:rFonts w:ascii="Cambria Math" w:hAnsi="Cambria Math"/>
                    </w:rPr>
                    <m:t xml:space="preserve"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4π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,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(5.4)</w:t>
            </w:r>
          </w:p>
        </w:tc>
      </w:tr>
    </w:tbl>
    <w:p>
      <w:pPr>
        <w:ind w:firstLine="0"/>
      </w:pPr>
      <w:r>
        <w:t xml:space="preserve">где </w:t>
      </w:r>
      <m:oMath>
        <m:r>
          <w:rPr>
            <w:rFonts w:ascii="Cambria Math" w:hAnsi="Cambria Math"/>
          </w:rPr>
          <m:t xml:space="preserve">N</m:t>
        </m:r>
      </m:oMath>
      <w:r>
        <w:t xml:space="preserve"> – число плат, 2 (с камерой и приёмная); </w:t>
      </w:r>
      <m:oMath>
        <m:r>
          <w:rPr>
            <w:rFonts w:ascii="Cambria Math" w:hAnsi="Cambria Math"/>
          </w:rPr>
          <m:t xml:space="preserve">P</m:t>
        </m:r>
      </m:oMath>
      <w:r>
        <w:t xml:space="preserve"> – мощность передатчика, 0,1 Вт; </w:t>
      </w:r>
      <m:oMath>
        <m:r>
          <w:rPr>
            <w:rFonts w:ascii="Cambria Math" w:hAnsi="Cambria Math"/>
          </w:rPr>
          <m:t xml:space="preserve">G</m:t>
        </m:r>
      </m:oMath>
      <w:r>
        <w:t xml:space="preserve"> – коэффициент усиления антенны, 1; </w:t>
      </w:r>
      <m:oMath>
        <m:r>
          <w:rPr>
            <w:rFonts w:ascii="Cambria Math" w:hAnsi="Cambria Math"/>
          </w:rPr>
          <m:t xml:space="preserve">r</m:t>
        </m:r>
      </m:oMath>
      <w:r>
        <w:t xml:space="preserve"> – расстояние от антенн до оператора, 0,5 м.</w:t>
      </w:r>
    </w:p>
    <w:p>
      <w:pPr>
        <w:pStyle w:val="Formula"/>
        <w:jc w:val="center"/>
      </w:pPr>
      <m:oMath>
        <m:r>
          <w:rPr>
            <w:rFonts w:ascii="Cambria Math" w:hAnsi="Cambria Math"/>
          </w:rPr>
          <m:t xml:space="preserve">ППЭ</m:t>
        </m:r>
        <m:r>
          <m:rPr>
            <m:sty m:val="p"/>
          </m:rPr>
          <w:rPr>
            <w:rFonts w:ascii="Cambria Math" w:hAnsi="Cambria Math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2·0,1·1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4π·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0,5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 xml:space="preserve"> = 0,0637 Вт/м² = 6,4 мкВт/см².</m:t>
        </m:r>
      </m:oMath>
    </w:p>
    <w:p>
      <w:pPr>
        <w:keepNext/>
      </w:pPr>
      <w:r>
        <w:t>Энергетическая экспозиция за смену при непрерывной передаче [57]: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ЭЭ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ППЭ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r>
                <w:rPr>
                  <w:rFonts w:ascii="Cambria Math" w:hAnsi="Cambria Math"/>
                </w:rPr>
                <m:t xml:space="preserve">ППЭ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·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6,4·8 = 51,2 (мкВт/см²)·ч,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(5.5)</w:t>
            </w:r>
          </w:p>
        </w:tc>
      </w:tr>
    </w:tbl>
    <w:p>
      <w:pPr>
        <w:ind w:firstLine="0"/>
      </w:pPr>
      <w:r>
        <w:t xml:space="preserve">где </w:t>
      </w:r>
      <m:oMath>
        <m:r>
          <w:rPr>
            <w:rFonts w:ascii="Cambria Math" w:hAnsi="Cambria Math"/>
          </w:rPr>
          <m:t xml:space="preserve">T</m:t>
        </m:r>
      </m:oMath>
      <w:r>
        <w:t xml:space="preserve"> – продолжительность смены, 8 ч.</w:t>
      </w:r>
    </w:p>
    <w:p>
      <w:r>
        <w:t>Для диапазона 300 МГц – 300 ГГц энергетическая экспозиция за смену должна быть не более 200 (мкВт/см²)·ч, плотность потока энергии – не более 1000 мкВт/см² [57]. Даже если обе платы передают с наибольшей мощностью всю смену, экспозиция в 3,9 раза ниже нормы; по экспозиции норма выполняется уже на расстоянии 0,25 м от антенн. Платы стенда размещаются на столе не ближе 0,5 м от оператора (рисунок 5.3). Уровень фактора не превышает предельно допустимого, поэтому по Методике СОУТ условия труда по излучению стенда – класс 2 (допустимый) [53].</w:t>
      </w:r>
    </w:p>
    <w:p>
      <w:pPr>
        <w:pStyle w:val="Heading3"/>
      </w:pPr>
      <w:r>
        <w:t>5.2.6 Тяжесть и напряжённость трудового процесса</w:t>
      </w:r>
    </w:p>
    <w:p>
      <w:r>
        <w:t>Тяжесть трудового процесса характеризует физическую нагрузку, напряжённость – нагрузку на центральную нервную систему, органы чувств и эмоциональную сферу [68]. Оценка тяжести приведена в таблице 5.8; итоговый класс равен наибольшему из классов по отдельным показателям.</w:t>
      </w:r>
    </w:p>
    <w:p>
      <w:pPr>
        <w:pStyle w:val="TableCaption"/>
        <w:ind w:firstLine="0"/>
      </w:pPr>
      <w:r>
        <w:t>Таблица 5.8 – Оценка тяжести трудового процесса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3514"/>
        <w:gridCol w:w="4988"/>
        <w:gridCol w:w="850"/>
      </w:tblGrid>
      <w:tr>
        <w:trPr>
          <w:cantSplit/>
          <w:tblHeader w:val="true"/>
        </w:trPr>
        <w:tc>
          <w:tcPr>
            <w:tcW w:type="dxa" w:w="3515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Показатель тяжести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Характеристика работы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Класс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Физическая динамическая нагрузка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Отсутствует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Масса поднимаемого и перемещаемого груза вручную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До 5 кг (пачки бумаги, папки) при чередовании с другой работой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Стереотипные рабочие движения (локальная нагрузка)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Ввод с клавиатуры и мышью чередуется с чтением и анализом; в пределах нормы класса 1 (до 20 000 за смену)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Статическая нагрузка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Отсутствует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Рабочая поза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Периодическое, до 25 % времени смены, пребывание в фиксированной позе сидя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Наклоны корпуса более 30°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Нерегулярные (к тумбе, шредеру, системному блоку); работа сидя с опорой спины на спинку кресла; в пределах нормы класса 1 (до 50 за смену)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Перемещения в пространстве</w:t>
            </w:r>
          </w:p>
        </w:tc>
        <w:tc>
          <w:tcPr>
            <w:tcW w:type="dxa" w:w="498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Нерегулярные, в пределах кабинета и этажа; в пределах нормы класса 1 (до 4 км за смену)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8504"/>
            <w:gridSpan w:val="2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2"/>
              </w:rPr>
              <w:t>Итоговая оценка тяжести трудового процесса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  <w:t>2</w:t>
            </w:r>
          </w:p>
        </w:tc>
      </w:tr>
    </w:tbl>
    <w:p>
      <w:pPr>
        <w:spacing w:line="240" w:lineRule="auto"/>
      </w:pPr>
    </w:p>
    <w:p>
      <w:r>
        <w:t>Напряжённость оценивается по 23 показателям; результаты приведены в таблице 5.9.</w:t>
      </w:r>
    </w:p>
    <w:p>
      <w:pPr>
        <w:pStyle w:val="TableCaption"/>
        <w:ind w:firstLine="0"/>
      </w:pPr>
      <w:r>
        <w:t>Таблица 5.9 – Оценка напряжённости трудового процесса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4081"/>
        <w:gridCol w:w="4422"/>
        <w:gridCol w:w="850"/>
      </w:tblGrid>
      <w:tr>
        <w:trPr>
          <w:cantSplit/>
          <w:tblHeader w:val="true"/>
        </w:trPr>
        <w:tc>
          <w:tcPr>
            <w:tcW w:type="dxa" w:w="4082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  <w:t>Показатель напряжённости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  <w:t>Характеристика работы специалиста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  <w:t>Класс</w:t>
            </w:r>
          </w:p>
        </w:tc>
      </w:tr>
      <w:tr>
        <w:trPr>
          <w:cantSplit/>
        </w:trPr>
        <w:tc>
          <w:tcPr>
            <w:tcW w:type="dxa" w:w="9354"/>
            <w:gridSpan w:val="3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0"/>
              </w:rPr>
              <w:t>1. Интеллектуальные нагрузки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1.1. Содержание работы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Эвристическая (творческая) деятельность: разработка программ, анализ результатов измерений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3.2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1.2. Восприятие сигналов (информации) и их оценка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Сопоставление измеренных значений параметров канала с расчётными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3.1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1.3. Распределение функций по степени сложности задания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Обработка, выполнение задания и его проверка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1.4. Характер выполняемой работы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Работа по календарному плану с возможной его коррекцией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9354"/>
            <w:gridSpan w:val="3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0"/>
              </w:rPr>
              <w:t>2. Сенсорные нагрузки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2.1. Длительность сосредоточенного наблюдения, % времени смены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26–50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2.2. Плотность сигналов и сообщений в среднем за 1 ч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До 75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2.3. Число производственных объектов одновременного наблюдения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До 5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2.4. Размер объекта различения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5–1,1 мм – более 50 % времени (знаки на экране)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2.5. Работа с оптическими приборами, % времени смены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2.6. Наблюдение за экраном видеотерминала, ч в смену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До 6 (графический тип отображения)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3.1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2.7. Нагрузка на слуховой анализатор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Работа на слух не выполняется; речь в кабинете разборчива без помех (разборчивость 100–90 %)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2.8. Нагрузка на голосовой аппарат, ч в неделю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До 16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9354"/>
            <w:gridSpan w:val="3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0"/>
              </w:rPr>
              <w:t>3. Эмоциональные нагрузки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3.1. Степень ответственности за результат собственной деятельности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За функциональное качество вспомогательных работ, ошибки исправляются с участием руководителя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3.2. Степень риска для собственной жизни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Исключена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3.3. Степень ответственности за безопасность других лиц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Исключена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3.4. Количество конфликтных ситуаций за смену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Отсутствуют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9354"/>
            <w:gridSpan w:val="3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0"/>
              </w:rPr>
              <w:t>4. Монотонность нагрузок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4.1. Число элементов, необходимых для реализации простого задания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Более 10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4.2. Продолжительность выполнения простых заданий, с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Более 100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4.3. Время активных действий, % времени смены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20 и более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4.4. Монотонность производственной обстановки, % времени смены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Менее 75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9354"/>
            <w:gridSpan w:val="3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0"/>
              </w:rPr>
              <w:t>5. Режим работы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5.1. Фактическая продолжительность рабочего дня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8–9 ч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5.2. Сменность работы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Односменная работа без ночной смены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5.3. Наличие регламентированных перерывов и их продолжительность</w:t>
            </w:r>
          </w:p>
        </w:tc>
        <w:tc>
          <w:tcPr>
            <w:tcW w:type="dxa" w:w="4422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Перерывы регламентированы, 7 % и более рабочего времени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9354"/>
            <w:gridSpan w:val="3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Число показателей: класс 1 – 14, класс 2 – 6, класс 3.1 – 2, класс 3.2 – 1</w:t>
            </w:r>
          </w:p>
        </w:tc>
      </w:tr>
      <w:tr>
        <w:trPr>
          <w:cantSplit/>
        </w:trPr>
        <w:tc>
          <w:tcPr>
            <w:tcW w:type="dxa" w:w="8504"/>
            <w:gridSpan w:val="2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0"/>
              </w:rPr>
              <w:t>Итоговая оценка напряжённости трудового процесса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0"/>
              </w:rPr>
              <w:t>2</w:t>
            </w:r>
          </w:p>
        </w:tc>
      </w:tr>
    </w:tbl>
    <w:p>
      <w:pPr>
        <w:spacing w:line="240" w:lineRule="auto"/>
      </w:pPr>
    </w:p>
    <w:p>
      <w:r>
        <w:t>Из 23 показателей 3 выше класса 2, и это свойства самой исследовательской работы: содержание работы творческое – решения ищутся без готового алгоритма (класс 3.2); измеренные значения постоянно сопоставляются с расчётными и нормативными (класс 3.1); с экраном монитора работа идёт до 6 ч за смену (класс 3.1). По правилу Р 2.2.2006-05 напряжённость признаётся допустимой, если таких показателей не больше пяти, а остальные относятся к классам 1 и 2 [68]. Напряжённость трудового процесса – класс 2 (допустимый). Для снижения утомления через каждый час работы с ПЭВМ делаются перерывы 10–15 мин с упражнениями для глаз и разминкой.</w:t>
      </w:r>
    </w:p>
    <w:p>
      <w:pPr>
        <w:pStyle w:val="Heading3"/>
      </w:pPr>
      <w:r>
        <w:t>5.2.7 Класс условий труда</w:t>
      </w:r>
    </w:p>
    <w:p>
      <w:r>
        <w:t>Итоговый класс условий труда равен наивысшему из классов по отдельным факторам [53]. Результаты приведены в таблице 5.10.</w:t>
      </w:r>
    </w:p>
    <w:p>
      <w:pPr>
        <w:pStyle w:val="TableCaption"/>
        <w:ind w:firstLine="0"/>
      </w:pPr>
      <w:r>
        <w:t>Таблица 5.10 – Оценка класса условий труда специалиста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3118"/>
        <w:gridCol w:w="2267"/>
        <w:gridCol w:w="2267"/>
        <w:gridCol w:w="1700"/>
      </w:tblGrid>
      <w:tr>
        <w:trPr>
          <w:cantSplit/>
          <w:tblHeader w:val="true"/>
        </w:trPr>
        <w:tc>
          <w:tcPr>
            <w:tcW w:type="dxa" w:w="311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Фактор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Фактическое значение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Нормативное значение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Класс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Микроклимат (холодный период): температура / влажность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22–23 °C / 50 %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22–24 °C / 40–60 % (оптимальные)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Световая среда: освещённость при общем освещении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287 лк к концу срока службы (новые светильники – около 430 лк) [5.2.3]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300 лк, допуск −10…+20 %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Шум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46,7 дБА [5.2.4]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не более 80 дБА (для офисов – 50 дБА)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Излучение стенда: энергетическая экспозиция за смену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51,2 (мкВт/см²)·ч [5.2.5]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не более 200 (мкВт/см²)·ч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Тяжесть трудового процесса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Рабочая поза – класс 2, остальные 6 показателей – класс 1 (таблица 5.8)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Итоговый класс – наибольший из классов по показателям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Напряжённость трудового процесса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3 показателя из 23 – класс 3.1–3.2, остальные – классы 1 и 2 (таблица 5.9)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Класс 2 – не более 5 показателей класса 3.1–3.2 при остальных классах 1 и 2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7654"/>
            <w:gridSpan w:val="3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2"/>
              </w:rPr>
              <w:t>Итоговый класс условий труда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  <w:t>2</w:t>
            </w:r>
          </w:p>
        </w:tc>
      </w:tr>
    </w:tbl>
    <w:p>
      <w:pPr>
        <w:spacing w:line="240" w:lineRule="auto"/>
      </w:pPr>
    </w:p>
    <w:p>
      <w:r>
        <w:t>Итоговый класс условий труда специалиста – 2 (допустимый); вредных факторов на рабочем месте не выявлено.</w:t>
      </w:r>
    </w:p>
    <w:p>
      <w:pPr>
        <w:pStyle w:val="Heading2"/>
      </w:pPr>
      <w:r>
        <w:t>5.3 Оценка условий труда по эргономическим параметрам</w:t>
      </w:r>
    </w:p>
    <w:p>
      <w:r>
        <w:t>Конструкция рабочего места и взаимное расположение его элементов должны соответствовать антропометрическим, физиологическим и психологическим требованиям [69, 70]. Компоновка рабочего места специалиста показана на рисунке 5.2: верхний край экрана находится ниже уровня глаз, линия взгляда на центр экрана наклонена к горизонтали на 20°, руки при работе с клавиатурой согнуты в локтях под углом, близким к прямому, стопы стоят на полу.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7045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0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5.2 – Компоновка рабочего места (размеры в мм)</w:t>
      </w:r>
    </w:p>
    <w:p>
      <w:r>
        <w:t>Органы управления и предметы труда размещаются в пределах зон досягаемости моторного поля [69], показанных на рисунке 5.3: в зоне А (оптимальной) находятся клавиатура и мышь, которыми пользуются постоянно, в зоне Б (лёгкой досягаемости) – документы, в зоне В (досягаемости вытянутой рукой) – редко используемые предметы. Монитор стоит за пределами зон досягаемости, на расстоянии наблюдения.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19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1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5.3 – Зоны досягаемости на рабочем столе (вид сверху, размеры в мм): 1 – монитор; 2 – клавиатура; 3 – мышь; 4 – документы; 5 – кресло; 6 – платы экспериментального стенда; А – оптимальная зона; Б – зона лёгкой досягаемости; В – зона досягаемости</w:t>
      </w:r>
    </w:p>
    <w:p>
      <w:r>
        <w:t>Параметры рабочего места и видеотерминала сопоставлены с нормативными в таблице 5.11 [70, 71, 72].</w:t>
      </w:r>
    </w:p>
    <w:p>
      <w:pPr>
        <w:pStyle w:val="TableCaption"/>
        <w:ind w:firstLine="0"/>
      </w:pPr>
      <w:r>
        <w:t>Таблица 5.11 – Эргономические параметры рабочего места и видеотерминала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3514"/>
        <w:gridCol w:w="1814"/>
        <w:gridCol w:w="2324"/>
        <w:gridCol w:w="1700"/>
      </w:tblGrid>
      <w:tr>
        <w:trPr>
          <w:cantSplit/>
          <w:tblHeader w:val="true"/>
        </w:trPr>
        <w:tc>
          <w:tcPr>
            <w:tcW w:type="dxa" w:w="3515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  <w:t>Факт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  <w:t>Норма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  <w:t>Вывод</w:t>
            </w:r>
          </w:p>
        </w:tc>
      </w:tr>
      <w:tr>
        <w:trPr>
          <w:cantSplit/>
        </w:trPr>
        <w:tc>
          <w:tcPr>
            <w:tcW w:type="dxa" w:w="9354"/>
            <w:gridSpan w:val="4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2"/>
              </w:rPr>
              <w:t>Рабочее место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Высота рабочей поверхности стола, мм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725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680–800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Соответствует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Высота сиденья кресла, мм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400–500 (регулируемая)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400–550, регулируемая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Соответствует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Пространство для ног: высота / глубина на уровне колен, мм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600 / 500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не менее 600 / 450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Соответствует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Площадь на одно рабочее место, м²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4,65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не менее 4,5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Соответствует</w:t>
            </w:r>
          </w:p>
        </w:tc>
      </w:tr>
      <w:tr>
        <w:trPr>
          <w:cantSplit/>
        </w:trPr>
        <w:tc>
          <w:tcPr>
            <w:tcW w:type="dxa" w:w="9354"/>
            <w:gridSpan w:val="4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2"/>
              </w:rPr>
              <w:t>Монитор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Расстояние от глаз до экрана 23,8″, мм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750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750 (проектное расстояние для экранов 19″ и более)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Соответствует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Угол наблюдения экрана от горизонтали, °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не более 60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Соответствует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Яркость знака (фона) экрана, кд/м²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до 300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не менее 20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Соответствует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Регулировка наклона экрана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от −5 до +15°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есть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Соответствует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Антибликовое покрытие экрана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матовое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есть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Соответствует</w:t>
            </w:r>
          </w:p>
        </w:tc>
      </w:tr>
      <w:tr>
        <w:trPr>
          <w:cantSplit/>
        </w:trPr>
        <w:tc>
          <w:tcPr>
            <w:tcW w:type="dxa" w:w="9354"/>
            <w:gridSpan w:val="4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2"/>
              </w:rPr>
              <w:t>Клавиатура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Высота основного ряда клавиш, мм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не более 28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не более 30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Соответствует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Угол наклона клавиатуры, °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0–12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Соответствует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jc w:val="left"/>
            </w:pPr>
            <w:r>
              <w:rPr>
                <w:sz w:val="22"/>
              </w:rPr>
              <w:t>Расстояние между центрами клавиш, мм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19 ± 1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Соответствует</w:t>
            </w:r>
          </w:p>
        </w:tc>
      </w:tr>
    </w:tbl>
    <w:p>
      <w:pPr>
        <w:spacing w:line="240" w:lineRule="auto"/>
      </w:pPr>
    </w:p>
    <w:p>
      <w:r>
        <w:t>Параметры рабочего места, монитора и клавиатуры соответствуют нормам. Рабочее место специалиста стоит так, что окно находится слева и свет падает сбоку, без бликов на экране.</w:t>
      </w:r>
    </w:p>
    <w:p>
      <w:pPr>
        <w:pStyle w:val="Heading2"/>
      </w:pPr>
      <w:r>
        <w:t>5.4 Оценка помещения по электроопасности</w:t>
      </w:r>
    </w:p>
    <w:p>
      <w:r>
        <w:t>По опасности поражения электрическим током помещения делятся на помещения без повышенной опасности, с повышенной опасностью и особо опасные [73]. Относительная влажность воздуха в кабинете – 40–50 % (таблица 5.4), то есть не более 60 %, поэтому по ПУЭ помещение сухое; температура нормальная, токопроводящая пыль отсутствует, пол – ламинат – не проводит ток. Металлические радиаторы отопления, соединённые с землёй, закрыты декоративными экранами, поэтому одновременное прикосновение к радиатору и корпусу ПЭВМ исключено. Кабинет относится к помещениям без повышенной опасности.</w:t>
      </w:r>
    </w:p>
    <w:p>
      <w:r>
        <w:t>Предельно допустимые значения напряжения прикосновения и тока при нормальном режиме электроустановки переменного тока 50 Гц составляют 2 В и 0,3 мА, при аварийном режиме – зависят от продолжительности воздействия тока и приведены в таблице 5.12 [74].</w:t>
      </w:r>
    </w:p>
    <w:p>
      <w:pPr>
        <w:pStyle w:val="TableCaption"/>
        <w:ind w:firstLine="0"/>
      </w:pPr>
      <w:r>
        <w:t>Таблица 5.12 – Предельно допустимые значения напряжений прикосновения и токов при аварийном режиме производственных электроустановок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1417"/>
        <w:gridCol w:w="1133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</w:tblGrid>
      <w:tr>
        <w:trPr>
          <w:cantSplit/>
          <w:tblHeader w:val="true"/>
        </w:trPr>
        <w:tc>
          <w:tcPr>
            <w:tcW w:type="dxa" w:w="1417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Род тока</w:t>
            </w:r>
          </w:p>
        </w:tc>
        <w:tc>
          <w:tcPr>
            <w:tcW w:type="dxa" w:w="1134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Нормируемая величина</w:t>
            </w:r>
          </w:p>
        </w:tc>
        <w:tc>
          <w:tcPr>
            <w:tcW w:type="dxa" w:w="6804"/>
            <w:gridSpan w:val="12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Предельно допустимые значения, не более, при продолжительности воздействия тока t, с</w:t>
            </w:r>
          </w:p>
        </w:tc>
      </w:tr>
      <w:tr>
        <w:trPr>
          <w:cantSplit/>
          <w:tblHeader w:val="true"/>
          <w:trHeight w:val="1133" w:hRule="atLeast"/>
        </w:trPr>
        <w:tc>
          <w:tcPr>
            <w:tcW w:type="dxa" w:w="1417"/>
            <w:vMerge/>
            <w:vAlign w:val="center"/>
          </w:tcPr>
          <w:p>
            <w:pPr>
              <w:keepNext/>
            </w:pPr>
          </w:p>
        </w:tc>
        <w:tc>
          <w:tcPr>
            <w:tcW w:type="dxa" w:w="1134"/>
            <w:vMerge/>
            <w:vAlign w:val="center"/>
          </w:tcPr>
          <w:p>
            <w:pPr>
              <w:keepNext/>
            </w:pPr>
          </w:p>
        </w:tc>
        <w:tc>
          <w:tcPr>
            <w:tcW w:type="dxa" w:w="567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0,01–0,08</w:t>
            </w:r>
          </w:p>
        </w:tc>
        <w:tc>
          <w:tcPr>
            <w:tcW w:type="dxa" w:w="567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0,1</w:t>
            </w:r>
          </w:p>
        </w:tc>
        <w:tc>
          <w:tcPr>
            <w:tcW w:type="dxa" w:w="567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0,2</w:t>
            </w:r>
          </w:p>
        </w:tc>
        <w:tc>
          <w:tcPr>
            <w:tcW w:type="dxa" w:w="567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0,3</w:t>
            </w:r>
          </w:p>
        </w:tc>
        <w:tc>
          <w:tcPr>
            <w:tcW w:type="dxa" w:w="567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0,4</w:t>
            </w:r>
          </w:p>
        </w:tc>
        <w:tc>
          <w:tcPr>
            <w:tcW w:type="dxa" w:w="567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0,5</w:t>
            </w:r>
          </w:p>
        </w:tc>
        <w:tc>
          <w:tcPr>
            <w:tcW w:type="dxa" w:w="567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0,6</w:t>
            </w:r>
          </w:p>
        </w:tc>
        <w:tc>
          <w:tcPr>
            <w:tcW w:type="dxa" w:w="567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0,7</w:t>
            </w:r>
          </w:p>
        </w:tc>
        <w:tc>
          <w:tcPr>
            <w:tcW w:type="dxa" w:w="567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0,8</w:t>
            </w:r>
          </w:p>
        </w:tc>
        <w:tc>
          <w:tcPr>
            <w:tcW w:type="dxa" w:w="567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0,9</w:t>
            </w:r>
          </w:p>
        </w:tc>
        <w:tc>
          <w:tcPr>
            <w:tcW w:type="dxa" w:w="567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1,0</w:t>
            </w:r>
          </w:p>
        </w:tc>
        <w:tc>
          <w:tcPr>
            <w:tcW w:type="dxa" w:w="567"/>
            <w:vAlign w:val="center"/>
            <w:textDirection w:val="btL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Св. 1,0</w:t>
            </w:r>
          </w:p>
        </w:tc>
      </w:tr>
      <w:tr>
        <w:trPr>
          <w:cantSplit/>
        </w:trPr>
        <w:tc>
          <w:tcPr>
            <w:tcW w:type="dxa" w:w="1417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Переменный, 50 Гц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U, В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550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340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160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135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120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105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95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85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75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70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60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20</w:t>
            </w:r>
          </w:p>
        </w:tc>
      </w:tr>
      <w:tr>
        <w:trPr>
          <w:cantSplit/>
        </w:trPr>
        <w:tc>
          <w:tcPr>
            <w:tcW w:type="dxa" w:w="1417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I, мА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650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400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190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160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140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125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105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90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75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65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6</w:t>
            </w:r>
          </w:p>
        </w:tc>
      </w:tr>
    </w:tbl>
    <w:p>
      <w:pPr>
        <w:spacing w:line="240" w:lineRule="auto"/>
      </w:pPr>
    </w:p>
    <w:p>
      <w:r>
        <w:t>Для защиты от поражения током [75, 76]:</w:t>
      </w:r>
    </w:p>
    <w:p>
      <w:r>
        <w:t xml:space="preserve">– </w:t>
      </w:r>
      <w:r>
        <w:t>ПЭВМ I класса защиты подключаются к розеткам с заземляющим контактом, соединённым с защитным проводником PE сети TN-S или TN-C-S;</w:t>
      </w:r>
    </w:p>
    <w:p>
      <w:r>
        <w:t xml:space="preserve">– </w:t>
      </w:r>
      <w:r>
        <w:t>групповые линии розеток защищаются автоматическими выключателями и устройством защитного отключения с током срабатывания 30 мА;</w:t>
      </w:r>
    </w:p>
    <w:p>
      <w:r>
        <w:t xml:space="preserve">– </w:t>
      </w:r>
      <w:r>
        <w:t>каждая ПЭВМ подключена через собственный источник бесперебойного питания, удлинители не используются; токоведущие части изолированы, кабели проложены в кабель-каналах;</w:t>
      </w:r>
    </w:p>
    <w:p>
      <w:r>
        <w:t xml:space="preserve">– </w:t>
      </w:r>
      <w:r>
        <w:t>корпуса оборудования не вскрываются, неисправное оборудование отключается от сети.</w:t>
      </w:r>
    </w:p>
    <w:p>
      <w:r>
        <w:t>Статическое электричество. Синтетическая обивка кресел способствует накоплению зарядов на теле человека; разряды неприятны и могут повредить электронику. Напряжённость электростатического поля на рабочем месте при воздействии в течение всей смены не должна превышать 20 кВ/м, а на поверхности полимерных материалов в общественных зданиях – 15 кВ/м при относительной влажности 30–60 % [57]. Электризацию ограничивают оптимальная влажность воздуха (40–50 %) и заземление корпусов ПЭВМ через розетки с заземляющим контактом.</w:t>
      </w:r>
    </w:p>
    <w:p>
      <w:pPr>
        <w:pStyle w:val="Heading2"/>
      </w:pPr>
      <w:r>
        <w:t>5.5 Классификация помещения по пожароопасности</w:t>
      </w:r>
    </w:p>
    <w:p>
      <w:r>
        <w:t>Возможные причины пожара в кабинете – короткое замыкание и перегрузка электрической сети, неисправность блоков питания ПЭВМ и источников бесперебойного питания. Горючие материалы – мебель из ЛДСП (столы, тумбы, шкафы), кресла, пластмассовые корпуса оборудования и бумага; горючие газы, легковоспламеняющиеся и горючие жидкости отсутствуют.</w:t>
      </w:r>
    </w:p>
    <w:p>
      <w:r>
        <w:t>Кабинет предназначен для научно-исследовательской работы на ПЭВМ и расположен в офисном здании. Здания научных и проектно-конструкторских организаций, контор и офисов по классу функциональной пожарной опасности относятся к Ф4.3 [77]. Категории по взрывопожарной и пожарной опасности (А, Б, В1–В4, Г, Д) установлены только для помещений производственного и складского назначения: так их определяют статья 27 Технического регламента о требованиях пожарной безопасности [77] и пункт 1.1 СП 12.13130.2009, задающего методику их расчёта [78]. Кабинет – помещение офисного здания, к производственным и складским не относится, поэтому категория для него не определяется. Класс Ф4.3 определяет требования к зданию – к эвакуационным путям и выходам, системам оповещения и пожарной сигнализации [77]; при эксплуатации кабинета действуют Правила противопожарного режима [79], из которых следуют мероприятия:</w:t>
      </w:r>
    </w:p>
    <w:p>
      <w:r>
        <w:t xml:space="preserve">– </w:t>
      </w:r>
      <w:r>
        <w:t>в верхнем правом углу прихожей, у выхода, установлен углекислотный огнетушитель ОУ-2, пригодный для тушения электрооборудования под напряжением до 1000 В; углекислотный огнетушитель не портит электронику [80];</w:t>
      </w:r>
    </w:p>
    <w:p>
      <w:r>
        <w:t xml:space="preserve">– </w:t>
      </w:r>
      <w:r>
        <w:t>огнетушитель проверяется и перезаряжается в сроки, указанные в паспорте; путь к нему и к выходу не загромождается;</w:t>
      </w:r>
    </w:p>
    <w:p>
      <w:r>
        <w:t xml:space="preserve">– </w:t>
      </w:r>
      <w:r>
        <w:t>на этаже вывешен план эвакуации, сотрудники проходят противопожарный инструктаж;</w:t>
      </w:r>
    </w:p>
    <w:p>
      <w:r>
        <w:t xml:space="preserve">– </w:t>
      </w:r>
      <w:r>
        <w:t>не допускается оставлять включённым оборудование после работы, хранить бумагу у радиаторов и светильников;</w:t>
      </w:r>
    </w:p>
    <w:p>
      <w:r>
        <w:t xml:space="preserve">– </w:t>
      </w:r>
      <w:r>
        <w:t>ширина выхода из помещения 0,9 м, полотно двери открывается внутрь и не перекрывает пути движения в прихожей; направление открывания дверей не нормируется для помещений с одновременным пребыванием не более 15 человек, кроме помещений категорий А и Б [81], а в кабинете одновременно находятся не более 6 человек.</w:t>
      </w:r>
    </w:p>
    <w:p>
      <w:pPr>
        <w:pStyle w:val="Heading2"/>
      </w:pPr>
      <w:r>
        <w:t>5.6 Расчёт искусственного освещения</w:t>
      </w:r>
    </w:p>
    <w:p>
      <w:r>
        <w:t>Индивидуальное задание – расчёт общего искусственного освещения кабинета. Расчёт выполняется методом коэффициента использования светового потока, который применяется для равномерно освещённых горизонтальных поверхностей [59, 60]. Нормируемая освещённость – 300 лк (раздел 5.2.3); для кабинетов и офисов она нормируется на горизонтальной рабочей поверхности на высоте 0,8 м от пола [57].</w:t>
      </w:r>
    </w:p>
    <w:p>
      <w:pPr>
        <w:keepNext/>
      </w:pPr>
      <w:r>
        <w:t>Расчётная высота подвеса светильников над рабочей поверхностью: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r>
                <w:rPr>
                  <w:rFonts w:ascii="Cambria Math" w:hAnsi="Cambria Math"/>
                </w:rPr>
                <m:t xml:space="preserve"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r>
                <w:rPr>
                  <w:rFonts w:ascii="Cambria Math" w:hAnsi="Cambria Math"/>
                </w:rPr>
                <m:t xml:space="preserve"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,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(5.6)</w:t>
            </w:r>
          </w:p>
        </w:tc>
      </w:tr>
    </w:tbl>
    <w:p>
      <w:pPr>
        <w:ind w:firstLine="0"/>
      </w:pPr>
      <w:r>
        <w:t xml:space="preserve">где </w:t>
      </w:r>
      <m:oMath>
        <m:r>
          <w:rPr>
            <w:rFonts w:ascii="Cambria Math" w:hAnsi="Cambria Math"/>
          </w:rPr>
          <m:t xml:space="preserve">H</m:t>
        </m:r>
      </m:oMath>
      <w:r>
        <w:t xml:space="preserve"> – высота помещения, 3,0 м; </w:t>
      </w:r>
      <m:oMath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с</m:t>
            </m:r>
          </m:sub>
        </m:sSub>
      </m:oMath>
      <w:r>
        <w:t xml:space="preserve"> – расстояние от светильника до перекрытия, 0 м (светильники встроены в подвесной потолок); </w:t>
      </w:r>
      <m:oMath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р</m:t>
            </m:r>
          </m:sub>
        </m:sSub>
      </m:oMath>
      <w:r>
        <w:t xml:space="preserve"> – высота рабочей поверхности, 0,8 м.</w:t>
      </w:r>
    </w:p>
    <w:p>
      <w:pPr>
        <w:pStyle w:val="Formula"/>
        <w:jc w:val="center"/>
      </w:pPr>
      <m:oMath>
        <m:r>
          <w:rPr>
            <w:rFonts w:ascii="Cambria Math" w:hAnsi="Cambria Math"/>
          </w:rPr>
          <m:t xml:space="preserve">h</m:t>
        </m:r>
        <m:r>
          <m:rPr>
            <m:sty m:val="p"/>
          </m:rPr>
          <w:rPr>
            <w:rFonts w:ascii="Cambria Math" w:hAnsi="Cambria Math"/>
          </w:rPr>
          <m:t xml:space="preserve"> = 3,0 - 0 - 0,8 = 2,2 м.</m:t>
        </m:r>
      </m:oMath>
    </w:p>
    <w:p>
      <w:pPr>
        <w:keepNext/>
      </w:pPr>
      <w:r>
        <w:t>Индекс помещения: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r>
                <w:rPr>
                  <w:rFonts w:ascii="Cambria Math" w:hAnsi="Cambria Math"/>
                </w:rPr>
                <m:t xml:space="preserve"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·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·</m:t>
                  </m:r>
                  <m:d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 </m:t>
                      </m:r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9,66·5,0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2,2·(9,66 + 5,0)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1,50,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(5.7)</w:t>
            </w:r>
          </w:p>
        </w:tc>
      </w:tr>
    </w:tbl>
    <w:p>
      <w:pPr>
        <w:ind w:firstLine="0"/>
      </w:pPr>
      <w:r>
        <w:t xml:space="preserve">где </w:t>
      </w:r>
      <m:oMath>
        <m:r>
          <w:rPr>
            <w:rFonts w:ascii="Cambria Math" w:hAnsi="Cambria Math"/>
          </w:rPr>
          <m:t xml:space="preserve">B</m:t>
        </m:r>
      </m:oMath>
      <w:r>
        <w:t xml:space="preserve"> – ширина основной части помещения, 5,0 м;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– её приведённая длина: площадь Г-образной основной части 48,3 м², делённая на ширину, 9,66 м.</w:t>
      </w:r>
    </w:p>
    <w:p>
      <w:r>
        <w:t>Коэффициенты отражения потолка, стен и пола (ламинат) – 70, 50 и 30 %. Коэффициент запаса для административно-конструкторских помещений Kз = 1,5, коэффициент неравномерности освещённости z = 1,1 [60].</w:t>
      </w:r>
    </w:p>
    <w:p>
      <w:pPr>
        <w:keepNext/>
      </w:pPr>
      <w:r>
        <w:t>В кабинете установлены светильники – встраиваемые светодиодные панели 595 × 595 мм для потолка «Армстронг». По паспортным данным панели того же типа: мощность 48 Вт, световой поток 4 800 лм, коэффициент пульсации менее 1 %, цветовая температура 4000 К, матовый (опаловый) рассеиватель [61]. Светильник с матовым рассеивателем светит по косинусному закону – тип кривой силы света Д [60]. В таблице коэффициентов использования косинусная кривая представлена двумя вариантами, Д-1 и Д-2. Принят Д-1, у которого коэффициент использования меньше (при i = 1,25 – 58 % против 68 %). Коэффициент использования светового потока зависит от типа кривой силы света, индекса помещения и коэффициентов отражения; для светильников с типовыми кривыми он приведён в таблице 5.13 [60, 82].</w:t>
      </w:r>
    </w:p>
    <w:p>
      <w:pPr>
        <w:pStyle w:val="TableCaption"/>
        <w:ind w:firstLine="0"/>
      </w:pPr>
      <w:r>
        <w:t>Таблица 5.13 – Коэффициент использования светового потока светильников с типовыми кривыми силы света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1870"/>
        <w:gridCol w:w="1247"/>
        <w:gridCol w:w="1247"/>
        <w:gridCol w:w="1247"/>
        <w:gridCol w:w="1247"/>
        <w:gridCol w:w="1247"/>
        <w:gridCol w:w="1247"/>
      </w:tblGrid>
      <w:tr>
        <w:trPr>
          <w:cantSplit/>
          <w:tblHeader w:val="true"/>
        </w:trPr>
        <w:tc>
          <w:tcPr>
            <w:tcW w:type="dxa" w:w="1871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Тип КСС</w:t>
            </w:r>
          </w:p>
        </w:tc>
        <w:tc>
          <w:tcPr>
            <w:tcW w:type="dxa" w:w="7482"/>
            <w:gridSpan w:val="6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Коэффициент использования, %, при ρп = 0,7, ρс = 0,5, ρр = 0,3 и индексе помещения i, равном</w:t>
            </w:r>
          </w:p>
        </w:tc>
      </w:tr>
      <w:tr>
        <w:trPr>
          <w:cantSplit/>
          <w:tblHeader w:val="true"/>
        </w:trPr>
        <w:tc>
          <w:tcPr>
            <w:tcW w:type="dxa" w:w="1871"/>
            <w:vMerge/>
            <w:vAlign w:val="center"/>
          </w:tcPr>
          <w:p>
            <w:pPr>
              <w:keepNext/>
            </w:pP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0,6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0,8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1,25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М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61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73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83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95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Д-1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36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50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58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72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81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90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Д-2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44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52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68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84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93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103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Г-1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49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60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75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90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101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106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Г-2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58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68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82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96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102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109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Г-3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64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74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85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95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105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Г-4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70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77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84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90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94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99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К-1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74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83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90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96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106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К-2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75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84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95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104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108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115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К-3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76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85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96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106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110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116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Л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49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59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71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83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91</w:t>
            </w:r>
          </w:p>
        </w:tc>
      </w:tr>
    </w:tbl>
    <w:p>
      <w:pPr>
        <w:spacing w:line="240" w:lineRule="auto"/>
      </w:pPr>
    </w:p>
    <w:p>
      <w:pPr>
        <w:keepNext/>
      </w:pPr>
      <w:r>
        <w:t>Для i = 1,50 коэффициент использования находится линейной интерполяцией между значениями при i = 1,25 (58 %) и i = 2 (72 %): η = 0,63. Необходимый суммарный световой поток: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Σ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н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·</m:t>
                  </m:r>
                  <m:r>
                    <w:rPr>
                      <w:rFonts w:ascii="Cambria Math" w:hAnsi="Cambria Math"/>
                    </w:rPr>
                    <m:t xml:space="preserve"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·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з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·</m:t>
                  </m:r>
                  <m:r>
                    <w:rPr>
                      <w:rFonts w:ascii="Cambria Math" w:hAnsi="Cambria Math"/>
                    </w:rPr>
                    <m:t xml:space="preserve">z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η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300·51,1·1,5·1,1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0,63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40 150 лм,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(5.8)</w:t>
            </w:r>
          </w:p>
        </w:tc>
      </w:tr>
    </w:tbl>
    <w:p>
      <w:pPr>
        <w:ind w:firstLine="0"/>
      </w:pPr>
      <w:r>
        <w:t xml:space="preserve">где </w:t>
      </w:r>
      <m:oMath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</m:t>
            </m:r>
          </m:sub>
        </m:sSub>
      </m:oMath>
      <w:r>
        <w:t xml:space="preserve"> – нормируемая освещённость, 300 лк; </w:t>
      </w:r>
      <m:oMath>
        <m:r>
          <w:rPr>
            <w:rFonts w:ascii="Cambria Math" w:hAnsi="Cambria Math"/>
          </w:rPr>
          <m:t xml:space="preserve">S</m:t>
        </m:r>
      </m:oMath>
      <w:r>
        <w:t xml:space="preserve"> – площадь помещения, 51,1 м²; </w:t>
      </w:r>
      <m:oMath>
        <m:r>
          <w:rPr>
            <w:rFonts w:ascii="Cambria Math" w:hAnsi="Cambria Math"/>
          </w:rPr>
          <m:t xml:space="preserve">η</m:t>
        </m:r>
      </m:oMath>
      <w:r>
        <w:t xml:space="preserve"> – коэффициент использования.</w:t>
      </w:r>
    </w:p>
    <w:p>
      <w:pPr>
        <w:keepNext/>
      </w:pPr>
      <w:r>
        <w:t>Необходимое число светильников: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Σ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л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40 150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4 800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8,36,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(5.9)</w:t>
            </w:r>
          </w:p>
        </w:tc>
      </w:tr>
    </w:tbl>
    <w:p>
      <w:pPr>
        <w:ind w:firstLine="0"/>
      </w:pPr>
      <w:r>
        <w:t xml:space="preserve">где </w:t>
      </w:r>
      <m:oMath>
        <m:sSub>
          <m:e>
            <m:r>
              <w:rPr>
                <w:rFonts w:ascii="Cambria Math" w:hAnsi="Cambria Math"/>
              </w:rPr>
              <m:t xml:space="preserve">Ф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л</m:t>
            </m:r>
          </m:sub>
        </m:sSub>
      </m:oMath>
      <w:r>
        <w:t xml:space="preserve"> – световой поток одного светильника, 4 800 лм.</w:t>
      </w:r>
    </w:p>
    <w:p>
      <w:pPr>
        <w:keepNext/>
      </w:pPr>
      <w:r>
        <w:t>Принимаются 8 светильников, по 4 в 2 рядах. Требуемый поток одного светильника при этом числе – ФΣ / N = 40 150 / 8 = 5 019 лм. Отклонение номинального потока выбранного светильника от требуемого:</w:t>
      </w:r>
    </w:p>
    <w:p>
      <w:pPr>
        <w:pStyle w:val="Formula"/>
        <w:jc w:val="center"/>
      </w:pPr>
      <m:oMath>
        <m:r>
          <m:rPr>
            <m:sty m:val="p"/>
          </m:rPr>
          <w:rPr>
            <w:rFonts w:ascii="Cambria Math" w:hAnsi="Cambria Math"/>
          </w:rPr>
          <m:t xml:space="preserve">ΔФ = 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Ф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л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 - </m:t>
            </m:r>
            <m:r>
              <w:rPr>
                <w:rFonts w:ascii="Cambria Math" w:hAnsi="Cambria Math"/>
              </w:rPr>
              <m:t xml:space="preserve">Ф</m:t>
            </m:r>
          </m:num>
          <m:den>
            <m:r>
              <w:rPr>
                <w:rFonts w:ascii="Cambria Math" w:hAnsi="Cambria Math"/>
              </w:rPr>
              <m:t xml:space="preserve">Ф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·100 = 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4 800 - 5 019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5 019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·100 = -4,4 %.</m:t>
        </m:r>
      </m:oMath>
    </w:p>
    <w:p>
      <w:r>
        <w:t>Методические указания допускают отклонение потока от требуемого в пределах −10…+20 % [60], поэтому принятое число светильников обеспечивает нормируемую освещённость.</w:t>
      </w:r>
    </w:p>
    <w:p>
      <w:r>
        <w:t>Принятое число совпадает с числом установленных светильников. Они расположены в 2 ряда по 4 вдоль длинной стороны помещения (рисунок 5.4). Расстояние между рядами L = 2,50 м, от крайних рядов до стен l = 1,25 м; в ряду светильники стоят через 2,33 м.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537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3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5.4 – Размещение светильников общего освещения (размеры в м)</w:t>
      </w:r>
    </w:p>
    <w:p>
      <w:pPr>
        <w:keepNext/>
      </w:pPr>
      <w:r>
        <w:t>Освещённость, создаваемая установленными светильниками на рабочей поверхности: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r>
                <w:rPr>
                  <w:rFonts w:ascii="Cambria Math" w:hAnsi="Cambria Math"/>
                </w:rPr>
                <m:t xml:space="preserve"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·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·</m:t>
                  </m:r>
                  <m:r>
                    <w:rPr>
                      <w:rFonts w:ascii="Cambria Math" w:hAnsi="Cambria Math"/>
                    </w:rPr>
                    <m:t xml:space="preserve">η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·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з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·</m:t>
                  </m:r>
                  <m:r>
                    <w:rPr>
                      <w:rFonts w:ascii="Cambria Math" w:hAnsi="Cambria Math"/>
                    </w:rPr>
                    <m:t xml:space="preserve">z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8·4 800·0,63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51,1·1,5·1,1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287 лк.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(5.10)</w:t>
            </w:r>
          </w:p>
        </w:tc>
      </w:tr>
    </w:tbl>
    <w:p>
      <w:pPr>
        <w:keepNext/>
      </w:pPr>
      <w:r>
        <w:t>Мощность осветительной установки:</w:t>
      </w:r>
    </w:p>
    <w:p>
      <w:pPr>
        <w:pStyle w:val="Formula"/>
        <w:jc w:val="center"/>
      </w:pPr>
      <m:oMath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оу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N</m:t>
        </m:r>
        <m:r>
          <m:rPr>
            <m:sty m:val="p"/>
          </m:rPr>
          <w:rPr>
            <w:rFonts w:ascii="Cambria Math" w:hAnsi="Cambria Math"/>
          </w:rPr>
          <m:t xml:space="preserve">·</m:t>
        </m:r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л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8·48 = 384 Вт,</m:t>
        </m:r>
      </m:oMath>
    </w:p>
    <w:p>
      <w:r>
        <w:t>удельная мощность – 7,5 Вт/м². Освещённость 287 лк – наименьшая, к концу срока службы светильников: коэффициент запаса учитывает снижение их потока и загрязнение; новые панели дают около 430 лк. Отклонение расчётной освещённости от нормы 300 лк (−4,3 %) – в пределах допуска −10…+20 % [60], пульсация светодиодных панелей менее 1 % при норме не более 5 %, матовый рассеиватель ограничивает блёскость. Установленное общее освещение соответствует нормам, условия труда по световой среде – допустимые (класс 2). При замене панелей выбираются светильники с индексом цветопередачи не менее 85, который установлен для общего искусственного освещения [57].</w:t>
      </w:r>
    </w:p>
    <w:p>
      <w:pPr>
        <w:pStyle w:val="Heading2"/>
      </w:pPr>
      <w:r>
        <w:t>5.7 Выводы</w:t>
      </w:r>
    </w:p>
    <w:p>
      <w:r>
        <w:t>В разделе «Охрана труда и окружающей среды» проведена оценка условий труда специалиста, выполняющего исследование эффективности технологии Wi-Fi HaLow на ПЭВМ в офисном кабинете, по факторам микроклимата, световой среды, шума, электромагнитного излучения стенда, тяжести и напряжённости трудового процесса. Выявлено:</w:t>
      </w:r>
    </w:p>
    <w:p>
      <w:r>
        <w:t xml:space="preserve">– </w:t>
      </w:r>
      <w:r>
        <w:t>показатели микроклимата в оба периода года находятся в пределах оптимальных значений для категории работ Iа;</w:t>
      </w:r>
    </w:p>
    <w:p>
      <w:r>
        <w:t xml:space="preserve">– </w:t>
      </w:r>
      <w:r>
        <w:t>освещённость рабочих мест к концу срока службы светильников – 287 лк при норме 300 лк (−4,3 %, в пределах допуска −10…+20 %); новые светильники дают около 430 лк;</w:t>
      </w:r>
    </w:p>
    <w:p>
      <w:r>
        <w:t xml:space="preserve">– </w:t>
      </w:r>
      <w:r>
        <w:t>эквивалентный уровень шума 46,7 дБА не превышает норматива 80 дБА и укладывается в более строгие 50 дБА для офисов; тяжесть и напряжённость трудового процесса – класс 2;</w:t>
      </w:r>
    </w:p>
    <w:p>
      <w:r>
        <w:t xml:space="preserve">– </w:t>
      </w:r>
      <w:r>
        <w:t>энергетическая экспозиция от радиомодулей стенда за смену – 51,2 (мкВт/см²)·ч при норме 200 (мкВт/см²)·ч, даже если обе платы передают с наибольшей мощностью всю смену на расстоянии 0,5 м от оператора;</w:t>
      </w:r>
    </w:p>
    <w:p>
      <w:r>
        <w:t xml:space="preserve">– </w:t>
      </w:r>
      <w:r>
        <w:t>итоговый класс условий труда – 2 (допустимый).</w:t>
      </w:r>
    </w:p>
    <w:p>
      <w:r>
        <w:t>Было оценено рабочее место по эргономическим параметрам: стол, кресло, видеотерминал (монитор) и клавиатура соответствуют нормам, площадь на одно рабочее место составляет 4,65 м² при норме 4,5 м². Помещение отнесено к помещениям без повышенной опасности поражения электрическим током; здание по функциональной пожарной опасности относится к классу Ф4.3. От поражения током защищают подключение ПЭВМ к розеткам с заземляющим контактом, автоматические выключатели и УЗО с током срабатывания 30 мА; электризацию ограничивают оптимальная влажность воздуха и заземление корпусов. Пожарную безопасность обеспечивают огнетушитель у выхода, план эвакуации и противопожарный инструктаж, свободные пути эвакуации и отключение оборудования после работы.</w:t>
      </w:r>
    </w:p>
    <w:p>
      <w:r>
        <w:t>По индивидуальному заданию было предложено спроектировать и рассчитать общее искусственное освещение кабинета методом коэффициента использования светового потока. В результате расчёта были выбраны встраиваемые светодиодные панели мощностью 48 Вт со световым потоком 4 800 лм в количестве 8 шт.; они обеспечивают к концу срока службы освещённость 287 лк при норме 300 лк (−4,3 %, в пределах допуска −10…+20 %; новые – около 430 лк) и пульсацию менее 1 % при норме не более 5 %. Принятое число панелей совпадает с установленным в кабинете.</w:t>
      </w:r>
    </w:p>
    <w:sectPr w:rsidR="00FC693F" w:rsidRPr="0006063C" w:rsidSect="00034616">
      <w:footerReference w:type="default" r:id="rId9"/>
      <w:headerReference w:type="default" r:id="rId14"/>
      <w:pgSz w:w="11906" w:h="16838"/>
      <w:pgMar w:top="1134" w:right="850" w:bottom="1417" w:left="1701" w:header="283" w:footer="283" w:gutter="0"/>
      <w:cols w:space="720"/>
      <w:docGrid w:linePitch="360"/>
      <w:pgNumType w:start="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170" w:lineRule="exact"/>
      <w:ind w:firstLine="0"/>
      <w:rPr>
        <w:sz w:val="2"/>
      </w:rPr>
    </w:pPr>
  </w:p>
  <w:tbl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  <w:tblInd w:w="-567" w:type="dxa"/>
    </w:tblPr>
    <w:tblGrid>
      <w:gridCol w:w="397"/>
      <w:gridCol w:w="567"/>
      <w:gridCol w:w="1304"/>
      <w:gridCol w:w="851"/>
      <w:gridCol w:w="567"/>
      <w:gridCol w:w="6235"/>
      <w:gridCol w:w="567"/>
    </w:tblGrid>
    <w:tr>
      <w:tblPrEx>
        <w:tblCellMar>
          <w:top w:w="0" w:type="dxa"/>
          <w:bottom w:w="0" w:type="dxa"/>
        </w:tblCellMar>
      </w:tblPrEx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567" w:type="dxa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1304" w:type="dxa"/>
          <w:tcBorders>
            <w:top w:val="single" w:sz="18" w:space="0" w:color="auto"/>
            <w:left w:val="nil"/>
            <w:right w:val="nil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567" w:type="dxa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6235" w:type="dxa"/>
          <w:vMerge w:val="restart"/>
          <w:tcBorders>
            <w:top w:val="single" w:sz="18" w:space="0" w:color="auto"/>
            <w:left w:val="nil"/>
            <w:bottom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i w:val="0"/>
              <w:lang w:val="ru-RU"/>
            </w:rPr>
            <w:jc w:val="center"/>
          </w:pPr>
          <w:r>
            <w:rPr>
              <w:rFonts w:ascii="Arial" w:hAnsi="Arial" w:cs="Arial" w:eastAsia="Arial"/>
              <w:i/>
              <w:sz w:val="32"/>
              <w:szCs w:val="32"/>
            </w:rPr>
            <w:t xml:space="preserve">МАИР.460327.001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18" w:space="0" w:color="auto"/>
            <w:right w:val="nil"/>
          </w:tcBorders>
          <w:vAlign w:val="center"/>
        </w:tcPr>
        <w:p>
          <w:pPr>
            <w:spacing w:before="0" w:after="0" w:line="240" w:lineRule="auto"/>
            <w:ind w:firstLine="0" w:left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Arial" w:hAnsi="Arial" w:cs="Arial" w:eastAsia="Arial"/>
              <w:i/>
              <w:sz w:val="17"/>
            </w:rPr>
            <w:t>Лист</w:t>
          </w:r>
        </w:p>
      </w:tc>
    </w:tr>
    <w:tr>
      <w:tblPrEx>
        <w:tblCellMar>
          <w:top w:w="0" w:type="dxa"/>
          <w:bottom w:w="0" w:type="dxa"/>
        </w:tblCellMar>
      </w:tblPrEx>
      <w:trPr>
        <w:cantSplit/>
        <w:trHeight w:hRule="exact" w:val="284"/>
      </w:trPr>
      <w:tc>
        <w:tcPr>
          <w:tcW w:w="397" w:type="dxa"/>
          <w:tcBorders>
            <w:left w:val="nil"/>
            <w:bottom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1304" w:type="dxa"/>
          <w:tcBorders>
            <w:left w:val="nil"/>
            <w:bottom w:val="nil"/>
            <w:right w:val="nil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851" w:type="dxa"/>
          <w:tcBorders>
            <w:left w:val="single" w:sz="18" w:space="0" w:color="auto"/>
            <w:bottom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6235" w:type="dxa"/>
          <w:vMerge/>
          <w:tcBorders>
            <w:top w:val="single" w:sz="18" w:space="0" w:color="auto"/>
            <w:left w:val="nil"/>
            <w:bottom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567" w:type="dxa"/>
          <w:vMerge w:val="restart"/>
          <w:tcBorders>
            <w:top w:val="single" w:sz="18" w:space="0" w:color="auto"/>
            <w:left w:val="nil"/>
            <w:bottom w:val="single" w:sz="18" w:space="0" w:color="auto"/>
            <w:right w:val="nil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  <w:jc w:val="center"/>
          </w:pPr>
          <w:r>
            <w:rPr>
              <w:rFonts w:ascii="Arial" w:hAnsi="Arial" w:cs="Arial" w:eastAsia="Arial"/>
              <w:i/>
              <w:sz w:val="22"/>
              <w:szCs w:val="22"/>
            </w:rPr>
            <w:fldChar w:fldCharType="begin"/>
          </w:r>
          <w:r>
            <w:rPr>
              <w:rFonts w:ascii="Arial" w:hAnsi="Arial" w:cs="Arial" w:eastAsia="Arial"/>
              <w:i/>
              <w:sz w:val="22"/>
              <w:szCs w:val="22"/>
            </w:rPr>
            <w:instrText xml:space="preserve"> PAGE </w:instrText>
          </w:r>
          <w:r>
            <w:rPr>
              <w:rFonts w:ascii="Arial" w:hAnsi="Arial" w:cs="Arial" w:eastAsia="Arial"/>
              <w:i/>
              <w:sz w:val="22"/>
              <w:szCs w:val="22"/>
            </w:rPr>
            <w:fldChar w:fldCharType="end"/>
          </w:r>
        </w:p>
      </w:tc>
    </w:tr>
    <w:tr>
      <w:tblPrEx>
        <w:tblCellMar>
          <w:top w:w="0" w:type="dxa"/>
          <w:bottom w:w="0" w:type="dxa"/>
        </w:tblCellMar>
      </w:tblPrEx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Arial" w:hAnsi="Arial" w:cs="Arial" w:eastAsia="Arial"/>
              <w:i/>
              <w:sz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Arial" w:hAnsi="Arial" w:cs="Arial" w:eastAsia="Arial"/>
              <w:i/>
              <w:sz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center"/>
        </w:tcPr>
        <w:p>
          <w:pPr>
            <w:spacing w:before="0" w:after="0" w:line="240" w:lineRule="auto"/>
            <w:ind w:firstLine="0" w:left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Arial" w:hAnsi="Arial" w:cs="Arial" w:eastAsia="Arial"/>
              <w:i/>
              <w:sz w:val="17"/>
            </w:rPr>
            <w:t>№ докум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Arial" w:hAnsi="Arial" w:cs="Arial" w:eastAsia="Arial"/>
              <w:i/>
              <w:sz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Arial" w:hAnsi="Arial" w:cs="Arial" w:eastAsia="Arial"/>
              <w:i/>
              <w:sz w:val="17"/>
            </w:rPr>
            <w:t>Дата</w:t>
          </w:r>
        </w:p>
      </w:tc>
      <w:tc>
        <w:tcPr>
          <w:tcW w:w="6235" w:type="dxa"/>
          <w:vMerge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567" w:type="dxa"/>
          <w:vMerge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</w:tr>
  </w:tbl>
  <w:p>
    <w:pPr>
      <w:spacing w:before="0" w:after="0" w:line="20" w:lineRule="exact"/>
      <w:ind w:firstLine="0"/>
      <w:rPr>
        <w:sz w:val="2"/>
      </w:rP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pict>
        <v:rect id="vkr_frame" o:allowincell="f" filled="f" strokeweight="1.5pt" style="position:absolute;margin-left:56.69pt;margin-top:14.17pt;width:524.41pt;height:813.54pt;z-index:-251657216;mso-position-horizontal-relative:page;mso-position-vertical-relative:page"/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basedOn w:val="Normal"/>
    <w:pPr>
      <w:spacing w:line="240" w:lineRule="auto"/>
      <w:ind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TableCaption">
    <w:name w:val="TableCaption"/>
    <w:basedOn w:val="Normal"/>
    <w:pPr>
      <w:keepNext/>
      <w:spacing w:before="120"/>
      <w:ind w:firstLine="0"/>
      <w:jc w:val="left"/>
    </w:pPr>
  </w:style>
  <w:style w:type="paragraph" w:customStyle="1" w:styleId="Formula">
    <w:name w:val="Formula"/>
    <w:basedOn w:val="Normal"/>
    <w:pPr>
      <w:spacing w:before="120" w:after="120"/>
      <w:ind w:firstLine="0"/>
      <w:jc w:val="lef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