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значений показателей микроклимата и освещённости рабочего места специалиста. Определение класса условий труда специалиста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форму: у входа расположена прихожая со шкафами, нижняя стена имеет уступ, в котором стоит шредер. Окна — оконный блок из трёх створок в левой стене — выходят во двор; под окнами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Размеры помещения определены по расстановке мебели: все столы одинаковые, размером 1400 × 700 мм, кресла офисные с регулируемой высотой сиденья. Пол покрыт ламинатом, потолок подвесной типа «Армстронг», стены окрашены в светлые тона. Помещение оборудовано кондиционером сплит-системы и центральным водяным отоплением, электрические розетки — с заземляющим контактом.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[48]. Фактическая площадь на одно рабочее место — 4,65 м², требование выполняется, но с малым запасом: размещать в кабинете дополнительные рабочие места нельзя.</w:t>
      </w:r>
    </w:p>
    <w:p>
      <w:pPr>
        <w:pStyle w:val="Heading2"/>
      </w:pPr>
      <w:r>
        <w:t>5.2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512 ГБ,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2"/>
      </w:pPr>
      <w:r>
        <w:t>5.3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Работы выполняются одновременно всеми 11 сотрудниками кабинета.</w:t>
      </w:r>
    </w:p>
    <w:p>
      <w:pPr>
        <w:pStyle w:val="Heading2"/>
      </w:pPr>
      <w:r>
        <w:t>5.4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[49].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[50]: 1 — оптимальные, 2 — допустимые, 3.1–3.4 — вредные, 4 — опасные.</w:t>
      </w:r>
    </w:p>
    <w:p>
      <w:pPr>
        <w:pStyle w:val="Heading3"/>
      </w:pPr>
      <w:r>
        <w:t>5.4.1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[51],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5.6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5.7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5.4.2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и допустимые значения показателей для этой категории установлены СанПиН 1.2.3685-21 [52, 53].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Вне оптимальных значений, но в допустимых пределах находится показатель: холодный период — влажность. Пониженная влажность характерна для отопительного сезона, когда радиаторы и кондиционер в режиме обогрева сушат воздух. Условия по микроклимату допустимые (класс 2). Для приведения влажности к оптимальной рекомендуется установить увлажнитель воздуха.</w:t>
      </w:r>
    </w:p>
    <w:p>
      <w:pPr>
        <w:keepNext/>
      </w:pPr>
      <w:r>
        <w:t>Кондиционер сплит-системы не подаёт наружный воздух, поэтому воздухообмен обеспечивается проветриванием через окна. Необходимый расход наружного воздуха [54]: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работающих, 11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11·40 = 440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2,9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Для обмена 440 м³/ч, то есть почти трёх объёмов помещения в час, проветривания недостаточно, особенно в холодный период. Рекомендуется проветривать помещение в каждом перерыве, а при реконструкции установить приточную вентиляцию с подогревом воздуха.</w:t>
      </w:r>
    </w:p>
    <w:p>
      <w:pPr>
        <w:pStyle w:val="Heading3"/>
      </w:pPr>
      <w:r>
        <w:t>5.4.3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[55, 56]. Для рабочих мест с ПЭВМ дополнительно ограничены коэффициент пульсации освещённости — не более 5 % — и освещённость экрана — не более 200 лк [52].</w:t>
      </w:r>
    </w:p>
    <w:p>
      <w:r>
        <w:t>Общее освещение создают 3 встраиваемых растровых светильника 600 × 600 мм с зеркальной решёткой и четырьмя люминесцентными лампами Т8 мощностью 18 Вт в каждом. Расчёт в разделе 5.8 показывает, что они создают на рабочей поверхности 97 лк, то есть втрое меньше нормы. Естественное освещение — одностороннее боковое через окна в левой стене — не обеспечивает рабочие места у правой стены и отсутствует в тёмное время суток. Поэтому условия труда по световой среде относятся к классу 3.1 (вредный) [49]. Мероприятие — замена светильников общего освещения (раздел 5.8).</w:t>
      </w:r>
    </w:p>
    <w:p>
      <w:pPr>
        <w:pStyle w:val="Heading3"/>
      </w:pPr>
      <w:r>
        <w:t>5.4.4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[52]. Источники шума в кабинете — 11 системных блоков ПЭВМ,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[57, 58]: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5.5.</w:t>
      </w:r>
    </w:p>
    <w:p>
      <w:pPr>
        <w:pStyle w:val="TableCaption"/>
        <w:ind w:firstLine="0"/>
      </w:pPr>
      <w:r>
        <w:t>Таблица 5.5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40,4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48,9</w:t>
            </w:r>
          </w:p>
        </w:tc>
      </w:tr>
    </w:tbl>
    <w:p>
      <w:pPr>
        <w:spacing w:line="240" w:lineRule="auto"/>
      </w:pPr>
    </w:p>
    <w:p>
      <w:r>
        <w:t>Эквивалентный уровень звука 48,9 дБА не превышает нормы 50 дБА; условия труда по шуму допустимые (класс 2). Основной вклад даёт шредер, поэтому его целесообразно использовать в перерывах или вынести в коридор; шумные обсуждения переносятся в переговорную.</w:t>
      </w:r>
    </w:p>
    <w:p>
      <w:pPr>
        <w:pStyle w:val="Heading3"/>
      </w:pPr>
      <w:r>
        <w:t>5.4.5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[59]. Оценка тяжести приведена в таблице 5.6;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5.6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5.7.</w:t>
      </w:r>
    </w:p>
    <w:p>
      <w:pPr>
        <w:pStyle w:val="TableCaption"/>
        <w:ind w:firstLine="0"/>
      </w:pPr>
      <w:r>
        <w:t>Таблица 5.7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признаётся допустимой (класс 2), если от 1 до 5 показателей отнесены к классам 3.1 и 3.2, а остальные — к классам 1 и 2 [59]. Здесь к вредному классу отнесены 3 показателя: творческое содержание работы, оценка измеренных значений и продолжительность работы с экраном. Напряжённость соответствует классу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5.4.6 Класс условий труда</w:t>
      </w:r>
    </w:p>
    <w:p>
      <w:r>
        <w:t>Итоговый класс условий труда равен наивысшему из классов по отдельным факторам [49]. Результаты приведены в таблице 5.8.</w:t>
      </w:r>
    </w:p>
    <w:p>
      <w:pPr>
        <w:pStyle w:val="TableCaption"/>
        <w:ind w:firstLine="0"/>
      </w:pPr>
      <w:r>
        <w:t>Таблица 5.8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до / после мероприятий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30 %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20,0–25,0 °C / 15–75 %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97 лк;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317 лк после замены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3.1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48,9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 / 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3.1 / 2</w:t>
            </w:r>
          </w:p>
        </w:tc>
      </w:tr>
    </w:tbl>
    <w:p>
      <w:pPr>
        <w:spacing w:line="240" w:lineRule="auto"/>
      </w:pPr>
    </w:p>
    <w:p>
      <w:r>
        <w:t>До мероприятий условия труда относятся к классу 3.1 (вредный) из-за недостаточной освещённости. После замены светильников общего освещения итоговый класс — 2 (допустимый).</w:t>
      </w:r>
    </w:p>
    <w:p>
      <w:pPr>
        <w:pStyle w:val="Heading2"/>
      </w:pPr>
      <w:r>
        <w:t>5.5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[60, 61].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[60],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5.9 [61, 62, 63].</w:t>
      </w:r>
    </w:p>
    <w:p>
      <w:pPr>
        <w:pStyle w:val="TableCaption"/>
        <w:ind w:firstLine="0"/>
      </w:pPr>
      <w:r>
        <w:t>Таблица 5.9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628"/>
        <w:gridCol w:w="2551"/>
        <w:gridCol w:w="1474"/>
        <w:gridCol w:w="1700"/>
      </w:tblGrid>
      <w:tr>
        <w:trPr>
          <w:cantSplit/>
          <w:tblHeader w:val="true"/>
        </w:trPr>
        <w:tc>
          <w:tcPr>
            <w:tcW w:type="dxa" w:w="362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 / 500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1,5–6,0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0,55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Ход и усилие срабатывания клавиш приняты типовыми для мембранных клавиатур: производитель их не указывает.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5.6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[64]. Кабинет сухой (относительная влажность не более 60 %), с нормальной температурой,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 [65]. Для защиты от поражения током [66, 67]: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токоведущие части изолированы и недоступны для прикосновения, кабели проложены в кабель-каналах, повреждённые удлинители и вилки не используются;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кресел, ламинат и сухой воздух в отопительный сезон способствуют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[52]. Для снижения электризации поддерживается относительная влажность воздуха не ниже 40 % (увлажнитель), ламинат обрабатывается антистатическими средствами, корпуса ПЭВМ заземлены.</w:t>
      </w:r>
    </w:p>
    <w:p>
      <w:pPr>
        <w:pStyle w:val="Heading2"/>
      </w:pPr>
      <w:r>
        <w:t>5.7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и удлинителей. Горючие материалы — мебель из ЛДСП, кресла, пластмассовые корпуса оборудования и бумага; горючие газы, легковоспламеняющиеся и горючие жидкости отсутствуют, поэтому помещение не относится к категориям А и Б. Категория в группе В1–В4 определяется по удельной временной пожарной нагрузке [68]: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н,i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 xml:space="preserve"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Q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масса i-го горючего материала, кг;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н,i</m:t>
            </m:r>
          </m:sub>
        </m:sSub>
      </m:oMath>
      <w:r>
        <w:t xml:space="preserve"> – его низшая теплота сгорания, МДж/кг;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размещения пожарной нагрузки, м².</w:t>
      </w:r>
    </w:p>
    <w:p>
      <w:r>
        <w:t>Расчёт пожарной нагрузки приведён в таблице 5.10.</w:t>
      </w:r>
    </w:p>
    <w:p>
      <w:pPr>
        <w:pStyle w:val="TableCaption"/>
        <w:ind w:firstLine="0"/>
      </w:pPr>
      <w:r>
        <w:t>Таблица 5.10 – Пожарная нагрузка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5"/>
        <w:gridCol w:w="1247"/>
        <w:gridCol w:w="1870"/>
        <w:gridCol w:w="1700"/>
      </w:tblGrid>
      <w:tr>
        <w:trPr>
          <w:cantSplit/>
          <w:tblHeader w:val="true"/>
        </w:trPr>
        <w:tc>
          <w:tcPr>
            <w:tcW w:type="dxa" w:w="45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Материал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Масса, кг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Низшая теплота сгорания, МДж/кг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Пожарная нагрузка, МДж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Мебель из ЛДСП и древесины (11 столов, 2 шкафа, тумба)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13,8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6 003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Офисные кресла (пенополиуретан, ткань, пластмасса)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24,3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2 138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Пластмассовые корпуса ПЭВМ, мониторов, клавиатур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33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39,0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1 287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(документы, папки)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Пожарная нагрузка помещения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9 830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g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9 830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192 МДж/м².</m:t>
        </m:r>
      </m:oMath>
    </w:p>
    <w:p>
      <w:r>
        <w:t>Удельная пожарная нагрузка 192 МДж/м² находится в пределах 181–1400 МДж/м², помещение относится к категории В3 (пожароопасная) [68]. Здание административного назначения относится к классу функциональной пожарной опасности Ф4.3 [69].</w:t>
      </w:r>
    </w:p>
    <w:p>
      <w:r>
        <w:t>Мероприятия по пожарной безопасности [69, 70]:</w:t>
      </w:r>
    </w:p>
    <w:p>
      <w:r>
        <w:t xml:space="preserve">– </w:t>
      </w:r>
      <w:r>
        <w:t>в верхнем правом углу прихожей, у выхода, установлен огнетушитель; для тушения электрооборудования под напряжением до 1000 В пригодны углекислотные ОУ-3, ОУ-5 и порошковые ОП-4 огнетушители, углекислотные не портят электронику [71];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включать несколько мощных потребителей в один удлинитель,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r>
        <w:t>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5.8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[55, 56, 72]. Нормируемая освещённость — 300 лк на горизонтальной рабочей поверхности на высоте 0,8 м (раздел 5.4.3).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10,0·5,0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2,2·(10,0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основной части помещения, м.</w:t>
      </w:r>
    </w:p>
    <w:p>
      <w:r>
        <w:t>Коэффициенты отражения потолка, стен и пола (ламинат) — 70, 50 и 30 %. Коэффициент запаса для помещения с нормальными условиями среды Kз = 1,4, коэффициент неравномерности освещённости z = 1,1 [55, 56].</w:t>
      </w:r>
    </w:p>
    <w:p>
      <w:pPr>
        <w:keepNext/>
      </w:pPr>
      <w:r>
        <w:t>Проверка существующей установки. Освещённость, создаваемая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лампы (светильника), лм;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м².</w:t>
      </w:r>
    </w:p>
    <w:p>
      <w:r>
        <w:t>В 3 светильниках установлено 12 люминесцентных ламп Т8 по 18 Вт со световым потоком 1 350 лм. Для растровых светильников с зеркальной решёткой при i ≈ 1,5 коэффициент использования η = 0,47 [72]: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сущ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12·1 350·0,47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51,1·1,4·1,1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97 лк.</m:t>
        </m:r>
      </m:oMath>
    </w:p>
    <w:p>
      <w:r>
        <w:t>Существующее освещение (97 лк) втрое ниже нормы 300 лк. Кроме того, люминесцентные лампы с электромагнитными пускорегулирующими аппаратами, которыми обычно комплектуются такие светильники, дают пульсацию освещённости 25–35 % при норме 5 %. Поэтому светильники заменяются встраиваемыми светодиодными панелями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рассеиватель.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300·51,1·1,4·1,1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36 335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для светодиодной панели, 0,65 [72].</w:t>
      </w:r>
    </w:p>
    <w:p>
      <w:pPr>
        <w:keepNext/>
      </w:pPr>
      <w:r>
        <w:t>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36 335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7,57 ≈ 8.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r>
        <w:t>Принимается 8 светильников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 Отношение L/h = 1,14 не превышает наивыгоднейшего значения 1,4 для светильников с косинусным светораспределением, то есть освещённость между светильниками не проседает.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новой установкой, по формуле (5.7):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8·4 800·0,65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51,1·1,4·1,1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317 лк.</m:t>
        </m:r>
      </m:oMath>
    </w:p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Расчётная освещённость 317 лк не ниже нормы 300 лк, пульсация светодиодных панелей менее 5 %, матовый рассеиватель ограничивает блёскость. После замены условия труда по световой среде становятся допустимыми (класс 2). Установленная мощность увеличивается с 216 до 360 Вт, а освещённость — в 3,3 раза.</w:t>
      </w:r>
    </w:p>
    <w:p>
      <w:pPr>
        <w:pStyle w:val="Heading2"/>
      </w:pPr>
      <w:r>
        <w:t>5.9 Охрана окружающей среды</w:t>
      </w:r>
    </w:p>
    <w:p>
      <w:r>
        <w:t>Работа в кабинете не сопровождается выбросами загрязняющих веществ в атмосферу и сбросами в воду [73]. Воздействие на окружающую среду связано с потреблением электроэнергии и образованием отходов.</w:t>
      </w:r>
    </w:p>
    <w:p>
      <w:r>
        <w:t xml:space="preserve">– </w:t>
      </w:r>
      <w:r>
        <w:t>Снимаемые при замене светильников 12 люминесцентных ламп содержат ртуть и относятся к отходам I класса опасности. Их запрещается выбрасывать вместе с бытовыми отходами: лампы собираются в целой упаковке и передаются специализированной организации на обезвреживание [74].</w:t>
      </w:r>
    </w:p>
    <w:p>
      <w:r>
        <w:t xml:space="preserve">– </w:t>
      </w:r>
      <w:r>
        <w:t>Вышедшие из строя ПЭВМ, мониторы и аккумуляторы содержат полезные компоненты, захоронение которых запрещено, и передаются на утилизацию [74, 75].</w:t>
      </w:r>
    </w:p>
    <w:p>
      <w:r>
        <w:t xml:space="preserve">– </w:t>
      </w:r>
      <w:r>
        <w:t>Бумажные отходы после шредера сдаются на переработку как макулатура.</w:t>
      </w:r>
    </w:p>
    <w:p>
      <w:r>
        <w:t xml:space="preserve">– </w:t>
      </w:r>
      <w:r>
        <w:t>Светодиодное освещение не содержит ртути; ПЭВМ в перерывах переводятся в режим энергосбережения, освещение и оборудование выключаются по окончании работы.</w:t>
      </w:r>
    </w:p>
    <w:p>
      <w:pPr>
        <w:pStyle w:val="Heading2"/>
      </w:pPr>
      <w:r>
        <w:t>5.10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находятся в допустимых пределах для категории работ Iа; влажность в холодный период ниже оптимальной — рекомендован увлажнитель воздуха и регулярное проветривание;</w:t>
      </w:r>
    </w:p>
    <w:p>
      <w:r>
        <w:t xml:space="preserve">– </w:t>
      </w:r>
      <w:r>
        <w:t>освещённость рабочих мест от существующих светильников — 97 лк при норме 300 лк, условия по световой среде вредные (класс 3.1);</w:t>
      </w:r>
    </w:p>
    <w:p>
      <w:r>
        <w:t xml:space="preserve">– </w:t>
      </w:r>
      <w:r>
        <w:t>эквивалентный уровень шума 48,9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до мероприятий — 3.1 (вредный).</w:t>
      </w:r>
    </w:p>
    <w:p>
      <w:r>
        <w:t>Рабочее место оценено по эргономическим параметрам: стол, кресло, монитор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по пожарной опасности — к категории В3. Предложены меры защиты от поражения током и статического электричества, а также меры пожарной безопасности.</w:t>
      </w:r>
    </w:p>
    <w:p>
      <w:r>
        <w:t>Для устранения вредного фактора предложено заменить светильники общего освещения и выполнен расчёт по методу коэффициента использования светового потока. В результате расчёта выбраны 8 светодиодных панелей по 45 Вт (4 800 лм) в 2 ряда; они обеспечивают 317 лк при норме 300 лк и пульсацию менее 5 %. После замены итоговый класс условий труда специалиста — 2 (допустимый).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6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