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Окно — оконный блок из трёх створок в левой стене —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[51].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[52].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[53]: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[54],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 (сеть 50 Гц); радиомодули плат экспериментального стенда (867 МГц)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расчётом по СанПиН 1.2.3685-21, раздел 5.2.5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(приложение 1)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[55]. Оптимальные и допустимые значения показателей для этой категории установлены СанПиН 1.2.3685-21 [55, 56].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Температура воздуха принята по уставке кондиционера, относительная влажность — по показаниям бытового гигрометра. Скорость движения воздуха не измерялась и принята равной верхней границе оптимальной нормы — 0,1 м/с. Измерения поверенными приборами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153,3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[57].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 (высота самих знаков — 1,1–5 мм, этот размер учитывается в оценке напряжённости, раздел 5.2.6);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[58, 59]. Для рабочих мест с ПЭВМ дополнительно ограничены коэффициент пульсации освещённости — не более 5 % — и освещённость экрана — не более 200 лк [56].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окно в левой стене. Расчёт в разделе 5.6 показывает, что к концу срока службы, с учётом коэффициента запаса, светильники создают на рабочей поверхности 287 лк: отклонение от нормы 300 лк составляет −4,4 % и находится в пределах допуска −10…+20 %, принятого при проектировании освещения [59]. Допуск относится именно к этой, расчётной освещённости. Новые светильники дают больше — около 430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[52].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[56]; допустимые уровни звукового давления в октавных полосах частот приведены в таблице 5.6.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на рабочих местах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623"/>
        <w:gridCol w:w="623"/>
        <w:gridCol w:w="623"/>
        <w:gridCol w:w="623"/>
        <w:gridCol w:w="623"/>
        <w:gridCol w:w="680"/>
        <w:gridCol w:w="680"/>
        <w:gridCol w:w="680"/>
        <w:gridCol w:w="680"/>
        <w:gridCol w:w="1360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Рабочие места</w:t>
            </w:r>
          </w:p>
        </w:tc>
        <w:tc>
          <w:tcPr>
            <w:tcW w:type="dxa" w:w="5840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звука и эквивалентные уровни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Научная деятельность, конструирование и проектирование, программирование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паспортным данным оборудования того же класса для самого шумного режима работы: системный блок офисного ПК — 19 дБА на месте оператора при записи на диск [60]; внутренний блок настенной сплит-системы холодопроизводительностью 5,3 кВт, рассчитанной на помещение около 50 м², — от 30 до 44 дБА в зависимости от скорости вентилятора, принято наибольшее значение 44 дБА [61]; шредер с уровнем секретности P-5 — 60 дБ [62]. Вклад источника в эквивалентный уровень за смену [63, 64]: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26,8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46,7</w:t>
            </w:r>
          </w:p>
        </w:tc>
      </w:tr>
    </w:tbl>
    <w:p>
      <w:pPr>
        <w:spacing w:line="240" w:lineRule="auto"/>
      </w:pPr>
    </w:p>
    <w:p>
      <w:r>
        <w:t>Эквивалентный уровень звука 46,7 дБА не превышает нормы 50 дБА; условия труда по шуму допустимые (класс 2), запас до нормы — 3,3 дБА.</w:t>
      </w:r>
    </w:p>
    <w:p>
      <w:pPr>
        <w:pStyle w:val="Heading3"/>
      </w:pPr>
      <w:r>
        <w:t>5.2.5 Электромагнитные поля</w:t>
      </w:r>
    </w:p>
    <w:p>
      <w:r>
        <w:t>Источники электромагнитных полей на рабочем месте — ПЭВМ и мониторы, которые питаются от сети 50 Гц, и радиомодули плат экспериментального стенда: при отладке программ платы передают данные по каналу Wi-Fi HaLow на частоте 867 МГц. Отдельных нормативов для рабочих мест с ПЭВМ действующий СанПиН 1.2.3685-21 не содержит; поля частотой 50 Гц в кабинете не измерялись. Излучение стенда оценивается расчётом.</w:t>
      </w:r>
    </w:p>
    <w:p>
      <w:pPr>
        <w:keepNext/>
      </w:pPr>
      <w:r>
        <w:t>Наибольшая мощность передатчика модуля TX-AH — +20 дБм, то есть 100 мВт [17]; в опытах мощность стенда ограничена 14 дБм, поэтому оценка идёт в запас. Усиление штатных антенн принято 0 дБи. На расстоянии больше длины волны (0,35 м) плотность потока энергии от одновременно передающих плат: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плат, 2 (с камерой и приёмная);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Вт;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1; </w:t>
      </w:r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 до оператора, 0,5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2·0,1·1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0,5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= 0,0637 Вт/м² = 6,4 мкВт/см².</m:t>
        </m:r>
      </m:oMath>
    </w:p>
    <w:p>
      <w:pPr>
        <w:keepNext/>
      </w:pPr>
      <w:r>
        <w:t>Энергетическая экспозиция за смену при непрерывной передаче [56]: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ППЭ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6,4·8 = 51,2 (мкВт/см²)·ч,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r>
        <w:t>Для диапазона 300 МГц – 300 ГГц энергетическая экспозиция за смену должна быть не более 200 (мкВт/см²)·ч, плотность потока энергии — не более 1000 мкВт/см² [56]. Даже если обе платы передают с наибольшей мощностью всю смену, экспозиция в 3,9 раза ниже нормы; по экспозиции норма выполняется уже на расстоянии 0,25 м от антенн. Платы стенда размещаются на столе не ближе 0,5 м от оператора. Условия труда по излучению стенда — класс 2 (допустимый).</w:t>
      </w:r>
    </w:p>
    <w:p>
      <w:pPr>
        <w:pStyle w:val="Heading3"/>
      </w:pPr>
      <w:r>
        <w:t>5.2.6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[65].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на слух не выполняется; речь в кабинете разборчива без помех (разборчивость 100–90 %)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[65].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5.2.7 Класс условий труда</w:t>
      </w:r>
    </w:p>
    <w:p>
      <w:r>
        <w:t>Итоговый класс условий труда равен наивысшему из классов по отдельным факторам [52].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 к концу срока службы (новые светильники — около 430 лк), расчёт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лк, допуск −10…+20 %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46,7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Излучение стенда: энергетическая экспозиция за смену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51,2 (мкВт/см²)·ч, расчёт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200 (мкВт/см²)·ч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[66, 67].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[66],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[67, 68, 69].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[70]. Относительная влажность воздуха в кабинете — 40–50 %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[71].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[72, 73]: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при воздействии в течение всей смены не должна превышать 20 кВ/м [56].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[74]. Категории по взрывопожарной и пожарной опасности (А, Б, В1–В4, Г, Д) установлены только для помещений производственного и складского назначения: так их определяют статья 27 Технического регламента о требованиях пожарной безопасности [74] и пункт 1.1 СП 12.13130.2009, задающего методику их расчёта [75]. Кабинет — помещение офисного здания, к производственным и складским не относится, поэтому категория для него не определяется. Класс Ф4.3 определяет требования к зданию — к эвакуационным путям и выходам, системам оповещения и пожарной сигнализации [74]; при эксплуатации кабинета действуют Правила противопожарного режима [76],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[77];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прихожей; направление открывания дверей не нормируется для помещений с одновременным пребыванием не более 15 человек, кроме помещений категорий А и Б [78], а в кабинете одновременно находятся не более 6 человек.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[58, 59].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[59].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рассеиватель. Светильник с матовым рассеивателем светит по косинусному закону — тип кривой силы света Д [59]. Для косинусной кривой в таблице коэффициентов использования приведены два варианта, Д-1 и Д-2; принят Д-1: при нём коэффициент использования при любом индексе помещения меньше (при i = 1,25 — 58 % против 68 %), поэтому число светильников не занижается и расчёт идёт в запас.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[59, 79].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40 150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40 150 / 8 = 5 019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4 800 - 5 019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5 019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[59],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— наименьшая, к концу срока службы светильников: коэффициент запаса учитывает снижение их потока и загрязнение; новые панели дают около 430 лк. Отклонение расчётной освещённости от нормы 300 лк (−4,4 %) — в пределах допуска −10…+20 % [59],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электромагнитного излучения стенда,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к концу срока службы светильников — 287 лк при норме 300 лк (−4,4 %, в пределах допуска −10…+20 %); новые светильники дают около 430 лк;</w:t>
      </w:r>
    </w:p>
    <w:p>
      <w:r>
        <w:t xml:space="preserve">– </w:t>
      </w:r>
      <w:r>
        <w:t>эквивалентный уровень шума 46,7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энергетическая экспозиция от радиомодулей стенда за смену — 51,2 (мкВт/см²)·ч при норме 200 (мкВт/см²)·ч, даже если обе платы передают с наибольшей мощностью всю смену на расстоянии 0,5 м от оператора;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к концу срока службы освещённость 287 лк при норме 300 лк (−4,4 %, в пределах допуска −10…+20 %; новые — около 430 лк)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