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19</w:t>
      </w:r>
    </w:p>
    <w:p>
      <w:pPr>
        <w:tabs>
          <w:tab w:pos="9354" w:val="right" w:leader="dot"/>
        </w:tabs>
        <w:ind w:firstLine="0" w:left="283" w:right="567"/>
        <w:jc w:val="left"/>
      </w:pPr>
      <w:r>
        <w:rPr>
          <w:b w:val="0"/>
        </w:rPr>
        <w:t>2.3 Программа экспериментальных исследований</w:t>
        <w:tab/>
        <w:t>22</w:t>
      </w:r>
    </w:p>
    <w:p>
      <w:pPr>
        <w:tabs>
          <w:tab w:pos="9354" w:val="right" w:leader="dot"/>
        </w:tabs>
        <w:ind w:firstLine="0" w:left="283" w:right="567"/>
        <w:jc w:val="left"/>
      </w:pPr>
      <w:r>
        <w:rPr>
          <w:b w:val="0"/>
        </w:rPr>
        <w:t>2.4 Методика измерений и обработки результатов</w:t>
        <w:tab/>
        <w:t>24</w:t>
      </w:r>
    </w:p>
    <w:p>
      <w:pPr>
        <w:tabs>
          <w:tab w:pos="9354" w:val="right" w:leader="dot"/>
        </w:tabs>
        <w:ind w:firstLine="0" w:left="283" w:right="567"/>
        <w:jc w:val="left"/>
      </w:pPr>
      <w:r>
        <w:rPr>
          <w:b w:val="0"/>
        </w:rPr>
        <w:t>2.5 Выбор аппаратных средств</w:t>
        <w:tab/>
        <w:t>27</w:t>
      </w:r>
    </w:p>
    <w:p>
      <w:pPr>
        <w:tabs>
          <w:tab w:pos="9354" w:val="right" w:leader="dot"/>
        </w:tabs>
        <w:ind w:firstLine="0" w:left="283" w:right="567"/>
        <w:jc w:val="left"/>
      </w:pPr>
      <w:r>
        <w:rPr>
          <w:b w:val="0"/>
        </w:rPr>
        <w:t>2.6 Выбор и настройка программных средств</w:t>
        <w:tab/>
        <w:t>28</w:t>
      </w:r>
    </w:p>
    <w:p>
      <w:pPr>
        <w:tabs>
          <w:tab w:pos="9354" w:val="right" w:leader="dot"/>
        </w:tabs>
        <w:ind w:firstLine="0" w:left="283" w:right="567"/>
        <w:jc w:val="left"/>
      </w:pPr>
      <w:r>
        <w:rPr>
          <w:b w:val="0"/>
        </w:rPr>
        <w:t>2.7 Выводы</w:t>
        <w:tab/>
        <w:t>31</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32</w:t>
      </w:r>
    </w:p>
    <w:p>
      <w:pPr>
        <w:tabs>
          <w:tab w:pos="9354" w:val="right" w:leader="dot"/>
        </w:tabs>
        <w:ind w:firstLine="0" w:left="283" w:right="567"/>
        <w:jc w:val="left"/>
      </w:pPr>
      <w:r>
        <w:rPr>
          <w:b w:val="0"/>
        </w:rPr>
        <w:t>3.1 Условия испытаний</w:t>
        <w:tab/>
        <w:t>32</w:t>
      </w:r>
    </w:p>
    <w:p>
      <w:pPr>
        <w:tabs>
          <w:tab w:pos="9354" w:val="right" w:leader="dot"/>
        </w:tabs>
        <w:ind w:firstLine="0" w:left="283" w:right="567"/>
        <w:jc w:val="left"/>
      </w:pPr>
      <w:r>
        <w:rPr>
          <w:b w:val="0"/>
        </w:rPr>
        <w:t>3.2 Влияние полосы приёма (лабораторный этап)</w:t>
        <w:tab/>
        <w:t>32</w:t>
      </w:r>
    </w:p>
    <w:p>
      <w:pPr>
        <w:tabs>
          <w:tab w:pos="9354" w:val="right" w:leader="dot"/>
        </w:tabs>
        <w:ind w:firstLine="0" w:left="283" w:right="567"/>
        <w:jc w:val="left"/>
      </w:pPr>
      <w:r>
        <w:rPr>
          <w:b w:val="0"/>
        </w:rPr>
        <w:t>3.3 Пропускная способность платформы и ограничивающее звено</w:t>
        <w:tab/>
        <w:t>34</w:t>
      </w:r>
    </w:p>
    <w:p>
      <w:pPr>
        <w:tabs>
          <w:tab w:pos="9354" w:val="right" w:leader="dot"/>
        </w:tabs>
        <w:ind w:firstLine="0" w:left="283" w:right="567"/>
        <w:jc w:val="left"/>
      </w:pPr>
      <w:r>
        <w:rPr>
          <w:b w:val="0"/>
        </w:rPr>
        <w:t>3.4 Доработки канала передачи видео и итоговые результаты</w:t>
        <w:tab/>
        <w:t>38</w:t>
      </w:r>
    </w:p>
    <w:p>
      <w:pPr>
        <w:tabs>
          <w:tab w:pos="9354" w:val="right" w:leader="dot"/>
        </w:tabs>
        <w:ind w:firstLine="0" w:left="283" w:right="567"/>
        <w:jc w:val="left"/>
      </w:pPr>
      <w:r>
        <w:rPr>
          <w:b w:val="0"/>
        </w:rPr>
        <w:t>3.5 Искажения изображения камеры, наводка передатчика и выбор мощности</w:t>
        <w:tab/>
        <w:t>44</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46</w:t>
      </w:r>
    </w:p>
    <w:p>
      <w:pPr>
        <w:tabs>
          <w:tab w:pos="9354" w:val="right" w:leader="dot"/>
        </w:tabs>
        <w:ind w:firstLine="0" w:left="283" w:right="567"/>
        <w:jc w:val="left"/>
      </w:pPr>
      <w:r>
        <w:rPr>
          <w:b w:val="0"/>
        </w:rPr>
        <w:t>3.7 Сравнение с IEEE 802.11 (Wi-Fi 2,4 и 5 ГГц) и LoRa</w:t>
        <w:tab/>
        <w:t>50</w:t>
      </w:r>
    </w:p>
    <w:p>
      <w:pPr>
        <w:tabs>
          <w:tab w:pos="9354" w:val="right" w:leader="dot"/>
        </w:tabs>
        <w:ind w:firstLine="0" w:left="283" w:right="567"/>
        <w:jc w:val="left"/>
      </w:pPr>
      <w:r>
        <w:rPr>
          <w:b w:val="0"/>
        </w:rPr>
        <w:t>3.8 Выводы</w:t>
        <w:tab/>
        <w:t>57</w:t>
      </w:r>
    </w:p>
    <w:p>
      <w:pPr>
        <w:tabs>
          <w:tab w:pos="9354" w:val="right" w:leader="dot"/>
        </w:tabs>
        <w:ind w:firstLine="0" w:left="0" w:right="567"/>
        <w:jc w:val="left"/>
      </w:pPr>
      <w:r>
        <w:rPr>
          <w:b/>
        </w:rPr>
        <w:t>4 Экономическая часть</w:t>
        <w:tab/>
        <w:t>59</w:t>
      </w:r>
    </w:p>
    <w:p>
      <w:pPr>
        <w:tabs>
          <w:tab w:pos="9354" w:val="right" w:leader="dot"/>
        </w:tabs>
        <w:ind w:firstLine="0" w:left="283" w:right="567"/>
        <w:jc w:val="left"/>
      </w:pPr>
      <w:r>
        <w:rPr>
          <w:b w:val="0"/>
        </w:rPr>
        <w:t>4.1 Оценка целесообразности проведения исследования</w:t>
        <w:tab/>
        <w:t>60</w:t>
      </w:r>
    </w:p>
    <w:p>
      <w:pPr>
        <w:tabs>
          <w:tab w:pos="9354" w:val="right" w:leader="dot"/>
        </w:tabs>
        <w:ind w:firstLine="0" w:left="283" w:right="567"/>
        <w:jc w:val="left"/>
      </w:pPr>
      <w:r>
        <w:rPr>
          <w:b w:val="0"/>
        </w:rPr>
        <w:t>4.2 Планирование разработки</w:t>
        <w:tab/>
        <w:t>63</w:t>
      </w:r>
    </w:p>
    <w:p>
      <w:pPr>
        <w:tabs>
          <w:tab w:pos="9354" w:val="right" w:leader="dot"/>
        </w:tabs>
        <w:ind w:firstLine="0" w:left="283" w:right="567"/>
        <w:jc w:val="left"/>
      </w:pPr>
      <w:r>
        <w:rPr>
          <w:b w:val="0"/>
        </w:rPr>
        <w:t>4.3 Определение затрат, себестоимости и цены разработки</w:t>
        <w:tab/>
        <w:t>66</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70</w:t>
      </w:r>
    </w:p>
    <w:p>
      <w:pPr>
        <w:tabs>
          <w:tab w:pos="9354" w:val="right" w:leader="dot"/>
        </w:tabs>
        <w:ind w:firstLine="0" w:left="283" w:right="567"/>
        <w:jc w:val="left"/>
      </w:pPr>
      <w:r>
        <w:rPr>
          <w:b w:val="0"/>
        </w:rPr>
        <w:t>4.5 Выводы</w:t>
        <w:tab/>
        <w:t>72</w:t>
      </w:r>
    </w:p>
    <w:p>
      <w:pPr>
        <w:tabs>
          <w:tab w:pos="9354" w:val="right" w:leader="dot"/>
        </w:tabs>
        <w:ind w:firstLine="0" w:left="0" w:right="567"/>
        <w:jc w:val="left"/>
      </w:pPr>
      <w:r>
        <w:rPr>
          <w:b/>
        </w:rPr>
        <w:t>5 Охрана труда и окружающей среды</w:t>
        <w:tab/>
        <w:t>74</w:t>
      </w:r>
    </w:p>
    <w:p>
      <w:pPr>
        <w:tabs>
          <w:tab w:pos="9354" w:val="right" w:leader="dot"/>
        </w:tabs>
        <w:ind w:firstLine="0" w:left="283" w:right="567"/>
        <w:jc w:val="left"/>
      </w:pPr>
      <w:r>
        <w:rPr>
          <w:b w:val="0"/>
        </w:rPr>
        <w:t>5.1 Введение</w:t>
        <w:tab/>
        <w:t>74</w:t>
      </w:r>
    </w:p>
    <w:p>
      <w:pPr>
        <w:tabs>
          <w:tab w:pos="9354" w:val="right" w:leader="dot"/>
        </w:tabs>
        <w:ind w:firstLine="0" w:left="283" w:right="567"/>
        <w:jc w:val="left"/>
      </w:pPr>
      <w:r>
        <w:rPr>
          <w:b w:val="0"/>
        </w:rPr>
        <w:t>5.2 Оценка условий труда</w:t>
        <w:tab/>
        <w:t>76</w:t>
      </w:r>
    </w:p>
    <w:p>
      <w:pPr>
        <w:tabs>
          <w:tab w:pos="9354" w:val="right" w:leader="dot"/>
        </w:tabs>
        <w:ind w:firstLine="0" w:left="283" w:right="567"/>
        <w:jc w:val="left"/>
      </w:pPr>
      <w:r>
        <w:rPr>
          <w:b w:val="0"/>
        </w:rPr>
        <w:t>5.3 Оценка условий труда по эргономическим параметрам</w:t>
        <w:tab/>
        <w:t>84</w:t>
      </w:r>
    </w:p>
    <w:p>
      <w:pPr>
        <w:tabs>
          <w:tab w:pos="9354" w:val="right" w:leader="dot"/>
        </w:tabs>
        <w:ind w:firstLine="0" w:left="283" w:right="567"/>
        <w:jc w:val="left"/>
      </w:pPr>
      <w:r>
        <w:rPr>
          <w:b w:val="0"/>
        </w:rPr>
        <w:t>5.4 Оценка помещения по электроопасности</w:t>
        <w:tab/>
        <w:t>87</w:t>
      </w:r>
    </w:p>
    <w:p>
      <w:pPr>
        <w:tabs>
          <w:tab w:pos="9354" w:val="right" w:leader="dot"/>
        </w:tabs>
        <w:ind w:firstLine="0" w:left="283" w:right="567"/>
        <w:jc w:val="left"/>
      </w:pPr>
      <w:r>
        <w:rPr>
          <w:b w:val="0"/>
        </w:rPr>
        <w:t>5.5 Классификация помещения по пожароопасности</w:t>
        <w:tab/>
        <w:t>88</w:t>
      </w:r>
    </w:p>
    <w:p>
      <w:pPr>
        <w:tabs>
          <w:tab w:pos="9354" w:val="right" w:leader="dot"/>
        </w:tabs>
        <w:ind w:firstLine="0" w:left="283" w:right="567"/>
        <w:jc w:val="left"/>
      </w:pPr>
      <w:r>
        <w:rPr>
          <w:b w:val="0"/>
        </w:rPr>
        <w:t>5.6 Расчёт искусственного освещения</w:t>
        <w:tab/>
        <w:t>89</w:t>
      </w:r>
    </w:p>
    <w:p>
      <w:pPr>
        <w:tabs>
          <w:tab w:pos="9354" w:val="right" w:leader="dot"/>
        </w:tabs>
        <w:ind w:firstLine="0" w:left="283" w:right="567"/>
        <w:jc w:val="left"/>
      </w:pPr>
      <w:r>
        <w:rPr>
          <w:b w:val="0"/>
        </w:rPr>
        <w:t>5.7 Выводы</w:t>
        <w:tab/>
        <w:t>92</w:t>
      </w:r>
    </w:p>
    <w:p>
      <w:pPr>
        <w:tabs>
          <w:tab w:pos="9354" w:val="right" w:leader="dot"/>
        </w:tabs>
        <w:ind w:firstLine="0" w:left="0" w:right="567"/>
        <w:jc w:val="left"/>
      </w:pPr>
      <w:r>
        <w:rPr>
          <w:b w:val="0"/>
        </w:rPr>
        <w:t>Заключение</w:t>
        <w:tab/>
        <w:t>94</w:t>
      </w:r>
    </w:p>
    <w:p>
      <w:pPr>
        <w:tabs>
          <w:tab w:pos="9354" w:val="right" w:leader="dot"/>
        </w:tabs>
        <w:ind w:firstLine="0" w:left="0" w:right="567"/>
        <w:jc w:val="left"/>
      </w:pPr>
      <w:r>
        <w:rPr>
          <w:b w:val="0"/>
        </w:rPr>
        <w:t>Список использованных источников</w:t>
        <w:tab/>
        <w:t>97</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 Традиционный Wi-Fi в работе — IEEE 802.11n (Wi-Fi 4) в диапазоне 2,4 ГГц с каналом 20 МГц; на большом расстоянии модуль сам переходит на медленные режимы 802.11b/g. Этот радиотракт встроен в процессор ESP32-S3 той же платы.</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106 с., 14 рис., 40 табл., 79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не хватает канала в свободном диапазоне — таком, который можно использовать без разрешения на частоты, соблюдая нормы ГКРЧ, — и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при мощности 14 дБм против 20 дБм у Wi-Fi выигрыш на малых скоростях сокращается до 5,6 дБ (по расчёту дальность в свободном пространстве в 1,9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В России диапазон 868 МГц открыт без лицензии для устройств любого назначения: решение ГКРЧ от 07.05.2007 № 07-20-03-001 [15], полоса 866–868 МГц добавлена решением ГКРЧ № 18-46-03-1 [23]. Условия для этой полосы: эффективная излучаемая мощность (ЭИМ) не более 25 мВт, то есть 14 дБм, а непрерывная передача допускается только с прослушиванием эфира перед излучением (LBT). Wi-Fi HaLow этому соответствует: станция передаёт, только убедившись, что канал свободен (механизм CSMA/CA). В полосу помещаются каналы шириной 1 и 2 МГц; в работе использован канал 2 МГц с центром 867,0 МГц при мощности на выходе модуля не более 14 дБм, штатные антенны плат сигнал заметно не усиливают. В пределах аэродромов диапазон применять запрещено, что для БПЛА существенно. Для Wi-Fi 2,4 ГГц то же решение разрешает до 100 мВт (20 дБм) эквивалентной изотропно излучаемой мощности (ЭИИМ) [15]; в этих единицах норма Wi-Fi HaLow составляет 16,15 дБм.</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Канала в свободном диапазоне, сочетающего оба свойства, среди распространённых решений нет.</w:t>
      </w:r>
    </w:p>
    <w:p>
      <w:r>
        <w:t>2. Wi-Fi HaLow сочетает оба свойства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5,6 дБ больше, чем у Wi-Fi 2,4 ГГц (дальность в свободном пространстве по расчёту в 1,9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Высоты взяты по сценарию применения: 1,5 м — антенна наземного пункта в руках оператора или на штативе, такую же высоту антенны абонента у земли принимают модели каналов 3GPP [24]; 50 и 100 м — рабочие высоты БПЛА: визуальные полёты беспилотников массой до 30 кг разрешены на высотах менее 150 м [25].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·cos θ,</m:t>
              </m:r>
            </m:oMath>
          </w:p>
        </w:tc>
        <w:tc>
          <w:tcPr>
            <w:tcW w:type="dxa" w:w="1020"/>
            <w:vAlign w:val="center"/>
          </w:tcPr>
          <w:p>
            <w:pPr>
              <w:pStyle w:val="Formula"/>
              <w:jc w:val="right"/>
            </w:pPr>
            <w:r>
              <w:t>(2.5)</w:t>
            </w:r>
          </w:p>
        </w:tc>
      </w:tr>
    </w:tbl>
    <w:p>
      <w:pPr>
        <w:ind w:firstLine="0"/>
      </w:pPr>
      <w:r>
        <w:t xml:space="preserve">где </w:t>
      </w:r>
      <w:r>
        <w:t>θ — угол между направлением движения БПЛА и направлением на приёмник. Наибольший сдвиг — при движении прямо к приёмнику или от него (cos θ = ±1).</w:t>
      </w:r>
    </w:p>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Приёмник OFDM компенсирует сдвиг частоты в каждом кадре: по известной стандарту обучающей последовательности в начале кадра он оценивает, насколько частота сигнала отличается от его собственной, и поворачивает фазу принятых отсчётов на эту величину, а остаток в течение кадра отслеживает по пилотным поднесущим [7]. Тот же механизм нужен и неподвижным узлам: кварцевые генераторы передатчика и приёмника расходятся на единицы–десятки миллионных долей, что на 867 МГц даёт сдвиг в килогерцы — во много раз больше доплеровского. Поэтому на работу канала доплеровский сдвиг практически не влияет и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30–38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 перемещение людей и предметов между платами, помехи других устройств диапазона, изменение фона платы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дальность получается от 190 до 920 м. Две модели, предложенные специально для IEEE 802.11ah, на 1 км расходятся на 12 дБ [27],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2–3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Фон модуль измеряет сам: это мощность в канале в моменты, когда узлы сети не передают; по ней модуль решает, свободен ли эфир. Фон зависит от работы электроники платы — шины камеры, памяти PSRAM, тактового сигнала сенсора — и от помех других устройств, поэтому меняется в течение суток.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28],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отношению сигнал/шум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[29].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в 2–3 раза: при одной и той же настройке синтетический поток за один вечер менялся от 302 до 590 кбит/с, а видео в одной точке давало 600–700 кбит/с днём и 228 кбит/с ночью.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[30]</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[31, 32]</w:t>
            </w:r>
          </w:p>
        </w:tc>
        <w:tc>
          <w:tcPr>
            <w:tcW w:type="dxa" w:w="2041"/>
            <w:vAlign w:val="center"/>
          </w:tcPr>
          <w:p>
            <w:pPr>
              <w:pStyle w:val="TableText"/>
              <w:keepNext/>
              <w:jc w:val="left"/>
            </w:pPr>
            <w:r>
              <w:rPr>
                <w:sz w:val="22"/>
              </w:rPr>
              <w:t>Morse Micro MM6108 [33]</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[34]</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[35, 36]</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[37]</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[38]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отношению сигнал/шум,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(приём видеокадров из фрагментов,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составляет видеокадры из фрагментов,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25–28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[38]; добавлены команды регулятора мощности (AT+PWRCTL) и нижней границы модуляции (AT+MCSFLR). Подробности — в разделах 3.3 и 3.4.</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25–28 дБ выше, чем у приёмника, долю неудачных попыток передачи 50–67 % при отношении сигнал/шум 30–38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подготовлен и настроен в разрешённой конфигурации: канал шириной 2 МГц с центральной частотой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до 4 МГц снизило их в 4,4 раза (с 7,49 до 1,71 %), а ширина сигнала при более узкой полосе приёма почти не влияет (1,71 и 1,88 % — в пределах разброса). Причина — шум и помехи, которые собирает приёмник: по формуле (1.2) мощность шума пропорциональна полосе приёма, и при её сужении с B₁ до B₂ шум уменьшается на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ΔN</m:t>
              </m:r>
              <m:r>
                <m:rPr>
                  <m:sty m:val="p"/>
                </m:rPr>
                <w:rPr>
                  <w:rFonts w:ascii="Cambria Math" w:hAnsi="Cambria Math"/>
                </w:rPr>
                <m:t xml:space="preserve"> = 10 lg </m:t>
              </m:r>
              <m:f>
                <m:num>
                  <m:sSub>
                    <m:e>
                      <m:r>
                        <w:rPr>
                          <w:rFonts w:ascii="Cambria Math" w:hAnsi="Cambria Math"/>
                        </w:rPr>
                        <m:t xml:space="preserve">B</m:t>
                      </m:r>
                    </m:e>
                    <m:sub>
                      <m:r>
                        <m:rPr>
                          <m:sty m:val="p"/>
                        </m:rPr>
                        <w:rPr>
                          <w:rFonts w:ascii="Cambria Math" w:hAnsi="Cambria Math"/>
                        </w:rPr>
                        <m:t xml:space="preserve">1</m:t>
                      </m:r>
                    </m:sub>
                  </m:sSub>
                </m:num>
                <m:den>
                  <m:sSub>
                    <m:e>
                      <m:r>
                        <w:rPr>
                          <w:rFonts w:ascii="Cambria Math" w:hAnsi="Cambria Math"/>
                        </w:rPr>
                        <m:t xml:space="preserve">B</m:t>
                      </m:r>
                    </m:e>
                    <m:sub>
                      <m:r>
                        <m:rPr>
                          <m:sty m:val="p"/>
                        </m:rPr>
                        <w:rPr>
                          <w:rFonts w:ascii="Cambria Math" w:hAnsi="Cambria Math"/>
                        </w:rPr>
                        <m:t xml:space="preserve">2</m:t>
                      </m:r>
                    </m:sub>
                  </m:sSub>
                </m:den>
              </m:f>
              <m:r>
                <m:rPr>
                  <m:sty m:val="p"/>
                </m:rPr>
                <w:rPr>
                  <w:rFonts w:ascii="Cambria Math" w:hAnsi="Cambria Math"/>
                </w:rPr>
                <m:t xml:space="preserve"> = 10 lg </m:t>
              </m:r>
              <m:f>
                <m:num>
                  <m:r>
                    <m:rPr>
                      <m:sty m:val="p"/>
                    </m:rPr>
                    <w:rPr>
                      <w:rFonts w:ascii="Cambria Math" w:hAnsi="Cambria Math"/>
                    </w:rPr>
                    <m:t xml:space="preserve">8</m:t>
                  </m:r>
                </m:num>
                <m:den>
                  <m:r>
                    <m:rPr>
                      <m:sty m:val="p"/>
                    </m:rPr>
                    <w:rPr>
                      <w:rFonts w:ascii="Cambria Math" w:hAnsi="Cambria Math"/>
                    </w:rPr>
                    <m:t xml:space="preserve">4</m:t>
                  </m:r>
                </m:den>
              </m:f>
              <m:r>
                <m:rPr>
                  <m:sty m:val="p"/>
                </m:rPr>
                <w:rPr>
                  <w:rFonts w:ascii="Cambria Math" w:hAnsi="Cambria Math"/>
                </w:rPr>
                <m:t xml:space="preserve"> = 3,0 дБ,</m:t>
              </m:r>
            </m:oMath>
          </w:p>
        </w:tc>
        <w:tc>
          <w:tcPr>
            <w:tcW w:type="dxa" w:w="1020"/>
            <w:vAlign w:val="center"/>
          </w:tcPr>
          <w:p>
            <w:pPr>
              <w:pStyle w:val="Formula"/>
              <w:jc w:val="right"/>
            </w:pPr>
            <w:r>
              <w:t>(3.1)</w:t>
            </w:r>
          </w:p>
        </w:tc>
      </w:tr>
    </w:tbl>
    <w:p>
      <w:pPr>
        <w:ind w:firstLine="0"/>
      </w:pPr>
      <w:r>
        <w:t xml:space="preserve">где </w:t>
      </w:r>
      <w:r>
        <w:t>ΔN — уменьшение мощности шума, дБ; B₁, B₂ — полоса приёма до и после сужения, МГц.</w:t>
      </w:r>
    </w:p>
    <w:p>
      <w:r>
        <w:t>Сигнал занимает 2 МГц в обоих случаях, поэтому отношение сигнал/шум растёт на те же 3,0 дБ. Одним тепловым шумом снижение потерь в 4,4 раза не объясняется: в полосу 8 МГц попадают и излучения других устройств диапазона 863–870 МГц, а при сужении полосы приёма они отсекаются. Эксперимент подтвердил направление эффекта: чем уже полоса приёма, тем меньше потерь.</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389253"/>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3"/>
                    <a:stretch>
                      <a:fillRect/>
                    </a:stretch>
                  </pic:blipFill>
                  <pic:spPr>
                    <a:xfrm>
                      <a:off x="0" y="0"/>
                      <a:ext cx="5940000" cy="3389253"/>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[38].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(3.2)</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[39],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в итоговой настройке (3 Мбод, пауза 1,5 мс) пропускает до 1,79 Мбит/с (таблица 3.3)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Код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5" name="Picture 5"/>
            <wp:cNvGraphicFramePr>
              <a:graphicFrameLocks noChangeAspect="1"/>
            </wp:cNvGraphicFramePr>
            <a:graphic>
              <a:graphicData uri="http://schemas.openxmlformats.org/drawingml/2006/picture">
                <pic:pic>
                  <pic:nvPicPr>
                    <pic:cNvPr id="0" name="fig_inertia.png"/>
                    <pic:cNvPicPr/>
                  </pic:nvPicPr>
                  <pic:blipFill>
                    <a:blip r:embed="rId14"/>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отношению сигнал/шум.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2–3 раза по времени суток (раздел 2.4),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шириной 2 МГц,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отношению сигнал/шум</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 при мощности 1 дБм: потери на трассе 54 дБ, запас до чувствительности около 48 дБ</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w:t>
            </w:r>
          </w:p>
        </w:tc>
        <w:tc>
          <w:tcPr>
            <w:tcW w:type="dxa" w:w="2551"/>
            <w:vAlign w:val="center"/>
          </w:tcPr>
          <w:p>
            <w:pPr>
              <w:pStyle w:val="TableText"/>
              <w:keepNext/>
              <w:jc w:val="center"/>
            </w:pPr>
            <w:r>
              <w:rPr>
                <w:sz w:val="22"/>
              </w:rPr>
              <w:t>медиана 0,34–0,50 с; в контрольном опыте в среднем 0,42 с, самые медленные видеокадры — до 0,8 с в 9 из 10 отчётов, наибольшая — 1,46 с</w:t>
            </w:r>
          </w:p>
        </w:tc>
        <w:tc>
          <w:tcPr>
            <w:tcW w:type="dxa" w:w="3288"/>
            <w:vAlign w:val="center"/>
          </w:tcPr>
          <w:p>
            <w:pPr>
              <w:pStyle w:val="TableText"/>
              <w:keepNext/>
              <w:jc w:val="left"/>
            </w:pPr>
            <w:r>
              <w:rPr>
                <w:sz w:val="22"/>
              </w:rPr>
              <w:t>опыты с инерцией качества и единой версией программы; контрольный опыт</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1 дБм, уровень сигнала −50 дБм, SNR 36 дБ, нижняя граница модуляции держалась на MCS 4, PER — 68 % (медианы), RTT в среднем 0,42 с. Среднее значение задержки сглаживает выбросы, поэтому отдельно приведён разброс: в каждом отчёте модуля (около 2 с) самый быстрый видеокадр подтверждался за 0,06–0,18 с, самый медленный — в 9 из 10 отчётов не дольше 0,8 с, наибольшая задержка за опыт — 1,46 с. Уровень сигнала −50 дБм получен при мощности передатчика 1 дБм: регулятор снижает мощность, пока запас избыточен, поэтому сам уровень сигнала зависит от мощности, а о трассе говорят потери на ней — 51 дБ — и запас до чувствительности приёмника — около 50 дБ. Фрагмент журнала — в таблице 2.4.</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(3.3)</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25–28 дБ выше, чем у платы приёмника без камеры (−85…−88 дБм),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при превышении на 28 дБ граница в свободном пространстве сокращается в 25 раз — до 39 м на MCS 7 и 190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[28].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[28]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[28].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идёт с полной скоростью (наибольшие потери)</w:t>
            </w:r>
          </w:p>
        </w:tc>
        <w:tc>
          <w:tcPr>
            <w:tcW w:type="dxa" w:w="1247"/>
            <w:vAlign w:val="center"/>
          </w:tcPr>
          <w:p>
            <w:pPr>
              <w:pStyle w:val="TableText"/>
              <w:keepNext/>
              <w:jc w:val="center"/>
            </w:pPr>
            <w:r>
              <w:rPr>
                <w:sz w:val="20"/>
              </w:rPr>
              <w:t>68</w:t>
            </w:r>
          </w:p>
        </w:tc>
        <w:tc>
          <w:tcPr>
            <w:tcW w:type="dxa" w:w="1474"/>
            <w:vAlign w:val="center"/>
          </w:tcPr>
          <w:p>
            <w:pPr>
              <w:pStyle w:val="TableText"/>
              <w:keepNext/>
              <w:jc w:val="center"/>
            </w:pPr>
            <w:r>
              <w:rPr>
                <w:sz w:val="20"/>
              </w:rPr>
              <w:t>0,069</w:t>
            </w:r>
          </w:p>
        </w:tc>
        <w:tc>
          <w:tcPr>
            <w:tcW w:type="dxa" w:w="1247"/>
            <w:vAlign w:val="center"/>
          </w:tcPr>
          <w:p>
            <w:pPr>
              <w:pStyle w:val="TableText"/>
              <w:keepNext/>
              <w:jc w:val="center"/>
            </w:pPr>
            <w:r>
              <w:rPr>
                <w:sz w:val="20"/>
              </w:rPr>
              <w:t>83</w:t>
            </w:r>
          </w:p>
        </w:tc>
        <w:tc>
          <w:tcPr>
            <w:tcW w:type="dxa" w:w="1474"/>
            <w:vAlign w:val="center"/>
          </w:tcPr>
          <w:p>
            <w:pPr>
              <w:pStyle w:val="TableText"/>
              <w:keepNext/>
              <w:jc w:val="center"/>
            </w:pPr>
            <w:r>
              <w:rPr>
                <w:sz w:val="20"/>
              </w:rPr>
              <w:t>0,14</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Привычная оценка дальности Wi-Fi 2,4 ГГц в сотни метров относится к полной скорости. На этой паре плат Wi-Fi держал полную скорость видео до потерь 83 дБ (≈ 140 м), видео прекратилось при 96 дБ, а 0,87 км — граница связи на самой медленной скорости 802.11b 1 Мбит/с, где передаются только служебные кадры. Wi-Fi HaLow полную скорость видео держит до 68 дБ (≈ 70 м): видеопоток около 1 Мбит/с близок к пределу его пропускной способности, и запас по скорости исчерпывается раньше; зато видео на пониженной скорости и сама связь сохраняются намного дальше, чем у Wi-Fi.</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фрагменты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фрагментов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[40].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[41]; по пользовательским данным, канал управления ExpressLRS 900 МГц работал с БПЛА на 40,7 км при 10 мВт [42]. Но скорость LoRa — 0,29–5,5 кбит/с в канале 125 кГц [3], ниже полученной полезной скорости Wi-Fi HaLow в 190–3600 раз, а время передачи одного пакета — от 0,39 до 31 мс в режимах ExpressLRS [43]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6" name="Picture 6"/>
            <wp:cNvGraphicFramePr>
              <a:graphicFrameLocks noChangeAspect="1"/>
            </wp:cNvGraphicFramePr>
            <a:graphic>
              <a:graphicData uri="http://schemas.openxmlformats.org/drawingml/2006/picture">
                <pic:pic>
                  <pic:nvPicPr>
                    <pic:cNvPr id="0" name="fig_rate_range.png"/>
                    <pic:cNvPicPr/>
                  </pic:nvPicPr>
                  <pic:blipFill>
                    <a:blip r:embed="rId15"/>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(3.3)</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7" name="Picture 7"/>
            <wp:cNvGraphicFramePr>
              <a:graphicFrameLocks noChangeAspect="1"/>
            </wp:cNvGraphicFramePr>
            <a:graphic>
              <a:graphicData uri="http://schemas.openxmlformats.org/drawingml/2006/picture">
                <pic:pic>
                  <pic:nvPicPr>
                    <pic:cNvPr id="0" name="fig_rate_heatmap.png"/>
                    <pic:cNvPicPr/>
                  </pic:nvPicPr>
                  <pic:blipFill>
                    <a:blip r:embed="rId16"/>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8" name="Picture 8"/>
            <wp:cNvGraphicFramePr>
              <a:graphicFrameLocks noChangeAspect="1"/>
            </wp:cNvGraphicFramePr>
            <a:graphic>
              <a:graphicData uri="http://schemas.openxmlformats.org/drawingml/2006/picture">
                <pic:pic>
                  <pic:nvPicPr>
                    <pic:cNvPr id="0" name="fig_wall.png"/>
                    <pic:cNvPicPr/>
                  </pic:nvPicPr>
                  <pic:blipFill>
                    <a:blip r:embed="rId17"/>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[44].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9" name="Picture 9"/>
            <wp:cNvGraphicFramePr>
              <a:graphicFrameLocks noChangeAspect="1"/>
            </wp:cNvGraphicFramePr>
            <a:graphic>
              <a:graphicData uri="http://schemas.openxmlformats.org/drawingml/2006/picture">
                <pic:pic>
                  <pic:nvPicPr>
                    <pic:cNvPr id="0" name="fig_foliage.png"/>
                    <pic:cNvPicPr/>
                  </pic:nvPicPr>
                  <pic:blipFill>
                    <a:blip r:embed="rId18"/>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[42]</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[28];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[28]</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[43];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до 4 МГц снизило потери в 4,4 раза — шум в полосе уменьшается на 10 lg(8/4) = 3,0 дБ, и в узкую полосу попадает меньше помех других устройств диапазона.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отношению сигнал/шум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19"/>
          <w:headerReference w:type="first" r:id="rId20"/>
          <w:footerReference w:type="first" r:id="rId21"/>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сочетает оба свойства: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5,6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Измерение на одной паре плат подтвердило расчёт для наименьших скоростей: граница связи, где обе технологии работают на самой медленной модуляции, у Wi-Fi HaLow в 1,8 раза дальше (по расчёту — в 1,9 раза;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шириной 2 МГц с центральной частотой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отношению сигнал/шум;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отношению сигнал/шум,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r>
        <w:t>Часть ограничений этими мерами не снимается, и при интеграции их нужно учитывать: на плате с интерфейсом UART полезная скорость не превысит 3,92 Мбит/с, а на данной паре модулей она держится около 1 Мбит/с из-за потерь передач на уровне MAC, программа которого закрыта; помехи собственной электроники на компактном борту полностью не устранить; с расстоянием качество изображения снижается вплоть до разрешения 240 × 160; у земли — при взлёте, посадке и полёте на малой высоте — дальность в разы меньше, чем на рабочей высоте; мощность выше 14 дБм не разрешена, а в пределах аэродромов диапазон 866–868 МГц применять нельзя.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3GPP TR 38.901 V17.0.0 (2022-03). Study on channel model for frequencies from 0.5 to 100 GHz (Release 17) : technical report / 3rd Generation Partnership Project. – Valbonne : ETSI, 2022. – 106 p. – Текст : электронный // 3GPP : [сайт]. – URL: https://www.3gpp.org/ftp/Specs/archive/38_series/38.901/ (дата обращения: 22.10.2026).</w:t>
      </w:r>
    </w:p>
    <w:p>
      <w:pPr>
        <w:ind w:firstLine="0"/>
        <w:jc w:val="left"/>
      </w:pPr>
      <w:r>
        <w:t>25. Об утверждении Федеральных правил использования воздушного пространства Российской Федерации : постановление Правительства Российской Федерации от 11.03.2010 № 138 (в ред. постановления от 03.02.2020 № 74). – Текст : электронный // ГАРАНТ.РУ : информационно-правовой портал. – URL: https://base.garant.ru/197839/ (дата обращения: 22.10.2026).</w:t>
      </w:r>
    </w:p>
    <w:p>
      <w:pPr>
        <w:ind w:firstLine="0"/>
        <w:jc w:val="left"/>
      </w:pPr>
      <w:r>
        <w:t>26. Shannon, C. E. A Mathematical Theory of Communication / C. E. Shannon // Bell System Technical Journal. – 1948. – Vol. 27, no. 3. – P. 379–423. – Текст : электронный.</w:t>
      </w:r>
    </w:p>
    <w:p>
      <w:pPr>
        <w:ind w:firstLine="0"/>
        <w:jc w:val="left"/>
      </w:pPr>
      <w:r>
        <w:t>27.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28.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29.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30. LILYGO T-Halow ESP32-S3 Development Board, Wi-Fi HaLow. – Текст : электронный // AliExpress : [сайт]. – URL: https://www.aliexpress.com/item/1005007402959136.html (дата обращения: 24.09.2026).</w:t>
      </w:r>
    </w:p>
    <w:p>
      <w:pPr>
        <w:ind w:firstLine="0"/>
        <w:jc w:val="left"/>
      </w:pPr>
      <w:r>
        <w:t>31. ESP32 Wi-Fi HaLow Camera HT-HC32. – Текст : электронный // Heltec Automation : [сайт]. – URL: https://wiki.heltec.org/docs/devices/wifi-halow/ht-hc32/ (дата обращения: 13.10.2026).</w:t>
      </w:r>
    </w:p>
    <w:p>
      <w:pPr>
        <w:ind w:firstLine="0"/>
        <w:jc w:val="left"/>
      </w:pPr>
      <w:r>
        <w:t>32. ESP32 Wi-Fi HaLow Camera. – Текст : электронный // Heltec Automation : [сайт]. – URL: https://heltec.org/project/ht-hc32/ (дата обращения: 13.10.2026).</w:t>
      </w:r>
    </w:p>
    <w:p>
      <w:pPr>
        <w:ind w:firstLine="0"/>
        <w:jc w:val="left"/>
      </w:pPr>
      <w:r>
        <w:t>33.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34.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35. NRC7394 Evaluation Kit Purchase page. – Текст : электронный // NEWRACOM : [сайт]. – URL: https://newracom.com/nrc7394-evaluation-kit-purchase-page (дата обращения: 24.09.2026).</w:t>
      </w:r>
    </w:p>
    <w:p>
      <w:pPr>
        <w:ind w:firstLine="0"/>
        <w:jc w:val="left"/>
      </w:pPr>
      <w:r>
        <w:t>36. NRC7292 EVK. – Текст : электронный // NEWRACOM : [сайт]. – URL: https://newracom.com/products/nrc7292-evk (дата обращения: 24.09.2026).</w:t>
      </w:r>
    </w:p>
    <w:p>
      <w:pPr>
        <w:ind w:firstLine="0"/>
        <w:jc w:val="left"/>
      </w:pPr>
      <w:r>
        <w:t>37. MM6108-EKH05-05US, WiFi Development Tools — 802.11 Wi-Fi HaLow IoT Development Board. – Текст : электронный // ЧИП и ДИП : [сайт]. – URL: https://chipdip.ru/product0/8040419288 (дата обращения: 24.09.2026).</w:t>
      </w:r>
    </w:p>
    <w:p>
      <w:pPr>
        <w:ind w:firstLine="0"/>
        <w:jc w:val="left"/>
      </w:pPr>
      <w:r>
        <w:t>38.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39.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40. ESP32-CAM Performance Reference Benchmark : dataset / TNeutron. – 2025. – Текст : электронный // GitHub : [сайт]. – URL: https://github.com/TNeutron/ESP32-CAM-Performence-Reference-Benchmark (дата обращения: 08.10.2026).</w:t>
      </w:r>
    </w:p>
    <w:p>
      <w:pPr>
        <w:ind w:firstLine="0"/>
        <w:jc w:val="left"/>
      </w:pPr>
      <w:r>
        <w:t>41.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42. Long Range / ExpressLRS. – Текст : электронный // GitHub : ExpressLRS/Docs. – URL: https://github.com/ExpressLRS/Docs/blob/master/docs/info/long-range.md (дата обращения: 08.10.2026).</w:t>
      </w:r>
    </w:p>
    <w:p>
      <w:pPr>
        <w:ind w:firstLine="0"/>
        <w:jc w:val="left"/>
      </w:pPr>
      <w:r>
        <w:t>43. Signal Health / ExpressLRS. – Текст : электронный // GitHub : ExpressLRS/Docs. – URL: https://github.com/ExpressLRS/Docs/blob/master/docs/info/signal-health.md (дата обращения: 08.10.2026).</w:t>
      </w:r>
    </w:p>
    <w:p>
      <w:pPr>
        <w:ind w:firstLine="0"/>
        <w:jc w:val="left"/>
      </w:pPr>
      <w:r>
        <w:t>44.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45.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46.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47.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48.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49.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50.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51.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52.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53.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54.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55.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56.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57.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58.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59.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60. HP Pro Series 400 G9 Desktop PCs : QuickSpecs c08017709 : Version 18, May 8, 2025 / HP Inc. – 99 p. – Текст : электронный // HP : [сайт]. – URL: https://h20195.www2.hp.com/v2/GetDocument.aspx?docname=c08017709 (дата обращения: 22.10.2026).</w:t>
      </w:r>
    </w:p>
    <w:p>
      <w:pPr>
        <w:ind w:firstLine="0"/>
        <w:jc w:val="left"/>
      </w:pPr>
      <w:r>
        <w:t>61. Сплит-системы Daichi AIR : AIR20AVQ1 / AIR20FV1 – AIR70AVQ1 / AIR70FV1 : технические характеристики. – Текст : электронный // Библиотека С.О.К. : [сайт]. – URL: https://c-o-k.ru/library/instructions/daichi/kondicionery-bytovye/133972.pdf (дата обращения: 22.10.2026).</w:t>
      </w:r>
    </w:p>
    <w:p>
      <w:pPr>
        <w:ind w:firstLine="0"/>
        <w:jc w:val="left"/>
      </w:pPr>
      <w:r>
        <w:t>62. Шредер Cactus CS-SH-G6 : характеристики. – Текст : электронный // КНС : [сайт]. – URL: https://www.kns.ru/product/shreder-cactus-cs-sh-g6/characteristics/ (дата обращения: 22.10.2026).</w:t>
      </w:r>
    </w:p>
    <w:p>
      <w:pPr>
        <w:ind w:firstLine="0"/>
        <w:jc w:val="left"/>
      </w:pPr>
      <w:r>
        <w:t>63.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64.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65.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66.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67.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68.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69.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70.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71.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72.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73.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74.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75.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76.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77.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78. СП 1.13130.2020. Системы противопожарной защиты. Эвакуационные пути и выходы : свод правил : утвержден приказом МЧС России от 19.03.2020 № 194 : дата введения 2020-09-19. – Текст : электронный // Электронный фонд правовых и нормативно-технических документов : [сайт]. – URL: https://docs.cntd.ru/document/565248961 (дата обращения: 22.10.2026).</w:t>
      </w:r>
    </w:p>
    <w:p>
      <w:pPr>
        <w:ind w:firstLine="0"/>
        <w:jc w:val="left"/>
      </w:pPr>
      <w:r>
        <w:t>79.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2"/>
      <w:footerReference w:type="default" r:id="rId23"/>
      <w:pgSz w:w="11906" w:h="16838"/>
      <w:pgMar w:top="1134" w:right="850" w:bottom="1417" w:left="1701" w:header="283" w:footer="283" w:gutter="0"/>
      <w:cols w:space="720"/>
      <w:docGrid w:linePitch="360"/>
      <w:pgNumType w:start="9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106</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