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исследование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[43]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 xml:space="preserve"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[43].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[43].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[43]: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[43]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[43].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[44]: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[45].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+ 48 070 = 451 070 руб.</m:t>
        </m:r>
      </m:oMath>
    </w:p>
    <w:p>
      <w:pPr>
        <w:keepNext/>
      </w:pPr>
      <w:r>
        <w:t>Помимо основных выплат исполнителям предусмотрена премия 20 % [43]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1,2·451 070 = 541 284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[46]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0,302·541 284 = 163 468 руб.</m:t>
        </m:r>
      </m:oMath>
    </w:p>
    <w:p>
      <w:r>
        <w:t>Затраты на материалы, полуфабрикаты и покупные комплектующие изделия определены прямым счётом (таблица 4.6). К ним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Цена платы LilyGO T-HaLow 37,98 долл. США [28] по курсу 84,1975 руб./долл. на 20.09.2026 [47] составляет 3 198 руб.</w:t>
      </w:r>
    </w:p>
    <w:p>
      <w:pPr>
        <w:pStyle w:val="TableCaption"/>
        <w:ind w:firstLine="0"/>
      </w:pPr>
      <w:r>
        <w:t>Таблица 4.6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Себестоимость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 xml:space="preserve">В типовой структуре затрат на НИР удельный вес заработной платы составляет 34 % [43]. В настоящей работе он принят выше —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>: специального оборудования, работ сторонних организаций и командировок в НИР нет, и основную часть затрат составляет труд исполнителей. Себестоимость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541 284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1 353 210 руб.</m:t>
        </m:r>
      </m:oMath>
    </w:p>
    <w:p>
      <w:r>
        <w:t>Поэлементная структура затрат на НИР приведена в таблице 4.7. Материалы и покупные комплектующие изделия взяты по прямому счёту (таблица 4.6), заработная плата — по фонду оплаты труда, расходы на социальные нужды — по тарифу 30,2 % от него, прочие расходы — 5 % себестоимости [43]. Накладные расходы составляют оставшуюся часть себестоимости.</w:t>
      </w:r>
    </w:p>
    <w:p>
      <w:pPr>
        <w:pStyle w:val="TableCaption"/>
        <w:ind w:firstLine="0"/>
      </w:pPr>
      <w:r>
        <w:t>Таблица 4.7 – Поэлементная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952"/>
        <w:gridCol w:w="1814"/>
        <w:gridCol w:w="1814"/>
      </w:tblGrid>
      <w:tr>
        <w:trPr>
          <w:cantSplit/>
          <w:tblHeader w:val="true"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Сумма, руб.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24 560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1,8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541 284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163 468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556 238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41,1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67 660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1 353 210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Материалы и комплектующие стоят 24 560 руб., или 1,8 % себестоимости: в НИР используются недорогие серийные отладочные платы, а не специальное оборудование. К накладным расходам отнесены оплата электроэнергии, аренды и отопления помещения, заработной платы обслуживающего персонала, содержание вычислительной техники кафедры — 41,1 % себестоимости.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pPr>
        <w:keepNext/>
      </w:pPr>
      <w:r>
        <w:t>Цена НИР определяется исходя из обеспечения безубыточности организации, которая её выполняет [43].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[43].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1 353 210 + 541 284·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2 977 062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[43].</w:t>
      </w:r>
    </w:p>
    <w:p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результатов [43].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4.6).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[48].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[43]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2 977 062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0,65,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1,54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18 месяцев. Для наукоёмкой продукции уровень эффективности должен быть не менее 0,5, то есть вложения должны окупаться в пределах двух лет [43];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p>
      <w:pPr>
        <w:pStyle w:val="Heading2"/>
      </w:pPr>
      <w:r>
        <w:t>4.5 Выводы</w:t>
      </w:r>
    </w:p>
    <w:p>
      <w:r>
        <w:t>В ходе выполнения экономической части ВКР было приведено технико-экономическое обоснование НИР по исследованию эффективности технологии Wi-Fi HaLow для каналов связи с БПЛА. Определены следующие показатели:</w:t>
      </w:r>
    </w:p>
    <w:p>
      <w:r>
        <w:t xml:space="preserve">– </w:t>
      </w:r>
      <w:r>
        <w:t>индекс научно-технической прогрессивности — 1,33 относительно Wi-Fi 2,4 ГГц и 1,80 относительно LoRa;</w:t>
      </w:r>
    </w:p>
    <w:p>
      <w:r>
        <w:t xml:space="preserve">– </w:t>
      </w:r>
      <w:r>
        <w:t>продолжительность НИР — 69 календарных дней, при максимальных оценках длительности работ — не более 87 дней;</w:t>
      </w:r>
    </w:p>
    <w:p>
      <w:r>
        <w:t xml:space="preserve">– </w:t>
      </w:r>
      <w:r>
        <w:t>себестоимость НИР — 1 353 210 руб., цена — 2 977 062 руб.;</w:t>
      </w:r>
    </w:p>
    <w:p>
      <w:r>
        <w:t xml:space="preserve">– </w:t>
      </w:r>
      <w:r>
        <w:t>годовой экономический эффект — 38 683 465 руб. за счёт сокращения числа ретрансляторов с 6 897 до 3 871;</w:t>
      </w:r>
    </w:p>
    <w:p>
      <w:r>
        <w:t xml:space="preserve">– </w:t>
      </w:r>
      <w:r>
        <w:t>уровень экономической эффективности — 0,65 при нормативе 0,5;</w:t>
      </w:r>
    </w:p>
    <w:p>
      <w:r>
        <w:t xml:space="preserve">– </w:t>
      </w:r>
      <w:r>
        <w:t>срок окупаемости вложений — 18 месяцев.</w:t>
      </w:r>
    </w:p>
    <w:p>
      <w:r>
        <w:t>С учётом приведённых расчётов можно сделать вывод о том, что исследование является прогрессивным и экономически целесообразным.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5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