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pStyle w:val="Heading2"/>
        <w:ind w:firstLine="0"/>
        <w:jc w:val="center"/>
      </w:pPr>
      <w:r>
        <w:t>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–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–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– на рисунке 5.1. Кабинет в плане имеет Г-образную форму. Окно – оконный блок из трёх створок в левой стене –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– рабочий стол специалиста (РМ); 2 – кресло; 3 – окно; 4 – радиатор отопления; 5 – огнетушитель; 6 – дверь; Т – тумба; Ш – шкаф; ШР –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[1]. Фактическая площадь на одно рабочее место – 4,65 м², требование выполняется.</w:t>
      </w:r>
    </w:p>
    <w:p>
      <w:pPr>
        <w:pStyle w:val="Heading3"/>
        <w:ind/>
      </w:pPr>
      <w:r>
        <w:t>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Гц. Системные блоки подключаются шнуром с заземляющей жилой к розеткам с заземляющим контактом: изделия, имеющие рабочую изоляцию и элемент для заземления, относятся к I классу защиты от поражения электрическим током [2].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  <w:ind/>
      </w:pPr>
      <w:r>
        <w:t>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усилий.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– до 6 ч. Одновременно в кабинете работают 5–6 сотрудников.</w:t>
      </w:r>
    </w:p>
    <w:p>
      <w:pPr>
        <w:pStyle w:val="Heading2"/>
      </w:pPr>
      <w:r>
        <w:t>5.1 Оценка условий труда инженера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[3].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– итоговый класс. При превышении нормативов предлагаются мероприятия по их устранению. Классы условий труда установлены Федеральным законом № 426-ФЗ [4]: 1 – оптимальные, 2 – допустимые, 3.1–3.4 – вредные, 4 – опасные.</w:t>
      </w:r>
    </w:p>
    <w:p>
      <w:pPr>
        <w:pStyle w:val="Heading3"/>
      </w:pPr>
      <w:r>
        <w:t>5.1.1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–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Идентифицируется; оценивается по СП 52.13330.2016 и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5.1.5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5.1.6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5.1.6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5.3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5.4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5.1.2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[6]. Оптимальные значения показателей для этой категории установлены ГОСТ 12.1.005-88 [6], допустимые – СанПиН 1.2.3685-21 [7]. Источники тепла в помещении – люди, ПЭВМ, светильники и радиаторы отопления.</w:t>
      </w:r>
    </w:p>
    <w:p>
      <w:r>
        <w:t>Температура воздуха поддерживается кондиционером. Нормативные и фактические значения показателей микроклимата приведены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0,05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– класс 1 (оптимальный).</w:t>
      </w:r>
    </w:p>
    <w:p>
      <w:pPr>
        <w:keepNext/>
      </w:pPr>
      <w:r>
        <w:t>Количество наружного воздуха, которое нужно подавать в кабинет, определяется по числу работающих [8]: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человека. Для кабинетов с открывающимися окнами СП 60.13330.2020 устанавливает 40 м³/ч [9].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pPr>
        <w:pStyle w:val="Heading3"/>
      </w:pPr>
      <w:r>
        <w:t>5.1.3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– элементов знаков на экране – 0,3–0,5 мм, это разряд III; контраст объекта с фоном и фон средние, это подразряд «в». Для него нормируемая освещённость при общем освещении – 300 лк, при комбинированном – 750 лк, показатель ослеплённости – не более 40 [10, 11]. В помещениях с рабочими местами, оборудованными ПЭВМ, коэффициент пульсации освещённости не должен превышать 5 % [7]. Нормы для зрительных работ разряда III по СП 52.13330.2016 приведены в таблице 5.5 [10].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9 встраиваемых светодиодных панелей 595 × 595 мм; по паспортным данным панели того же типа мощность одной панели – 48 Вт, световой поток – 4 800 лм, коэффициент пульсации – менее 1 % [12]; естественное освещение – боковое, через окно в левой стене. Расчёт в разделе 5.5 показывает, что к концу срока службы, с учётом коэффициента запаса, эти светильники создают на рабочей поверхности 323 лк при норме 300 лк. Новые светильники дают больше – около 480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[3].</w:t>
      </w:r>
    </w:p>
    <w:p>
      <w:pPr>
        <w:pStyle w:val="Heading3"/>
      </w:pPr>
      <w:r>
        <w:t>5.1.4 Шум</w:t>
      </w:r>
    </w:p>
    <w:p>
      <w:r>
        <w:t>Шум снижает внимание и работоспособность и повышает утомляемость. Гигиенический норматив для рабочих мест – эквивалентный уровень звука за смену 80 дБА [7];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– 65 дБА, уровни звукового давления в октавных полосах частот – по таблице 5.6 [13].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–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– 19 дБА на месте оператора в наиболее шумном из указанных в паспорте режимов [14]; внутренний блок настенной сплит-системы холодопроизводительностью 5,3 кВт, рассчитанной на помещение около 50 м², – от 30 до 44 дБА в зависимости от скорости вентилятора, принято наибольшее значение 44 дБА [15]; шредер с уровнем секретности P-5 – 60 дБ [16]. Вклад источника в эквивалентный уровень за смену [17, 18]: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–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дБА). По Методике СОУТ, условия труда по шуму – класс 2 (допустимый).</w:t>
      </w:r>
    </w:p>
    <w:p>
      <w:pPr>
        <w:pStyle w:val="Heading3"/>
      </w:pPr>
      <w:r>
        <w:t>5.1.5 Электромагнитные поля</w:t>
      </w:r>
    </w:p>
    <w:p>
      <w:r>
        <w:t>Источники электромагнитных полей на рабочем месте –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содержит,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стенда – +20 дБм, то есть 100 мВт [19]. В опытах мощность стенда ограничена 14 дБм: в полосе 866–868 МГц решения ГКРЧ допускают эффективную излучаемую мощность не более 25 мВт [20, 21], поэтому расчёт по 20 дБм идёт в запас. Усиление штатных антенн –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– не более 1000 мкВт/см² [7].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 (рисунок 5.3). Уровень фактора не превышает предельно допустимого, поэтому по Методике СОУТ условия труда по излучению стенда – класс 2 (допустимый) [3].</w:t>
      </w:r>
    </w:p>
    <w:p>
      <w:pPr>
        <w:pStyle w:val="Heading3"/>
      </w:pPr>
      <w:r>
        <w:t>5.1.6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– нагрузку на центральную нервную систему, органы чувств и эмоциональную сферу; оба фактора оцениваются по показателям Методики СОУТ [3].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Оценка напряжённости по показателям сенсорных нагрузок и монотонности нагрузок приведена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3968"/>
        <w:gridCol w:w="187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Плотность сигналов и сообщений в среднем за 1 ч,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15–20 (сообщения, результаты расчётов и измерений)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75)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Число производственных объектов одновременного наблюдения,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(редактор программ, консоль, окна графиков, журнал измерений)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5)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оптическими приборами, % времени смены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выполняется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Нагрузка на голосовой аппарат, ч в неделю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около 5 (обсуждения с руководителем)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16)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Число элементов простого задания или повторяющихся операций,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пассивного наблюдения за ходом процесса, % времени смены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10–15 (ожидание прошивки плат и окончания опытов)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 (менее 75)</w:t>
            </w:r>
          </w:p>
        </w:tc>
      </w:tr>
    </w:tbl>
    <w:p>
      <w:pPr>
        <w:spacing w:line="240" w:lineRule="auto"/>
      </w:pPr>
    </w:p>
    <w:p>
      <w:r>
        <w:t>Все показатели соответствуют классу 1, поэтому напряжённость трудового процесса – класс 1 (оптимальный).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5.1.7 Класс условий труда</w:t>
      </w:r>
    </w:p>
    <w:p>
      <w:r>
        <w:t>Итоговый класс условий труда равен наивысшему из классов по отдельным факторам [3].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323 лк (новые светильники – около 480 лк) [5.1.3]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 [5.1.4]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–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 [5.1.5]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Рабочая поза – класс 2, остальные 6 показателей – класс 1 (таблица 5.8)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Все 6 показателей – класс 1 (таблица 5.9)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– 2 (допустимый); вредных факторов на рабочем месте не выявлено.</w:t>
      </w:r>
    </w:p>
    <w:p>
      <w:pPr>
        <w:pStyle w:val="Heading2"/>
      </w:pPr>
      <w:r>
        <w:t>5.2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[22, 23].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[22], показанных на рисунке 5.3: в зоне А (оптимальной) находятся клавиатура и мышь, которыми пользуются постоянно, в зоне Б (лёгкой досягаемости) – документы, в зоне В (досягаемости вытянутой рукой) –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– монитор; 2 – клавиатура; 3 – мышь; 4 – документы; 5 – кресло; 6 – платы экспериментального стенда; А – оптимальная зона; Б – зона лёгкой досягаемости; В – зона досягаемости</w:t>
      </w:r>
    </w:p>
    <w:p>
      <w:r>
        <w:t>Параметры рабочего места и видеотерминала сопоставлены с нормативными в таблице 5.11 [23, 24, 25].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 23,8″,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 (проектное расстояние для экранов 19″ и более)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5.3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[26]. Относительная влажность воздуха в кабинете – 40–50 % (таблица 5.4), то есть не более 60 %, поэтому по ПУЭ помещение сухое; температура нормальная, токопроводящая пыль отсутствует, пол – ламинат –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– зависят от продолжительности воздействия тока и приведены в таблице 5.12 [27].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[28, 29]: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– 15 кВ/м при относительной влажности 30–60 % [7].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5.4 Классификация помещения по пожароопасности</w:t>
      </w:r>
    </w:p>
    <w:p>
      <w:r>
        <w:t>Возможные причины пожара в кабинете – короткое замыкание и перегрузка электрической сети, неисправность блоков питания ПЭВМ и источников бесперебойного питания. Горючие материалы –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[30].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[30] и пункт 1.1 СП 12.13130.2009, задающего методику их расчёта [31]. Кабинет –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– к эвакуационным путям и выходам, системам оповещения и пожарной сигнализации [30]; при эксплуатации кабинета действуют Правила противопожарного режима [32], из которых следуют мероприятия:</w:t>
      </w:r>
    </w:p>
    <w:p>
      <w:r>
        <w:t xml:space="preserve">– </w:t>
      </w:r>
      <w:r>
        <w:t>электрооборудование поддерживается в исправном состоянии, линии защищены от перегрузки и короткого замыкания;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[33];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[34], а в кабинете одновременно находятся не более 6 человек.</w:t>
      </w:r>
    </w:p>
    <w:p>
      <w:pPr>
        <w:pStyle w:val="Heading2"/>
      </w:pPr>
      <w:r>
        <w:t>5.5 Расчёт искусственного освещения</w:t>
      </w:r>
    </w:p>
    <w:p>
      <w:r>
        <w:t>Индивидуальное задание –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[10, 11]. Нормируемая освещённость – 300 лк (раздел 5.1.3); для кабинетов и офисов она нормируется на горизонтальной рабочей поверхности на высоте 0,8 м от пола [7].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– 70, 50 и 30 %. Коэффициент запаса для административно-конструкторских помещений Kз = 1,5, коэффициент неравномерности освещённости z = 1,1 [11].</w:t>
      </w:r>
    </w:p>
    <w:p>
      <w:pPr>
        <w:keepNext/>
      </w:pPr>
      <w:r>
        <w:t>В кабинете установлены светильники – встраиваемые светодиодные панели 595 × 595 мм для потолка «Армстронг». По паспортным данным панели того же типа: мощность 48 Вт, световой поток 4 800 лм, коэффициент пульсации менее 1 %, цветовая температура 4000 К, матовый (опаловый) рассеиватель [12]. Светильник с матовым рассеивателем светит по косинусному закону – тип кривой силы света Д [11]. В таблице коэффициентов использования косинусная кривая представлена двумя вариантами, Д-1 и Д-2. Принят Д-1, у которого коэффициент использования меньше (при i = 1,25 – 58 % против 68 %).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[11, 35].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Число светильников округляется в большую сторону: принимаются 9 светильников. Требуемый поток одного светильника при этом числе – ФΣ / N = 40 150 / 9 = 4 461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4 800 - 4 461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4 461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+7,6 %.</m:t>
        </m:r>
      </m:oMath>
    </w:p>
    <w:p>
      <w:r>
        <w:t>Методические указания допускают отклонение потока от требуемого в пределах −10…+20 % [11], поэтому принятое число светильников обеспечивает нормируемую освещённость.</w:t>
      </w:r>
    </w:p>
    <w:p>
      <w:r>
        <w:t>Светильники размещаются в 2 ряда по 4 вдоль длинной стороны основной части помещения и один – в прихожей над дверью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принятыми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323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9·48 = 432 Вт,</m:t>
        </m:r>
      </m:oMath>
    </w:p>
    <w:p>
      <w:r>
        <w:t>удельная мощность – 8,5 Вт/м². Освещённость 323 лк получена с коэффициентом запаса, то есть к концу срока службы светильников, и не ниже нормы 300 лк; новые панели дают около 480 лк. Пульсация панелей – менее 1 % при норме не более 5 %, матовый рассеиватель ограничивает блёскость. При замене панелей выбираются светильники с индексом цветопередачи не менее 85, который установлен для общего искусственного освещения [7].</w:t>
      </w:r>
    </w:p>
    <w:p>
      <w:pPr>
        <w:pStyle w:val="Heading2"/>
      </w:pPr>
      <w:r>
        <w:t>5.6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– 323 лк при норме 300 лк (новые светильники – около 480 лк);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трудового процесса – класс 2, напряжённость – класс 1;</w:t>
      </w:r>
    </w:p>
    <w:p>
      <w:r>
        <w:t xml:space="preserve">– </w:t>
      </w:r>
      <w:r>
        <w:t>энергетическая экспозиция от радиомодулей стенда за смену –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–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48 Вт со световым потоком 4 800 лм в количестве 9 шт; они обеспечивают к концу срока службы освещённость 323 лк при норме 300 лк (новые – около 480 лк) и пульсацию менее 1 % при норме не более 5 %.</w:t>
      </w:r>
    </w:p>
    <w:p>
      <w:pPr>
        <w:pStyle w:val="Heading2"/>
        <w:ind w:firstLine="0"/>
        <w:jc w:val="center"/>
      </w:pPr>
      <w:r>
        <w:t>Список источников к разделу 5</w:t>
      </w:r>
    </w:p>
    <w:p>
      <w:r>
        <w:t>1.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r>
        <w:t>2. ГОСТ 12.2.007.0-75. Система стандартов безопасности труда. Изделия электротехнические. Общие требования безопасности : государственный стандарт Союза ССР : утвержден постановлением Государственного комитета стандартов Совета Министров СССР от 10.09.1975 № 2368 : дата введения 1978-01-01. – Текст : электронный // МЕГАНОРМ : [сайт]. – URL: https://meganorm.ru/Data1/6/6884/index.htm (дата обращения: 23.10.2026).</w:t>
      </w:r>
    </w:p>
    <w:p>
      <w:r>
        <w:t>3.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r>
        <w:t>4.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r>
        <w:t>5.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r>
        <w:t>6.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r>
        <w:t>7.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r>
        <w:t>8.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r>
        <w:t>9. СП 60.13330.2020. Отопление, вентиляция и кондиционирование воздуха. СНиП 41-01-2003 : свод правил : утвержден приказом Министерства строительства и жилищно-коммунального хозяйства Российской Федерации от 30.12.2020 № 921/пр : дата введения 2021-07-01. – Текст : электронный // Электронный фонд правовых и нормативно-технических документов : [сайт]. – URL: https://docs.cntd.ru/ (дата обращения: 27.10.2026).</w:t>
      </w:r>
    </w:p>
    <w:p>
      <w:r>
        <w:t>10.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r>
        <w:t>11.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А. В. Копылов, Н. С. Чудакова. – Москва : Изд-во МАИ, 1987. – 46 с. : ил. – Текст : непосредственный.</w:t>
      </w:r>
    </w:p>
    <w:p>
      <w:r>
        <w:t>12. Универсальная светодиодная панель MASTER ДВО 48W-4000K-595х595х40-опал IP40 KZS : артикул 48786 : технические характеристики / FERON. – Текст : электронный // FERON : [сайт]. – URL: https://feron.ru/catalog/svetodiodnye_paneli_armstrong/universalnaya_svetodiodnaya_panel_master_dvo_48w_4000k_595kh595kh40_opal_ip40_kzs/ (дата обращения: 23.10.2026).</w:t>
      </w:r>
    </w:p>
    <w:p>
      <w:r>
        <w:t>13. СП 51.13330.2011. Защита от шума. Актуализированная редакция СНиП 23-03-2003 : свод правил : утвержден приказом Министерства регионального развития Российской Федерации от 28.12.2010 № 825 (ред. от 12.12.2023) : дата введения 2011-05-20. – Текст : электронный // Электронный фонд правовых и нормативно-технических документов : [сайт]. – URL: https://docs.cntd.ru/document/1200084097 (дата обращения: 23.10.2026).</w:t>
      </w:r>
    </w:p>
    <w:p>
      <w:r>
        <w:t>14. HP Pro Series 400 G9 Desktop PCs : QuickSpecs c08017709 : Version 18, May 8, 2025 / HP Inc. – 99 p. – Текст : электронный // HP : [сайт]. – URL: https://h20195.www2.hp.com/v2/GetDocument.aspx?docname=c08017709 (дата обращения: 22.10.2026).</w:t>
      </w:r>
    </w:p>
    <w:p>
      <w:r>
        <w:t>15. Сплит-системы Daichi AIR : AIR20AVQ1 / AIR20FV1 – AIR70AVQ1 / AIR70FV1 : технические характеристики. – Текст : электронный // Библиотека С.О.К. : [сайт]. – URL: https://c-o-k.ru/library/instructions/daichi/kondicionery-bytovye/133972.pdf (дата обращения: 22.10.2026).</w:t>
      </w:r>
    </w:p>
    <w:p>
      <w:r>
        <w:t>16. Шредер Cactus CS-SH-G6 : характеристики. – Текст : электронный // КНС : [сайт]. – URL: https://www.kns.ru/product/shreder-cactus-cs-sh-g6/characteristics/ (дата обращения: 22.10.2026).</w:t>
      </w:r>
    </w:p>
    <w:p>
      <w:r>
        <w:t>17.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r>
        <w:t>18.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r>
        <w:t>19.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r>
        <w:t>20.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r>
        <w:t>21.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r>
        <w:t>22.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r>
        <w:t>23.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r>
        <w:t>24.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r>
        <w:t>25.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r>
        <w:t>26.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r>
        <w:t>27.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r>
        <w:t>28.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r>
        <w:t>29.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r>
        <w:t>30.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r>
        <w:t>31.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r>
        <w:t>32.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r>
        <w:t>33.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r>
        <w:t>34. СП 1.13130.2020. Системы противопожарной защиты. Эвакуационные пути и выходы : свод правил : утвержден приказом МЧС России от 19.03.2020 № 194 : дата введения 2020-09-19. – Текст : электронный // Электронный фонд правовых и нормативно-технических документов : [сайт]. – URL: https://docs.cntd.ru/document/565248961 (дата обращения: 22.10.2026).</w:t>
      </w:r>
    </w:p>
    <w:p>
      <w:r>
        <w:t>35.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