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[49].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[50, 51].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[51]. Для экрана 27″ проектное расстояние наблюдения стандартом не установлено [52];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[52] и ГОСТ Р 50923-96, параметры клавиатуры — ГОСТ Р ИСО 9241-4-2009 [53].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[54]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[55], допустимые — СанПиН 1.2.3685-21 [56].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[56]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[57, 58].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[58].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[57];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[56].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[59]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[56].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[60].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[61].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[62] и Правилами противопожарного режима в Российской Федерации [63].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[62]).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[64]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[65].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[66].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[66].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[66].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[67],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[68, 69],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[70]; оценка по отдельным факторам и итоговый класс определяются по Методике проведения специальной оценки условий труда [71]: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