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диапазонах 2,4 и 5 ГГц дают десятки мегабит в секунду [6], однако на расстояниях в сотни метров и за препятствиями связь теряется.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[7, 8]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99 с., 9 рис., 33 табл., 71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традиционно передаётся отдельным аналоговым передатчиком диапазона 5,8 ГГц. Такой канал не контролирует ошибки, не переносит IP-трафик и быстро теряет сигнал за препятствиями: на частоте 5,8 ГГц потери растут, а огибание препятствий слабое [13].</w:t>
      </w:r>
    </w:p>
    <w:p>
      <w:r>
        <w:t>Сети Wi-Fi стандартов IEEE 802.11n/ac/ax дают десятки и сотни мегабит в секунду [6], но рассчитаны на расстояния в десятки метров. С серийными антеннами связь на открытой местности сохраняется на сотнях метров, а за препятствиями — много меньше.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[10, 15].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[16]. Нормы Российской Федерации ограничивают мощность Wi-Fi HaLow сильнее, чем мощность Wi-Fi 2,4 ГГц (см. «Регулирование»): с учётом этого выигрыш сокращается до 15,1 дБ.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[13].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[17].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[15]. В каналах 1–2 МГц, которые помещаются в разрешённые полосы 864–865 и 866–868 МГц, скорость одного потока по стандарту — от 0,15 до 7,8 Мбит/с (таблица 2.1) [18];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[19].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[16];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[20],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15]. Радиомодуль TX-AH потребляет при передаче на +20 дБм 300 мА, при приёме 55–100 мА [16]; Wi-Fi ESP32-S3 — 283–340 мА при передаче и 88–91 мА при приёме [20]; приёмопередатчик LoRa RFM95 — от 66 до 396 мВт при мощности от −4 до +20 дБм [21].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[22]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[22].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[15].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с учётом норм мощности Российской Федерации — около 15 дБ;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[13]: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[13].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[13]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>Разнос поднесущих Wi-Fi HaLow — 31,25 кГц [7],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 Расхождение частот опорных генераторов передатчика и приёмника, допускаемое стандартом (±20·10⁻⁶, до 17 кГц), в двести раз больше доплеровского сдвига и компенсируется приёмником по преамбуле каждого кадра [7].</w:t>
      </w:r>
    </w:p>
    <w:p>
      <w:r>
        <w:t>Движение сказывается иначе: канал изменяется за время когерентности Tк ≈ 0,423/fд [13],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[7];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−85…−88 дБм у приёмника, около −60 дБм у платы с камерой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платы: шина камеры, PSRAM, тактовый сигнал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[13] до моделей потерь, предложенных для IEEE 802.11ah на частоте 900 МГц [26]. Измерения они не отменяют по трём причинам. Первая — коэффициенты опубликованы диапазонами, а не значениями: для городской застройки n = 2,7–3,5 [13],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дБм: шина камеры, память PSRAM и тактовый сигнал камеры шумят в сантиметрах от антенны.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[16],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[16, 27], пропускная способность Wi-Fi ESP32-S3 по данным производителя — в лаборатории и в экранированной камере [19];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(2.9)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[30, 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[20]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[33]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[33]).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[22, 23],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[34],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сигнале; вероятная причина — помехи платы с камерой (фон −60 дБм против −87 дБм у приёмника). Это и задаёт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характерными цветными полосами. Анализ несжатых видеокадров, сохранённых до кодирования, показал,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опытов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Отдельная проверочная программа, буквально повторяющая функции встроенной программы, выявила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опыт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опыт: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3.7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3.7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[16].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[20].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[16].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[17].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[13]. Скорость Wi-Fi 2,4 ГГц выше на порядок: ESP32-S3 передаёт в эфире 20–30 Мбит/с [19], а модуль ESP32-CAM (процессор ESP32, камера OV2640) передаёт по Wi-Fi видео 480 × 320 с частотой 20,9 видеокадра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[38]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[17]: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[16]; расчёт при 14 дБм: 0,98–4,90 км в своб. простр. (табл. 3.9)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[19]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[17]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[17]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энергетический выигрыш перед Wi-Fi 2,4 ГГц около 19 дБ при равной мощности (около 15 дБ при нормах мощности Российской Федерации), меньшее затухание в препятствиях и пропускная способность, достаточная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поднимают фон приёмника камеры до −60 дБм и являются вероятной причиной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8.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9.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10.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11.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12.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13.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16.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17.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18.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19.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20.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21.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22.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30.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31.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32.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33.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34.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42.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43. Предельная база страховых взносов в 2026 году : размер и тарифы. – Текст : электронный // Контур : [сайт]. – URL: https://kontur.ru/articles/4261 (дата обращения: 24.09.2026).</w:t>
      </w:r>
    </w:p>
    <w:p>
      <w:pPr>
        <w:ind w:firstLine="0"/>
        <w:jc w:val="left"/>
      </w:pPr>
      <w:r>
        <w:t>44.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45. W25Q32JVSSIQ, микросхема памяти FLASH 32 Мбит. – Текст : электронный // ЧИП и ДИП : [сайт]. – URL: https://www.chipdip.ru/product/w25q32jvssiq (дата обращения: 24.09.2026).</w:t>
      </w:r>
    </w:p>
    <w:p>
      <w:pPr>
        <w:ind w:firstLine="0"/>
        <w:jc w:val="left"/>
      </w:pPr>
      <w:r>
        <w:t>46. Программаторы CH341A. – Текст : электронный // Яндекс Маркет : [сайт]. – URL: https://market.yandex.ru/category/programmatory-ch341a (дата обращения: 24.09.2026).</w:t>
      </w:r>
    </w:p>
    <w:p>
      <w:pPr>
        <w:ind w:firstLine="0"/>
        <w:jc w:val="left"/>
      </w:pPr>
      <w:r>
        <w:t>47. Тарифы на электроэнергию в Москве в 2026 году. – Текст : электронный // Т—Ж : [сайт]. – URL: https://t-j.ru/msk-electroprices/ (дата обращения: 24.09.2026).</w:t>
      </w:r>
    </w:p>
    <w:p>
      <w:pPr>
        <w:ind w:firstLine="0"/>
        <w:jc w:val="left"/>
      </w:pPr>
      <w:r>
        <w:t>48. О Классификации основных средств, включаемых в амортизационные группы : постановление Правительства Российской Федерации от 01.01.2002 № 1. – Текст : электронный // КонсультантПлюс : надежная правовая поддержка : [сайт]. – URL: https://www.consultant.ru/document/cons_doc_LAW_34710/ (дата обращения: 08.10.2026).</w:t>
      </w:r>
    </w:p>
    <w:p>
      <w:pPr>
        <w:ind w:firstLine="0"/>
        <w:jc w:val="left"/>
      </w:pPr>
      <w:r>
        <w:t>49.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50.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54.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55.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56.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57.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58.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59.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60.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61.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62.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63.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64.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65.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66.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67.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68.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69.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70.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71.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