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благоприятных условий труда специалиста при анализе эффективности технологии Wi-Fi HaLow для передачи данных с борта беспилотного летательного аппарата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форму. Окна — оконный блок из трёх створок в левой стене — выходят во двор; под окнами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5–6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[48]. Фактическая площадь на одно рабочее место —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[49].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[50]: 1 — оптимальные, 2 — допустимые, 3.1–3.4 — вредные, 4 —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[51],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идентифицируются: рабочее место пользователя ПЭВМ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нагрузок; энерготраты организма при такой работе не превышают 139 Вт (120 ккал/ч), поэтому она относится к категории Iа. Оптимальные и допустимые значения показателей для этой категории установлены СанПиН 1.2.3685-21 [52, 53].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Фактические значения приняты по уставке кондиционера и по типовым значениям для офисных помещений с центральным отоплением; инструментальные измерения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—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[54].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[55, 56]. Для рабочих мест с ПЭВМ дополнительно ограничены коэффициент пульсации освещённости — не более 5 % — и освещённость экрана — не более 200 лк [52]. Нормы для зрительных работ разряда III приведены в таблице 5.5.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 мощностью 45 Вт со световым потоком 4 800 лм и коэффициентом пульсации менее 1 %; естественное освещение — боковое, через окна в левой стене. Расчёт в разделе 5.6 показывает, что установленные светильники создают на рабочей поверхности 307 лк при норме 300 лк. Условия труда по световой среде — класс 2 (допустимый) [49].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 и программирование, допустимый эквивалентный уровень звука за смену — 50 дБА [52]; допустимые уровни звукового давления в октавных полосах частот приведены в таблице 5.6.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звукового давления в октавных полосах частот, уровни звука на рабочих местах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623"/>
        <w:gridCol w:w="623"/>
        <w:gridCol w:w="623"/>
        <w:gridCol w:w="623"/>
        <w:gridCol w:w="623"/>
        <w:gridCol w:w="680"/>
        <w:gridCol w:w="680"/>
        <w:gridCol w:w="680"/>
        <w:gridCol w:w="680"/>
        <w:gridCol w:w="1360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Рабочие места</w:t>
            </w:r>
          </w:p>
        </w:tc>
        <w:tc>
          <w:tcPr>
            <w:tcW w:type="dxa" w:w="5840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звука и эквивалентные уровни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Научная деятельность, конструирование и проектирование, программирование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</w:tr>
    </w:tbl>
    <w:p>
      <w:pPr>
        <w:spacing w:line="240" w:lineRule="auto"/>
      </w:pPr>
    </w:p>
    <w:p>
      <w:r>
        <w:t>Источники шума в кабинете —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типовым паспортным данным такого оборудования. Вклад источника в эквивалентный уровень за смену [57, 58]: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37,8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44,5</w:t>
            </w:r>
          </w:p>
        </w:tc>
      </w:tr>
    </w:tbl>
    <w:p>
      <w:pPr>
        <w:spacing w:line="240" w:lineRule="auto"/>
      </w:pPr>
    </w:p>
    <w:p>
      <w:r>
        <w:t>Эквивалентный уровень звука 44,5 дБА не превышает нормы 50 дБА; условия труда по шуму допустимые (класс 2), запас до нормы — 5,5 дБА.</w:t>
      </w:r>
    </w:p>
    <w:p>
      <w:pPr>
        <w:pStyle w:val="Heading3"/>
      </w:pPr>
      <w:r>
        <w:t>5.2.5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[59].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—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[59]. Напряжённость трудового процесса —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5.2.6 Класс условий труда</w:t>
      </w:r>
    </w:p>
    <w:p>
      <w:r>
        <w:t>Итоговый класс условий труда равен наивысшему из классов по отдельным факторам [49].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45 %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307 лк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44,5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—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[60, 61].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[60],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5.11 [61, 62, 63].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[64]. Относительная влажность воздуха в кабинете — 45 % (раздел 5.2.2), то есть не более 60 %, поэтому по ПУЭ помещение сухое; температура нормальная,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— зависят от продолжительности воздействия тока и приведены в таблице 5.12 [65].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[66, 67]: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пользователя ПЭВМ не должна превышать 15 кВ/м [52]. Электризацию ограничивают оптимальная влажность воздуха (45 %)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ПЭВМ и источников бесперебойного питания. Горючие материалы —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[68]. Категории помещений по взрывопожарной и пожарной опасности (А, Б, В1–В4, Г, Д) устанавливаются для производственных и складских помещений [69], поэтому для кабинета категория не определяется. Класс Ф4.3 определяет требования к зданию — к эвакуационным путям и выходам, системам оповещения и пожарной сигнализации [68]; при эксплуатации кабинета действуют Правила противопожарного режима [70],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огнетушитель; для тушения электрооборудования под напряжением до 1000 В пригодны углекислотные ОУ-3, ОУ-5 и порошковые ОП-4 огнетушители, углекислотные не портят электронику [71];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[55, 56]. Нормируемая освещённость — 300 лк на горизонтальной рабочей поверхности на высоте 0,8 м (раздел 5.2.3).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10,0·5,0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2,2·(10,0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основной части помещения, м.</w:t>
      </w:r>
    </w:p>
    <w:p>
      <w:r>
        <w:t>Коэффициенты отражения потолка, стен и пола (ламинат) — 70, 50 и 30 %. Коэффициент запаса для помещения с нормальными условиями среды Kз = 1,4, коэффициент неравномерности освещённости z = 1,1 [55, 56].</w:t>
      </w:r>
    </w:p>
    <w:p>
      <w:pPr>
        <w:keepNext/>
      </w:pPr>
      <w:r>
        <w:t>В кабинете установлены светильники — встраиваемые светодиодные панели 595 × 595 мм для потолка «Армстронг»: мощность 45 Вт, световой поток 4 800 лм, коэффициент пульсации менее 1 %, цветовая температура 4000 К, индекс цветопередачи не менее 80, матовый (опаловый) рассеиватель; светораспределение косинусное, тип кривой силы света Д-1.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[72].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1,52 коэффициент использования находится линейной интерполяцией между значениями при i = 1,25 (58 %) и i = 2 (72 %): η = 0,63. Такое же значение, 0,63 при i = 1,5, даёт таблица производителя для встраиваемой светодиодной панели 595 × 595 мм с опаловым рассеивателем [73].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300·51,1·1,4·1,1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37 488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37 488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7,81 ≈ 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r>
        <w:t>Расчётное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 Отношение L/h = 1,14 не превышает наивыгоднейшего значения 1,4 для светильников с косинусным светораспределением, то есть освещённость между светильниками не проседает.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51,1·1,4·1,1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307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Освещённость 307 лк не ниже нормы 300 лк,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— допустимые (класс 2).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— 307 лк при норме 300 лк;</w:t>
      </w:r>
    </w:p>
    <w:p>
      <w:r>
        <w:t xml:space="preserve">– </w:t>
      </w:r>
      <w:r>
        <w:t>эквивалентный уровень шума 44,5 дБА не превышает нормы 50 дБА; тяжесть и напряжённость трудового процесса — класс 2;</w:t>
      </w:r>
    </w:p>
    <w:p>
      <w:r>
        <w:t xml:space="preserve">– </w:t>
      </w:r>
      <w:r>
        <w:t>итоговый класс условий труда —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45 Вт со световым потоком 4 800 лм в количестве 8 шт.; они обеспечивают освещённость 307 лк при норме 300 лк и пульсацию менее 1 % при норме не более 5 %. Расчётное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6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