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0E6D" w:rsidRDefault="00CA7BBA">
      <w:pPr>
        <w:pStyle w:val="1"/>
      </w:pPr>
      <w:r>
        <w:t>4 Экономическая часть</w:t>
      </w:r>
    </w:p>
    <w:p w:rsidR="00410E6D" w:rsidRDefault="00CA7BBA">
      <w:r>
        <w:t xml:space="preserve"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</w:t>
      </w:r>
      <w:r>
        <w:t>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</w:t>
      </w:r>
      <w:r>
        <w:t>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 w:rsidR="00410E6D" w:rsidRDefault="00CA7BBA">
      <w:r>
        <w:t>Тема ВКР — «Разработк</w:t>
      </w:r>
      <w:r>
        <w:t>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[7] на платформе LilyGO T-HaLow по сравнению с традиционными протокола</w:t>
      </w:r>
      <w:r>
        <w:t xml:space="preserve">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</w:t>
      </w:r>
      <w:r>
        <w:t>сравнение с IEEE 802.11 на той же аппаратной платформе и рекомендации по применению технологии для связи с БПЛА.</w:t>
      </w:r>
    </w:p>
    <w:p w:rsidR="00410E6D" w:rsidRDefault="00CA7BBA">
      <w:r>
        <w:t>Исследование должно дать разработчикам систем связи БПЛА измеренные характеристики канала Wi-Fi HaLow — дальность, уровень сигнала, задержку, п</w:t>
      </w:r>
      <w:r>
        <w:t>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НИР долж</w:t>
      </w:r>
      <w:r>
        <w:t>ен перекрывать затраты на её выполнение. Необходимо убедиться в научной новизне, эффективности и окупаемости исследования, для чего по методике [42] выполняются:</w:t>
      </w:r>
    </w:p>
    <w:p w:rsidR="00410E6D" w:rsidRDefault="00CA7BBA">
      <w:r>
        <w:t>– оценка целесообразности НИР на основе сравнения с существующими технологиями;</w:t>
      </w:r>
    </w:p>
    <w:p w:rsidR="00410E6D" w:rsidRDefault="00CA7BBA">
      <w:r>
        <w:t>– планирование</w:t>
      </w:r>
      <w:r>
        <w:t xml:space="preserve"> работ: определение трудоёмкости НИР и построение сетевого графика;</w:t>
      </w:r>
    </w:p>
    <w:p w:rsidR="00410E6D" w:rsidRDefault="00CA7BBA">
      <w:r>
        <w:t>– определение затрат, себестоимости и цены НИР;</w:t>
      </w:r>
    </w:p>
    <w:p w:rsidR="00410E6D" w:rsidRDefault="00CA7BBA">
      <w:r>
        <w:t>– оценка экономической эффективности и срока окупаемости.</w:t>
      </w:r>
    </w:p>
    <w:p w:rsidR="00410E6D" w:rsidRDefault="00CA7BBA">
      <w:r>
        <w:lastRenderedPageBreak/>
        <w:t xml:space="preserve">В результате будет получена комплексная оценка экономической обоснованности НИР и </w:t>
      </w:r>
      <w:r>
        <w:t>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 Расчёты выполнены в ценах сентяб</w:t>
      </w:r>
      <w:r>
        <w:t>ря 2026 г. для работы, выполняемой в г. Москве.</w:t>
      </w:r>
    </w:p>
    <w:p w:rsidR="00410E6D" w:rsidRDefault="00CA7BBA">
      <w:pPr>
        <w:pStyle w:val="21"/>
      </w:pPr>
      <w:r>
        <w:t>4.1 Оценка целесообразности проведения исследования</w:t>
      </w:r>
    </w:p>
    <w:p w:rsidR="00410E6D" w:rsidRDefault="00CA7BBA">
      <w:r>
        <w:t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</w:t>
      </w:r>
      <w:r>
        <w:t>оведения. Количественным показателем прогрессивности НИР служит индекс научно-технической прогрессивности, который определяется балльным сравнением НТПр с уже существующим решением — базой для сравнения [42].</w:t>
      </w:r>
    </w:p>
    <w:p w:rsidR="00410E6D" w:rsidRDefault="00CA7BBA">
      <w:r>
        <w:t>Сравнение проводится по трём признакам: научно-</w:t>
      </w:r>
      <w:r>
        <w:t>технический уровень (новизна), перспективность и возможность применения результатов. Баллы назначаются по ориентировочным шкалам методики [42]. Научно-технический уровень оценивается от 1–2 баллов («тривиальный») до 9–10 («превышает мировые достижения»), п</w:t>
      </w:r>
      <w:r>
        <w:t>ерспективность — от 1–4 («полезная») до 8–10 («первостепенной важности»),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 w:rsidR="00410E6D" w:rsidRDefault="00CA7BBA">
      <w:r>
        <w:t>Ка</w:t>
      </w:r>
      <w:r>
        <w:t xml:space="preserve">нал передачи данных с борта БПЛА на удалённый наземный пункт может быть построен на одной из трёх технологий нелицензируемых диапазонов (подраздел 1.3): LoRa, Wi-Fi 2,4 ГГц (IEEE 802.11) и Wi-Fi HaLow (IEEE 802.11ah). Поэтому за базы для сравнения приняты </w:t>
      </w:r>
      <w:r>
        <w:t>две распространённые технологии — LoRa и Wi-Fi 2,4 ГГц, а НТПр настоящей работы — канал Wi-Fi HaLow с экспериментально определёнными характеристиками и рекомендациями по его применению для связи с БПЛА.</w:t>
      </w:r>
    </w:p>
    <w:p w:rsidR="00410E6D" w:rsidRDefault="00CA7BBA">
      <w:r>
        <w:t>LoRa работает в том же диапазоне 868 МГц, что и Wi-Fi</w:t>
      </w:r>
      <w:r>
        <w:t xml:space="preserve"> HaLow, поэтому радиоволны обеих технологий распространяются одинаково. Различаются они способом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</w:t>
      </w:r>
      <w:r>
        <w:t xml:space="preserve">ь в десятки километров, но ограничивает скорость единицами килобит в секунду [3]. Wi-Fi HaLow передаёт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</w:t>
      </w:r>
      <w:r>
        <w:t xml:space="preserve">LoRa — канал телеметрии и управления, передать по нему видео нельзя. Технология зрелая и широко применяется, но для задачи передачи видео с борта её научно-технический </w:t>
      </w:r>
      <w:r>
        <w:lastRenderedPageBreak/>
        <w:t>уровень лишь приближается к мировому — 5 баллов; перспективность — 4 балла («полезная»):</w:t>
      </w:r>
      <w:r>
        <w:t xml:space="preserve"> она сохраняется для телеметрии, но не для видео. Для передачи видео результаты LoRa применимы лишь на уровне отдельных предприятий и в отдалённой перспективе — 2 балла.</w:t>
      </w:r>
    </w:p>
    <w:p w:rsidR="00410E6D" w:rsidRDefault="00CA7BBA">
      <w:r>
        <w:t>Wi-Fi 2,4 ГГц передаёт видео с высокой скоростью — на одной паре плат измерено 15–19 М</w:t>
      </w:r>
      <w:r>
        <w:t>бит/с (подраздел 3.7). Однако с увеличением дальности его скорость падает быстрее, чем у Wi-Fi HaLow, и на расстояниях, где Wi-Fi HaLow ещё передаёт видео, становится меньше минимальной, необходимой для передачи видео. Кроме того, сигнал 2,4 ГГц сильнее ос</w:t>
      </w:r>
      <w:r>
        <w:t xml:space="preserve">лабляется препятствиями, а диапазон перегружен бытовыми сетями. Научно-технический уровень оценён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</w:t>
      </w:r>
      <w:r>
        <w:t>отрасли уже сейчас, однако дальность ограничивает его применение в срок 3–5 лет — 7 баллов.</w:t>
      </w:r>
    </w:p>
    <w:p w:rsidR="00410E6D" w:rsidRDefault="00CA7BBA">
      <w:r>
        <w:t>Wi-Fi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</w:t>
      </w:r>
      <w:r>
        <w:t xml:space="preserve">стики канала в работе получены измерением на серийной плате и сопоставлены с моделями распространения радиоволн; сравнение с Wi-Fi 2,4 ГГц выполнено на той же паре плат, сравнение с LoRa — по опубликованным данным, поскольку радиомодуля LoRa на плате нет. </w:t>
      </w:r>
      <w:r>
        <w:t>Такой результат находится на уровне мировых исследований технологии — 7 баллов. Технология новая: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</w:t>
      </w:r>
      <w:r>
        <w:t>ой инфраструктуры, растёт, — перспективность 7 баллов. Результаты получены на недорогой серийной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</w:t>
      </w:r>
      <w:r>
        <w:t>енки сведены в таблицу 4.1.</w:t>
      </w:r>
    </w:p>
    <w:p w:rsidR="00410E6D" w:rsidRDefault="00CA7BBA">
      <w:pPr>
        <w:pStyle w:val="TableCaption"/>
      </w:pPr>
      <w:r>
        <w:t>Таблица 4.1 – Научно-технический эффект НТПр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8"/>
        <w:gridCol w:w="1474"/>
        <w:gridCol w:w="1587"/>
        <w:gridCol w:w="1587"/>
        <w:gridCol w:w="1587"/>
      </w:tblGrid>
      <w:tr w:rsidR="00410E6D">
        <w:trPr>
          <w:cantSplit/>
          <w:tblHeader/>
          <w:jc w:val="center"/>
        </w:trPr>
        <w:tc>
          <w:tcPr>
            <w:tcW w:w="3118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</w:rPr>
              <w:t>Признак научно-технического эффекта НТПр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</w:rPr>
              <w:t>Значимость признака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</w:rPr>
              <w:t>База 1: LoRa, баллы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</w:rPr>
              <w:t>База 2: Wi-Fi 2,4 ГГц, баллы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</w:rPr>
              <w:t>НТПр: Wi-Fi HaLow, баллы</w:t>
            </w:r>
          </w:p>
        </w:tc>
      </w:tr>
      <w:tr w:rsidR="00410E6D">
        <w:trPr>
          <w:cantSplit/>
          <w:jc w:val="center"/>
        </w:trPr>
        <w:tc>
          <w:tcPr>
            <w:tcW w:w="3118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t>Научно-технический уровень (новизна) НТПр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0,4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7</w:t>
            </w:r>
          </w:p>
        </w:tc>
      </w:tr>
      <w:tr w:rsidR="00410E6D">
        <w:trPr>
          <w:cantSplit/>
          <w:jc w:val="center"/>
        </w:trPr>
        <w:tc>
          <w:tcPr>
            <w:tcW w:w="3118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t>Перспективность НТПр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0,4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4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7</w:t>
            </w:r>
          </w:p>
        </w:tc>
      </w:tr>
      <w:tr w:rsidR="00410E6D">
        <w:trPr>
          <w:cantSplit/>
          <w:jc w:val="center"/>
        </w:trPr>
        <w:tc>
          <w:tcPr>
            <w:tcW w:w="3118" w:type="dxa"/>
            <w:vAlign w:val="center"/>
          </w:tcPr>
          <w:p w:rsidR="00410E6D" w:rsidRDefault="00CA7BBA">
            <w:pPr>
              <w:pStyle w:val="TableText"/>
            </w:pPr>
            <w:r>
              <w:t>Возможность применения результатов НТПр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t>0,2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t>2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t>7</w:t>
            </w:r>
          </w:p>
        </w:tc>
        <w:tc>
          <w:tcPr>
            <w:tcW w:w="1587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t>8</w:t>
            </w:r>
          </w:p>
        </w:tc>
      </w:tr>
    </w:tbl>
    <w:p w:rsidR="00410E6D" w:rsidRDefault="00410E6D">
      <w:pPr>
        <w:spacing w:line="240" w:lineRule="auto"/>
      </w:pPr>
    </w:p>
    <w:p w:rsidR="00410E6D" w:rsidRDefault="00CA7BBA">
      <w:pPr>
        <w:keepNext/>
      </w:pPr>
      <w:r>
        <w:lastRenderedPageBreak/>
        <w:t>Индекс научно-технической прогрессивности определяется для каждой базы по формуле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10E6D">
        <w:trPr>
          <w:jc w:val="center"/>
        </w:trPr>
        <w:tc>
          <w:tcPr>
            <w:tcW w:w="1020" w:type="dxa"/>
            <w:vAlign w:val="center"/>
          </w:tcPr>
          <w:p w:rsidR="00410E6D" w:rsidRDefault="00410E6D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410E6D" w:rsidRDefault="00CA7BBA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 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 Б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Formula"/>
              <w:jc w:val="right"/>
            </w:pPr>
            <w:r>
              <w:t>(4.1)</w:t>
            </w:r>
          </w:p>
        </w:tc>
      </w:tr>
    </w:tbl>
    <w:p w:rsidR="00410E6D" w:rsidRDefault="00CA7BBA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 w:rsidR="00410E6D" w:rsidRDefault="00CA7BBA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10E6D">
        <w:trPr>
          <w:jc w:val="center"/>
        </w:trPr>
        <w:tc>
          <w:tcPr>
            <w:tcW w:w="1020" w:type="dxa"/>
            <w:vAlign w:val="center"/>
          </w:tcPr>
          <w:p w:rsidR="00410E6D" w:rsidRDefault="00410E6D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410E6D" w:rsidRDefault="00CA7BBA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 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Нi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7·0,4 + 7·0,4 + 8·0,2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0,4 + 0,4 + 0,2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7,2,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Formula"/>
              <w:jc w:val="right"/>
            </w:pPr>
            <w:r>
              <w:t>(4.2)</w:t>
            </w:r>
          </w:p>
        </w:tc>
      </w:tr>
    </w:tbl>
    <w:p w:rsidR="00410E6D" w:rsidRDefault="00CA7BBA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Нi</m:t>
            </m:r>
          </m:sub>
        </m:sSub>
      </m:oMath>
      <w:r>
        <w:t xml:space="preserve"> – значение показателя i-го признака НТПр, явл</w:t>
      </w:r>
      <w:r>
        <w:t>яющейся результатом дипломной работы, баллы (таблица 4.1);</w:t>
      </w:r>
    </w:p>
    <w:p w:rsidR="00410E6D" w:rsidRDefault="00CA7BBA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10E6D">
        <w:trPr>
          <w:jc w:val="center"/>
        </w:trPr>
        <w:tc>
          <w:tcPr>
            <w:tcW w:w="1020" w:type="dxa"/>
            <w:vAlign w:val="center"/>
          </w:tcPr>
          <w:p w:rsidR="00410E6D" w:rsidRDefault="00410E6D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410E6D" w:rsidRDefault="00CA7BBA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 Б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Бi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Formula"/>
              <w:jc w:val="right"/>
            </w:pPr>
            <w:r>
              <w:t>(4.3)</w:t>
            </w:r>
          </w:p>
        </w:tc>
      </w:tr>
    </w:tbl>
    <w:p w:rsidR="00410E6D" w:rsidRDefault="00CA7BBA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Бi</m:t>
            </m:r>
          </m:sub>
        </m:sSub>
      </m:oMath>
      <w:r>
        <w:t xml:space="preserve"> – значение показателя i-го признака НТПр, выбранной за базу для сравнен</w:t>
      </w:r>
      <w:r>
        <w:t>ия, баллы (таблица 4.1). Для LoRa и Wi-Fi 2,4 ГГц:</w:t>
      </w:r>
    </w:p>
    <w:p w:rsidR="00410E6D" w:rsidRDefault="00CA7BBA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Н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 Б1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5·0,4 + 4·0,4 + 2·0,2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 + 0,4 + 0,2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4,0;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Н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 Б2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5·0,4 + 5·0,4 + 7·0,2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 + 0,4 + 0,2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5,4.</m:t>
          </m:r>
        </m:oMath>
      </m:oMathPara>
    </w:p>
    <w:p w:rsidR="00410E6D" w:rsidRDefault="00CA7BBA">
      <w:pPr>
        <w:keepNext/>
      </w:pPr>
      <w:r>
        <w:t xml:space="preserve">Подставляя полученные значения в формулу (4.1), получаем индексы научно-технической </w:t>
      </w:r>
      <w:r>
        <w:t>прогрессивности относительно LoRa и Wi-Fi 2,4 ГГц:</w:t>
      </w:r>
    </w:p>
    <w:p w:rsidR="00410E6D" w:rsidRDefault="00CA7BBA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4,0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1,80;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5,4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1,33.</m:t>
          </m:r>
        </m:oMath>
      </m:oMathPara>
    </w:p>
    <w:p w:rsidR="00410E6D" w:rsidRDefault="00CA7BBA"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</w:t>
      </w:r>
      <w:r>
        <w:t xml:space="preserve">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</w:t>
      </w:r>
      <w:r>
        <w:t>2,4 ГГц, равный 1,33.</w:t>
      </w:r>
    </w:p>
    <w:p w:rsidR="00410E6D" w:rsidRDefault="00CA7BBA">
      <w:r>
        <w:lastRenderedPageBreak/>
        <w:t xml:space="preserve"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</w:t>
      </w:r>
      <w:r>
        <w:t>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</w:t>
      </w:r>
      <w:r>
        <w:t>чной шкале методики [42]: принципиально новое — 5 баллов, новое — 3, улучшенное — 2, существующего уровня — 1, устаревшее — 0. Оценка приведена в таблице 4.2.</w:t>
      </w:r>
    </w:p>
    <w:p w:rsidR="00410E6D" w:rsidRDefault="00CA7BBA">
      <w:pPr>
        <w:pStyle w:val="TableCaption"/>
      </w:pPr>
      <w:r>
        <w:t>Таблица 4.2 – Оценка новизны НТПр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84"/>
        <w:gridCol w:w="4706"/>
        <w:gridCol w:w="1701"/>
        <w:gridCol w:w="964"/>
      </w:tblGrid>
      <w:tr w:rsidR="00410E6D">
        <w:trPr>
          <w:cantSplit/>
          <w:tblHeader/>
          <w:jc w:val="center"/>
        </w:trPr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w="4706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w="170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w="96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 w:rsidR="00410E6D">
        <w:trPr>
          <w:cantSplit/>
          <w:jc w:val="center"/>
        </w:trPr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Функциональ</w:t>
            </w:r>
            <w:r>
              <w:rPr>
                <w:sz w:val="22"/>
              </w:rPr>
              <w:t>ный</w:t>
            </w:r>
          </w:p>
        </w:tc>
        <w:tc>
          <w:tcPr>
            <w:tcW w:w="4706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w="170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w="96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 w:rsidR="00410E6D">
        <w:trPr>
          <w:cantSplit/>
          <w:jc w:val="center"/>
        </w:trPr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w="4706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w="170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w="96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 w:rsidR="00410E6D">
        <w:trPr>
          <w:cantSplit/>
          <w:jc w:val="center"/>
        </w:trPr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w="4706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 xml:space="preserve">используются </w:t>
            </w:r>
            <w:r>
              <w:rPr>
                <w:sz w:val="22"/>
              </w:rPr>
              <w:t>серийные платы без доработки аппаратной части</w:t>
            </w:r>
          </w:p>
        </w:tc>
        <w:tc>
          <w:tcPr>
            <w:tcW w:w="170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410E6D">
        <w:trPr>
          <w:cantSplit/>
          <w:jc w:val="center"/>
        </w:trPr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Социальный</w:t>
            </w:r>
          </w:p>
        </w:tc>
        <w:tc>
          <w:tcPr>
            <w:tcW w:w="4706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w="170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410E6D">
        <w:trPr>
          <w:cantSplit/>
          <w:jc w:val="center"/>
        </w:trPr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Юридический</w:t>
            </w:r>
          </w:p>
        </w:tc>
        <w:tc>
          <w:tcPr>
            <w:tcW w:w="4706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w="170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410E6D">
        <w:trPr>
          <w:cantSplit/>
          <w:jc w:val="center"/>
        </w:trPr>
        <w:tc>
          <w:tcPr>
            <w:tcW w:w="8391" w:type="dxa"/>
            <w:gridSpan w:val="3"/>
            <w:vAlign w:val="center"/>
          </w:tcPr>
          <w:p w:rsidR="00410E6D" w:rsidRDefault="00CA7BBA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964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 w:rsidR="00410E6D" w:rsidRDefault="00410E6D">
      <w:pPr>
        <w:spacing w:line="240" w:lineRule="auto"/>
      </w:pPr>
    </w:p>
    <w:p w:rsidR="00410E6D" w:rsidRDefault="00CA7BBA">
      <w:pPr>
        <w:keepNext/>
      </w:pPr>
      <w:r>
        <w:t>Коэффициент новизны</w:t>
      </w:r>
      <w:r>
        <w:t xml:space="preserve"> определяется по формуле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10E6D">
        <w:trPr>
          <w:jc w:val="center"/>
        </w:trPr>
        <w:tc>
          <w:tcPr>
            <w:tcW w:w="1020" w:type="dxa"/>
            <w:vAlign w:val="center"/>
          </w:tcPr>
          <w:p w:rsidR="00410E6D" w:rsidRDefault="00410E6D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410E6D" w:rsidRDefault="00CA7BBA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К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0,32,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Formula"/>
              <w:jc w:val="right"/>
            </w:pPr>
            <w:r>
              <w:t>(4.4)</w:t>
            </w:r>
          </w:p>
        </w:tc>
      </w:tr>
    </w:tbl>
    <w:p w:rsidR="00410E6D" w:rsidRDefault="00CA7BBA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К</m:t>
            </m:r>
          </m:sub>
        </m:sSub>
      </m:oMath>
      <w:r>
        <w:t xml:space="preserve"> – сумма набранных баллов;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</m:t>
            </m:r>
          </m:sub>
        </m:sSub>
      </m:oMath>
      <w:r>
        <w:t xml:space="preserve"> – максимальная сумма баллов по всем критериям (25).</w:t>
      </w:r>
    </w:p>
    <w:p w:rsidR="00410E6D" w:rsidRDefault="00CA7BBA">
      <w:r>
        <w:t xml:space="preserve">Так как значение коэффициента больше 0,2, НИР обладает удовлетворительной новизной и её проведение </w:t>
      </w:r>
      <w:r>
        <w:t>целесообразно. Результат является новым по функциональному критерию и улучшенным по технологическому. Период эффективности новых технологий 2–3 года [42] согласуется с принятым сроком применения результатов — до 3 лет.</w:t>
      </w:r>
    </w:p>
    <w:p w:rsidR="00410E6D" w:rsidRDefault="00CA7BBA">
      <w:pPr>
        <w:pStyle w:val="21"/>
      </w:pPr>
      <w:r>
        <w:t>4.2 Планирование разработки</w:t>
      </w:r>
    </w:p>
    <w:p w:rsidR="00410E6D" w:rsidRDefault="00CA7BBA">
      <w:r>
        <w:t>После под</w:t>
      </w:r>
      <w:r>
        <w:t xml:space="preserve">тверждения целесообразности НИР ключевым этапом её планирования становятся расчёт трудоёмкости и построение сетевого графика. Затраты труда и его оплата составляют основную часть себестоимости исследования, а сетевой график </w:t>
      </w:r>
      <w:r>
        <w:lastRenderedPageBreak/>
        <w:t>показывает, в какой последовател</w:t>
      </w:r>
      <w:r>
        <w:t>ьности выполняются работы, какие из них можно вести параллельно и укладывается ли НИР в заданный срок. По методике [42] НИР делится на четыре стадии:</w:t>
      </w:r>
    </w:p>
    <w:p w:rsidR="00410E6D" w:rsidRDefault="00CA7BBA">
      <w:r>
        <w:t>– подготовительная стадия — составление задания на НИР, сбор и анализ информационных материалов, технико-э</w:t>
      </w:r>
      <w:r>
        <w:t>кономическое обоснование;</w:t>
      </w:r>
    </w:p>
    <w:p w:rsidR="00410E6D" w:rsidRDefault="00CA7BBA">
      <w:r>
        <w:t>– теоретическая разработка — основа исследования: выбор моделей и методики, подготовка средств проведения эксперимента;</w:t>
      </w:r>
    </w:p>
    <w:p w:rsidR="00410E6D" w:rsidRDefault="00CA7BBA">
      <w:r>
        <w:t>– экспериментальные работы — проверка и уточнение теоретических положений измерениями;</w:t>
      </w:r>
    </w:p>
    <w:p w:rsidR="00410E6D" w:rsidRDefault="00CA7BBA">
      <w:r>
        <w:t>– заключительная стадия</w:t>
      </w:r>
      <w:r>
        <w:t xml:space="preserve"> — оформление отчёта, оценка значимости полученных результатов и перспектив их применения.</w:t>
      </w:r>
    </w:p>
    <w:p w:rsidR="00410E6D" w:rsidRDefault="00CA7BBA">
      <w:r>
        <w:t>Структура и доли трудоёмкости работ установлены заданием на ВКР и соотнесены с перечисленными стадиями в таблице 4.3.</w:t>
      </w:r>
    </w:p>
    <w:p w:rsidR="00410E6D" w:rsidRDefault="00CA7BBA">
      <w:pPr>
        <w:pStyle w:val="TableCaption"/>
      </w:pPr>
      <w:r>
        <w:t>Таблица 4.3 – Стадии работ, выполняемые при про</w:t>
      </w:r>
      <w:r>
        <w:t>ведении НИР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551"/>
        <w:gridCol w:w="4819"/>
        <w:gridCol w:w="1984"/>
      </w:tblGrid>
      <w:tr w:rsidR="00410E6D">
        <w:trPr>
          <w:cantSplit/>
          <w:tblHeader/>
          <w:jc w:val="center"/>
        </w:trPr>
        <w:tc>
          <w:tcPr>
            <w:tcW w:w="255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 w:rsidR="00410E6D">
        <w:trPr>
          <w:cantSplit/>
          <w:jc w:val="center"/>
        </w:trPr>
        <w:tc>
          <w:tcPr>
            <w:tcW w:w="2551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 w:rsidR="00410E6D">
        <w:trPr>
          <w:cantSplit/>
          <w:jc w:val="center"/>
        </w:trPr>
        <w:tc>
          <w:tcPr>
            <w:tcW w:w="2551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 xml:space="preserve">Обоснование </w:t>
            </w:r>
            <w:r>
              <w:rPr>
                <w:sz w:val="22"/>
              </w:rPr>
              <w:t>эксперимента, методика экспериментов, выбор и настройка аппаратных и программных средств</w:t>
            </w:r>
          </w:p>
        </w:tc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 w:rsidR="00410E6D">
        <w:trPr>
          <w:cantSplit/>
          <w:jc w:val="center"/>
        </w:trPr>
        <w:tc>
          <w:tcPr>
            <w:tcW w:w="2551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 w:rsidR="00410E6D">
        <w:trPr>
          <w:cantSplit/>
          <w:jc w:val="center"/>
        </w:trPr>
        <w:tc>
          <w:tcPr>
            <w:tcW w:w="2551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 w:rsidR="00410E6D">
        <w:trPr>
          <w:cantSplit/>
          <w:jc w:val="center"/>
        </w:trPr>
        <w:tc>
          <w:tcPr>
            <w:tcW w:w="2551" w:type="dxa"/>
            <w:vAlign w:val="center"/>
          </w:tcPr>
          <w:p w:rsidR="00410E6D" w:rsidRDefault="00CA7BBA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4819" w:type="dxa"/>
            <w:vAlign w:val="center"/>
          </w:tcPr>
          <w:p w:rsidR="00410E6D" w:rsidRDefault="00410E6D">
            <w:pPr>
              <w:pStyle w:val="TableText"/>
            </w:pPr>
          </w:p>
        </w:tc>
        <w:tc>
          <w:tcPr>
            <w:tcW w:w="1984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 w:rsidR="00410E6D" w:rsidRDefault="00410E6D">
      <w:pPr>
        <w:spacing w:line="240" w:lineRule="auto"/>
      </w:pPr>
    </w:p>
    <w:p w:rsidR="00410E6D" w:rsidRDefault="00CA7BBA">
      <w:pPr>
        <w:keepNext/>
      </w:pPr>
      <w:r>
        <w:t>Сетевой график — наглядный способ представить структуру работ и их сроки. Для его построения определяется перечень работ и событий — м</w:t>
      </w:r>
      <w:r>
        <w:t>оментов окончания одних работ и начала других. Перечень приведён в таблице 4.4, продолжительность — в календарных днях. Продолжительность работ НИР заранее точно не известна и зависит от многих факторов, поэтому для каждой работы задаётся минимальная оценк</w:t>
      </w:r>
      <w:r>
        <w:t xml:space="preserve">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t xml:space="preserve"> — при наиболее неблагоприятном; ожидаемая продолжительность [42]: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10E6D">
        <w:trPr>
          <w:jc w:val="center"/>
        </w:trPr>
        <w:tc>
          <w:tcPr>
            <w:tcW w:w="1020" w:type="dxa"/>
            <w:vAlign w:val="center"/>
          </w:tcPr>
          <w:p w:rsidR="00410E6D" w:rsidRDefault="00410E6D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410E6D" w:rsidRDefault="00CA7BBA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ож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+ 2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Formula"/>
              <w:jc w:val="right"/>
            </w:pPr>
            <w:r>
              <w:t>(4.5)</w:t>
            </w:r>
          </w:p>
        </w:tc>
      </w:tr>
    </w:tbl>
    <w:p w:rsidR="00410E6D" w:rsidRDefault="00CA7BBA">
      <w:pPr>
        <w:pStyle w:val="TableCaption"/>
      </w:pPr>
      <w:r>
        <w:lastRenderedPageBreak/>
        <w:t>Таблица 4.4 – Продолжительность работ НИР, кал. дн.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54"/>
        <w:gridCol w:w="5159"/>
        <w:gridCol w:w="1020"/>
        <w:gridCol w:w="1020"/>
        <w:gridCol w:w="567"/>
        <w:gridCol w:w="567"/>
        <w:gridCol w:w="567"/>
      </w:tblGrid>
      <w:tr w:rsidR="00410E6D">
        <w:trPr>
          <w:cantSplit/>
          <w:tblHeader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5159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515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515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515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0"/>
              </w:rPr>
              <w:t xml:space="preserve">Разработка </w:t>
            </w:r>
            <w:r>
              <w:rPr>
                <w:sz w:val="20"/>
              </w:rPr>
              <w:t>программного обеспечения стенда: передача видео и регистрация показателей канала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15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15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15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0"/>
              </w:rPr>
              <w:t xml:space="preserve">Обработка </w:t>
            </w:r>
            <w:r>
              <w:rPr>
                <w:sz w:val="20"/>
              </w:rPr>
              <w:t>результатов, сравнение с теоретической оценкой и другими протоколами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515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0"/>
              </w:rPr>
              <w:t>Экономическая часть, охрана труда и оформление отчёта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 w:rsidR="00410E6D">
        <w:trPr>
          <w:cantSplit/>
          <w:jc w:val="center"/>
        </w:trPr>
        <w:tc>
          <w:tcPr>
            <w:tcW w:w="7653" w:type="dxa"/>
            <w:gridSpan w:val="4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rPr>
                <w:b/>
                <w:sz w:val="20"/>
              </w:rPr>
              <w:t>60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rPr>
                <w:b/>
                <w:sz w:val="20"/>
              </w:rPr>
              <w:t>88</w:t>
            </w:r>
          </w:p>
        </w:tc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rPr>
                <w:b/>
                <w:sz w:val="20"/>
              </w:rPr>
              <w:t>70</w:t>
            </w:r>
          </w:p>
        </w:tc>
      </w:tr>
    </w:tbl>
    <w:p w:rsidR="00410E6D" w:rsidRDefault="00410E6D">
      <w:pPr>
        <w:spacing w:line="240" w:lineRule="auto"/>
      </w:pPr>
    </w:p>
    <w:p w:rsidR="00410E6D" w:rsidRDefault="00CA7BBA">
      <w:r>
        <w:t xml:space="preserve">Инженер-исследователь последовательно выполняет теоретическую </w:t>
      </w:r>
      <w:r>
        <w:t>оценку характеристик канала (работа 2–3) и разрабатывает методику экспериментов (работа 3–4), а инженер-программист параллельно с ним разрабатывает программное обеспечение стенда (работа 2–4). Измерения (работа 4–5) начинаются после завершения обеих ветвей</w:t>
      </w:r>
      <w:r>
        <w:t>. Построенный сетевой график представлен на рисунке 4.1.</w:t>
      </w:r>
    </w:p>
    <w:p w:rsidR="00410E6D" w:rsidRDefault="00CA7BBA">
      <w:pPr>
        <w:keepNext/>
        <w:ind w:firstLine="0"/>
        <w:jc w:val="center"/>
      </w:pPr>
      <w:r>
        <w:rPr>
          <w:noProof/>
          <w:lang w:bidi="ar-SA"/>
        </w:rPr>
        <w:drawing>
          <wp:inline distT="0" distB="0" distL="0" distR="0">
            <wp:extent cx="5940000" cy="171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E6D" w:rsidRDefault="00CA7BBA">
      <w:pPr>
        <w:ind w:firstLine="0"/>
        <w:jc w:val="center"/>
      </w:pPr>
      <w:r>
        <w:t>Рисунок 4.1 – Сетевой график НИР (у стрелки — ожидаемая продолжительность, кал. дн.; жирные стрелки — критический путь)</w:t>
      </w:r>
    </w:p>
    <w:p w:rsidR="00410E6D" w:rsidRDefault="00CA7BBA">
      <w:r>
        <w:t>Обе ветви графика от события 2 до события 4 имеют одинаковую длительность, по</w:t>
      </w:r>
      <w:r>
        <w:t>этому критическими являются пути 1–2–3–4–5–6–7 и 1–2–4–5–6–7, их длина составит 70 дней. Резервов времени у работ нет, и ни один исполнитель не простаивает в ожидании результатов другого. Максимальная возможная длительность выполнения НИР составит 88 кален</w:t>
      </w:r>
      <w:r>
        <w:t>дарных дней, что удовлетворяет требованиям на срок выполнения дипломной работы, который определён с 29.09.2026 по 25.12.2026 и составляет 88 календарных дней. При ожидаемой продолжительности работ НИР завершается 07.12.2026.</w:t>
      </w:r>
    </w:p>
    <w:p w:rsidR="00410E6D" w:rsidRDefault="00CA7BBA">
      <w:pPr>
        <w:pStyle w:val="21"/>
      </w:pPr>
      <w:r>
        <w:lastRenderedPageBreak/>
        <w:t>4.3 Определение затрат, себесто</w:t>
      </w:r>
      <w:r>
        <w:t>имости и цены разработки</w:t>
      </w:r>
    </w:p>
    <w:p w:rsidR="00410E6D" w:rsidRDefault="00CA7BBA"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произведением тру</w:t>
      </w:r>
      <w:r>
        <w:t>доёмкости работы на дневную ставку исполнителя [42].</w:t>
      </w:r>
    </w:p>
    <w:p w:rsidR="00410E6D" w:rsidRDefault="00CA7BBA"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 — радиоинже</w:t>
      </w:r>
      <w:r>
        <w:t>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трассе, управ</w:t>
      </w:r>
      <w:r>
        <w:t xml:space="preserve">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регистрирующие </w:t>
      </w:r>
      <w:r>
        <w:t xml:space="preserve">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Его участие </w:t>
      </w:r>
      <w:r>
        <w:t>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 w:rsidR="00410E6D" w:rsidRDefault="00CA7BBA">
      <w:r>
        <w:t>Месячные оклады исполнителей приняты по д</w:t>
      </w:r>
      <w:r>
        <w:t xml:space="preserve">анным рынка труда г. Москвы для специалистов соответствующей квалификации [43]: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</w:t>
      </w:r>
      <w:r>
        <w:t>247 рабочих дней 2026 г. [44].</w:t>
      </w:r>
    </w:p>
    <w:p w:rsidR="00410E6D" w:rsidRDefault="00CA7BBA"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 w:rsidR="00410E6D" w:rsidRDefault="00CA7BBA">
      <w:pPr>
        <w:pStyle w:val="TableCaption"/>
      </w:pPr>
      <w:r>
        <w:lastRenderedPageBreak/>
        <w:t>Таблица 4.5 – Расчёт заработной платы исполн</w:t>
      </w:r>
      <w:r>
        <w:t>ителей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20"/>
        <w:gridCol w:w="1474"/>
        <w:gridCol w:w="2948"/>
        <w:gridCol w:w="1247"/>
        <w:gridCol w:w="1361"/>
        <w:gridCol w:w="1474"/>
      </w:tblGrid>
      <w:tr w:rsidR="00410E6D">
        <w:trPr>
          <w:cantSplit/>
          <w:tblHeader/>
          <w:jc w:val="center"/>
        </w:trPr>
        <w:tc>
          <w:tcPr>
            <w:tcW w:w="1020" w:type="dxa"/>
            <w:vMerge w:val="restart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w="1474" w:type="dxa"/>
            <w:vMerge w:val="restart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w="4195" w:type="dxa"/>
            <w:gridSpan w:val="2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w="1361" w:type="dxa"/>
            <w:vMerge w:val="restart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w="1474" w:type="dxa"/>
            <w:vMerge w:val="restart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 w:rsidR="00410E6D">
        <w:trPr>
          <w:cantSplit/>
          <w:tblHeader/>
          <w:jc w:val="center"/>
        </w:trPr>
        <w:tc>
          <w:tcPr>
            <w:tcW w:w="1020" w:type="dxa"/>
            <w:vMerge/>
            <w:vAlign w:val="center"/>
          </w:tcPr>
          <w:p w:rsidR="00410E6D" w:rsidRDefault="00410E6D">
            <w:pPr>
              <w:keepNext/>
            </w:pPr>
          </w:p>
        </w:tc>
        <w:tc>
          <w:tcPr>
            <w:tcW w:w="1474" w:type="dxa"/>
            <w:vMerge/>
            <w:vAlign w:val="center"/>
          </w:tcPr>
          <w:p w:rsidR="00410E6D" w:rsidRDefault="00410E6D">
            <w:pPr>
              <w:keepNext/>
            </w:pPr>
          </w:p>
        </w:tc>
        <w:tc>
          <w:tcPr>
            <w:tcW w:w="2948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w="1361" w:type="dxa"/>
            <w:vMerge/>
            <w:vAlign w:val="center"/>
          </w:tcPr>
          <w:p w:rsidR="00410E6D" w:rsidRDefault="00410E6D">
            <w:pPr>
              <w:keepNext/>
            </w:pPr>
          </w:p>
        </w:tc>
        <w:tc>
          <w:tcPr>
            <w:tcW w:w="1474" w:type="dxa"/>
            <w:vMerge/>
            <w:vAlign w:val="center"/>
          </w:tcPr>
          <w:p w:rsidR="00410E6D" w:rsidRDefault="00410E6D">
            <w:pPr>
              <w:keepNext/>
            </w:pPr>
          </w:p>
        </w:tc>
      </w:tr>
      <w:tr w:rsidR="00410E6D">
        <w:trPr>
          <w:cantSplit/>
          <w:jc w:val="center"/>
        </w:trPr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2948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 w:rsidR="00410E6D">
        <w:trPr>
          <w:cantSplit/>
          <w:jc w:val="center"/>
        </w:trPr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2948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 w:rsidR="00410E6D">
        <w:trPr>
          <w:cantSplit/>
          <w:jc w:val="center"/>
        </w:trPr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2948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 w:rsidR="00410E6D">
        <w:trPr>
          <w:cantSplit/>
          <w:jc w:val="center"/>
        </w:trPr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2948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 w:rsidR="00410E6D">
        <w:trPr>
          <w:cantSplit/>
          <w:jc w:val="center"/>
        </w:trPr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w="2948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 w:rsidR="00410E6D">
        <w:trPr>
          <w:cantSplit/>
          <w:jc w:val="center"/>
        </w:trPr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2948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 w:rsidR="00410E6D">
        <w:trPr>
          <w:cantSplit/>
          <w:jc w:val="center"/>
        </w:trPr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2948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Техник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52 440</w:t>
            </w:r>
          </w:p>
        </w:tc>
      </w:tr>
      <w:tr w:rsidR="00410E6D">
        <w:trPr>
          <w:cantSplit/>
          <w:jc w:val="center"/>
        </w:trPr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rPr>
                <w:b/>
                <w:sz w:val="22"/>
              </w:rPr>
              <w:t>87</w:t>
            </w:r>
          </w:p>
        </w:tc>
        <w:tc>
          <w:tcPr>
            <w:tcW w:w="2948" w:type="dxa"/>
            <w:vAlign w:val="center"/>
          </w:tcPr>
          <w:p w:rsidR="00410E6D" w:rsidRDefault="00410E6D">
            <w:pPr>
              <w:pStyle w:val="TableText"/>
            </w:pPr>
          </w:p>
        </w:tc>
        <w:tc>
          <w:tcPr>
            <w:tcW w:w="1247" w:type="dxa"/>
            <w:vAlign w:val="center"/>
          </w:tcPr>
          <w:p w:rsidR="00410E6D" w:rsidRDefault="00410E6D">
            <w:pPr>
              <w:pStyle w:val="TableText"/>
              <w:jc w:val="center"/>
            </w:pPr>
          </w:p>
        </w:tc>
        <w:tc>
          <w:tcPr>
            <w:tcW w:w="1361" w:type="dxa"/>
            <w:vAlign w:val="center"/>
          </w:tcPr>
          <w:p w:rsidR="00410E6D" w:rsidRDefault="00410E6D">
            <w:pPr>
              <w:pStyle w:val="TableText"/>
              <w:jc w:val="center"/>
            </w:pPr>
          </w:p>
        </w:tc>
        <w:tc>
          <w:tcPr>
            <w:tcW w:w="1474" w:type="dxa"/>
            <w:vAlign w:val="center"/>
          </w:tcPr>
          <w:p w:rsidR="00410E6D" w:rsidRDefault="00CA7BBA">
            <w:pPr>
              <w:pStyle w:val="TableText"/>
              <w:jc w:val="right"/>
            </w:pPr>
            <w:r>
              <w:rPr>
                <w:b/>
                <w:sz w:val="22"/>
              </w:rPr>
              <w:t>455 440</w:t>
            </w:r>
          </w:p>
        </w:tc>
      </w:tr>
    </w:tbl>
    <w:p w:rsidR="00410E6D" w:rsidRDefault="00410E6D">
      <w:pPr>
        <w:spacing w:line="240" w:lineRule="auto"/>
      </w:pPr>
    </w:p>
    <w:p w:rsidR="00410E6D" w:rsidRDefault="00CA7BBA">
      <w:pPr>
        <w:keepNext/>
      </w:pPr>
      <w:r>
        <w:t>Суммарные затраты на заработную плату:</w:t>
      </w:r>
    </w:p>
    <w:p w:rsidR="00410E6D" w:rsidRDefault="00CA7BBA">
      <w:pPr>
        <w:pStyle w:val="Formula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55 000 + 50 000 + 85 000 + 35 000 + 110 000 + 68 000 + 52 440 = 455 440 руб.</m:t>
          </m:r>
        </m:oMath>
      </m:oMathPara>
    </w:p>
    <w:p w:rsidR="00410E6D" w:rsidRDefault="00CA7BBA">
      <w:pPr>
        <w:keepNext/>
      </w:pPr>
      <w:r>
        <w:t>Помимо основных выплат исполнителям предусмотрена премия 20 % [42] за добросовестное выполнение и своевременную сдачу этапов НИР. Фонд оплаты труда, выделяемый на НИР:</w:t>
      </w:r>
    </w:p>
    <w:p w:rsidR="00410E6D" w:rsidRDefault="00CA7BBA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ЗП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1,2·455 440 = 546 528 руб.</m:t>
          </m:r>
        </m:oMath>
      </m:oMathPara>
    </w:p>
    <w:p w:rsidR="00410E6D" w:rsidRDefault="00CA7BBA"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[45] и взносы на страховани</w:t>
      </w:r>
      <w:r>
        <w:t>е от несчастных случаев на производстве 0,2 %. Эти средства включают:</w:t>
      </w:r>
    </w:p>
    <w:p w:rsidR="00410E6D" w:rsidRDefault="00CA7BBA">
      <w:r>
        <w:t>– 22 % — на обязательное пенсионное страхование;</w:t>
      </w:r>
    </w:p>
    <w:p w:rsidR="00410E6D" w:rsidRDefault="00CA7BBA">
      <w:r>
        <w:t>– 5,1 % — на обязательное медицинское страхование;</w:t>
      </w:r>
    </w:p>
    <w:p w:rsidR="00410E6D" w:rsidRDefault="00CA7BBA">
      <w:r>
        <w:t xml:space="preserve">– 2,9 % — на обязательное социальное страхование на случай временной </w:t>
      </w:r>
      <w:r>
        <w:t>нетрудоспособности и в связи с материнством;</w:t>
      </w:r>
    </w:p>
    <w:p w:rsidR="00410E6D" w:rsidRDefault="00CA7BBA">
      <w:r>
        <w:t>– 0,2 % — на страхование от несчастных случаев на производстве и профессиональных заболеваний.</w:t>
      </w:r>
    </w:p>
    <w:p w:rsidR="00410E6D" w:rsidRDefault="00CA7BBA">
      <w:pPr>
        <w:keepNext/>
      </w:pPr>
      <w:r>
        <w:t>Отчисления на социальные нужды:</w:t>
      </w:r>
    </w:p>
    <w:p w:rsidR="00410E6D" w:rsidRDefault="00CA7BBA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СОЦ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0,302·546 528 = 165 051 руб.</m:t>
          </m:r>
        </m:oMath>
      </m:oMathPara>
    </w:p>
    <w:p w:rsidR="00410E6D" w:rsidRDefault="00CA7BBA">
      <w:pPr>
        <w:keepNext/>
      </w:pPr>
      <w:r>
        <w:t xml:space="preserve">Материальные, накладные и прочие расходы на НИР </w:t>
      </w:r>
      <w:r>
        <w:t xml:space="preserve">определим исходя из принятой оценки удельного веса расходов на оплату труда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</m:oMath>
      <w:r>
        <w:t xml:space="preserve"> в себестоимости [42]: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10E6D">
        <w:trPr>
          <w:jc w:val="center"/>
        </w:trPr>
        <w:tc>
          <w:tcPr>
            <w:tcW w:w="1020" w:type="dxa"/>
            <w:vAlign w:val="center"/>
          </w:tcPr>
          <w:p w:rsidR="00410E6D" w:rsidRDefault="00410E6D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410E6D" w:rsidRDefault="00CA7BBA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Formula"/>
              <w:jc w:val="right"/>
            </w:pPr>
            <w:r>
              <w:t>(4.6)</w:t>
            </w:r>
          </w:p>
        </w:tc>
      </w:tr>
    </w:tbl>
    <w:p w:rsidR="00410E6D" w:rsidRDefault="00CA7BBA">
      <w:r>
        <w:t>Поэлементная укрупнённая структура затрат на НИР приведена в таблице 4.6.</w:t>
      </w:r>
    </w:p>
    <w:p w:rsidR="00410E6D" w:rsidRDefault="00CA7BBA">
      <w:pPr>
        <w:pStyle w:val="TableCaption"/>
      </w:pPr>
      <w:r>
        <w:lastRenderedPageBreak/>
        <w:t>Таблица 4.6 – Поэлементная укрупнённая структура затра</w:t>
      </w:r>
      <w:r>
        <w:t>т на НИР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7087"/>
        <w:gridCol w:w="2268"/>
      </w:tblGrid>
      <w:tr w:rsidR="00410E6D">
        <w:trPr>
          <w:cantSplit/>
          <w:tblHeader/>
          <w:jc w:val="center"/>
        </w:trPr>
        <w:tc>
          <w:tcPr>
            <w:tcW w:w="708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</w:rPr>
              <w:t>Наименование элементов затрат</w:t>
            </w:r>
          </w:p>
        </w:tc>
        <w:tc>
          <w:tcPr>
            <w:tcW w:w="2268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</w:rPr>
              <w:t>Удельный вес, %</w:t>
            </w:r>
          </w:p>
        </w:tc>
      </w:tr>
      <w:tr w:rsidR="00410E6D">
        <w:trPr>
          <w:cantSplit/>
          <w:jc w:val="center"/>
        </w:trPr>
        <w:tc>
          <w:tcPr>
            <w:tcW w:w="7087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t>Материалы, полуфабрикаты, покупные комплектующие изделия</w:t>
            </w:r>
          </w:p>
        </w:tc>
        <w:tc>
          <w:tcPr>
            <w:tcW w:w="2268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5</w:t>
            </w:r>
          </w:p>
        </w:tc>
      </w:tr>
      <w:tr w:rsidR="00410E6D">
        <w:trPr>
          <w:cantSplit/>
          <w:jc w:val="center"/>
        </w:trPr>
        <w:tc>
          <w:tcPr>
            <w:tcW w:w="7087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t>Заработная плата исполнителей</w:t>
            </w:r>
          </w:p>
        </w:tc>
        <w:tc>
          <w:tcPr>
            <w:tcW w:w="2268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40</w:t>
            </w:r>
          </w:p>
        </w:tc>
      </w:tr>
      <w:tr w:rsidR="00410E6D">
        <w:trPr>
          <w:cantSplit/>
          <w:jc w:val="center"/>
        </w:trPr>
        <w:tc>
          <w:tcPr>
            <w:tcW w:w="7087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t>Расходы на социальные нужды</w:t>
            </w:r>
          </w:p>
        </w:tc>
        <w:tc>
          <w:tcPr>
            <w:tcW w:w="2268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12</w:t>
            </w:r>
          </w:p>
        </w:tc>
      </w:tr>
      <w:tr w:rsidR="00410E6D">
        <w:trPr>
          <w:cantSplit/>
          <w:jc w:val="center"/>
        </w:trPr>
        <w:tc>
          <w:tcPr>
            <w:tcW w:w="7087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t>Накладные расходы</w:t>
            </w:r>
          </w:p>
        </w:tc>
        <w:tc>
          <w:tcPr>
            <w:tcW w:w="2268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38</w:t>
            </w:r>
          </w:p>
        </w:tc>
      </w:tr>
      <w:tr w:rsidR="00410E6D">
        <w:trPr>
          <w:cantSplit/>
          <w:jc w:val="center"/>
        </w:trPr>
        <w:tc>
          <w:tcPr>
            <w:tcW w:w="7087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t>Прочие расходы</w:t>
            </w:r>
          </w:p>
        </w:tc>
        <w:tc>
          <w:tcPr>
            <w:tcW w:w="2268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t>5</w:t>
            </w:r>
          </w:p>
        </w:tc>
      </w:tr>
      <w:tr w:rsidR="00410E6D">
        <w:trPr>
          <w:cantSplit/>
          <w:jc w:val="center"/>
        </w:trPr>
        <w:tc>
          <w:tcPr>
            <w:tcW w:w="7087" w:type="dxa"/>
            <w:vAlign w:val="center"/>
          </w:tcPr>
          <w:p w:rsidR="00410E6D" w:rsidRDefault="00CA7BBA">
            <w:pPr>
              <w:pStyle w:val="TableText"/>
            </w:pPr>
            <w:r>
              <w:rPr>
                <w:b/>
              </w:rPr>
              <w:t>Итого</w:t>
            </w:r>
          </w:p>
        </w:tc>
        <w:tc>
          <w:tcPr>
            <w:tcW w:w="2268" w:type="dxa"/>
            <w:vAlign w:val="center"/>
          </w:tcPr>
          <w:p w:rsidR="00410E6D" w:rsidRDefault="00CA7BBA">
            <w:pPr>
              <w:pStyle w:val="TableText"/>
              <w:jc w:val="center"/>
            </w:pPr>
            <w:r>
              <w:rPr>
                <w:b/>
              </w:rPr>
              <w:t>100</w:t>
            </w:r>
          </w:p>
        </w:tc>
      </w:tr>
    </w:tbl>
    <w:p w:rsidR="00410E6D" w:rsidRDefault="00410E6D">
      <w:pPr>
        <w:spacing w:line="240" w:lineRule="auto"/>
      </w:pPr>
    </w:p>
    <w:p w:rsidR="00410E6D" w:rsidRDefault="00CA7BBA">
      <w:r>
        <w:t xml:space="preserve">К материалам, </w:t>
      </w:r>
      <w:r>
        <w:t>полуфабрикатам и покупным комплектующим изделиям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принадлежности. К накла</w:t>
      </w:r>
      <w:r>
        <w:t>дным расходам — оплата электроэнергии, аренды и отопления помещения, заработной платы обслуживающего персонала, содержание вычислительной техники кафедры. К прочим расходам — услуги связи, поездки на полевую площадку для натурных испытаний и доступ к станд</w:t>
      </w:r>
      <w:r>
        <w:t>артам и научным публикациям по тематике исследования.</w:t>
      </w:r>
    </w:p>
    <w:p w:rsidR="00410E6D" w:rsidRDefault="00CA7BBA">
      <w:r>
        <w:t>В типовой структуре затрат на НИР удельный вес заработной платы составляет 34 % [42]. В настоящей работе он принят выше — 40 %: специального оборудования, работ сторонних организаций и командировок в НИ</w:t>
      </w:r>
      <w:r>
        <w:t>Р нет, и основную часть затрат составляет труд исполнителей. Доля отчислений на социальные нужды (12 %) соответствует тарифу 30,2 % от заработной платы. Стоимость материалов и покупных комплектующих изделий проверена прямым счётом (таблица 4.7): цена платы</w:t>
      </w:r>
      <w:r>
        <w:t xml:space="preserve"> LilyGO T-HaLow 37,98 долл. США [28] по курсу 84,1975 руб./долл. на 20.09.2026 [46] составляет 3 198 руб., а всего материалы и комплектующие стоят 24 560 руб., или 1,8 % себестоимости, что не превышает принятой доли 5 %.</w:t>
      </w:r>
    </w:p>
    <w:p w:rsidR="00410E6D" w:rsidRDefault="00CA7BBA">
      <w:pPr>
        <w:pStyle w:val="TableCaption"/>
      </w:pPr>
      <w:r>
        <w:t xml:space="preserve">Таблица 4.7 – Стоимость материалов </w:t>
      </w:r>
      <w:r>
        <w:t>и покупных комплектующих изделий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54"/>
        <w:gridCol w:w="4819"/>
        <w:gridCol w:w="850"/>
        <w:gridCol w:w="850"/>
        <w:gridCol w:w="1134"/>
        <w:gridCol w:w="1247"/>
      </w:tblGrid>
      <w:tr w:rsidR="00410E6D">
        <w:trPr>
          <w:cantSplit/>
          <w:tblHeader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 xml:space="preserve">Микросхема флеш-памяти </w:t>
            </w:r>
            <w:r>
              <w:rPr>
                <w:sz w:val="22"/>
              </w:rPr>
              <w:t>W25Q32JVSSIQ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w="85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 w:rsidR="00410E6D">
        <w:trPr>
          <w:cantSplit/>
          <w:jc w:val="center"/>
        </w:trPr>
        <w:tc>
          <w:tcPr>
            <w:tcW w:w="454" w:type="dxa"/>
            <w:vAlign w:val="center"/>
          </w:tcPr>
          <w:p w:rsidR="00410E6D" w:rsidRDefault="00410E6D">
            <w:pPr>
              <w:pStyle w:val="TableText"/>
              <w:jc w:val="center"/>
            </w:pPr>
          </w:p>
        </w:tc>
        <w:tc>
          <w:tcPr>
            <w:tcW w:w="4819" w:type="dxa"/>
            <w:vAlign w:val="center"/>
          </w:tcPr>
          <w:p w:rsidR="00410E6D" w:rsidRDefault="00CA7BBA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850" w:type="dxa"/>
            <w:vAlign w:val="center"/>
          </w:tcPr>
          <w:p w:rsidR="00410E6D" w:rsidRDefault="00410E6D">
            <w:pPr>
              <w:pStyle w:val="TableText"/>
              <w:jc w:val="center"/>
            </w:pPr>
          </w:p>
        </w:tc>
        <w:tc>
          <w:tcPr>
            <w:tcW w:w="850" w:type="dxa"/>
            <w:vAlign w:val="center"/>
          </w:tcPr>
          <w:p w:rsidR="00410E6D" w:rsidRDefault="00410E6D">
            <w:pPr>
              <w:pStyle w:val="TableText"/>
              <w:jc w:val="center"/>
            </w:pPr>
          </w:p>
        </w:tc>
        <w:tc>
          <w:tcPr>
            <w:tcW w:w="1134" w:type="dxa"/>
            <w:vAlign w:val="center"/>
          </w:tcPr>
          <w:p w:rsidR="00410E6D" w:rsidRDefault="00410E6D">
            <w:pPr>
              <w:pStyle w:val="TableText"/>
              <w:jc w:val="center"/>
            </w:pP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 w:rsidR="00410E6D" w:rsidRDefault="00410E6D">
      <w:pPr>
        <w:spacing w:line="240" w:lineRule="auto"/>
      </w:pPr>
    </w:p>
    <w:p w:rsidR="00410E6D" w:rsidRDefault="00CA7BBA">
      <w:pPr>
        <w:keepNext/>
      </w:pPr>
      <w:r>
        <w:t xml:space="preserve">Из таблицы 4.6 следует, что фонд заработной платы составляет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 xml:space="preserve"> себестоимости НИР; соответственно, по формуле (4.6) сама себестоимость:</w:t>
      </w:r>
    </w:p>
    <w:p w:rsidR="00410E6D" w:rsidRDefault="00CA7BBA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546 528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1 366 320 руб.</m:t>
          </m:r>
        </m:oMath>
      </m:oMathPara>
    </w:p>
    <w:p w:rsidR="00410E6D" w:rsidRDefault="00CA7BBA">
      <w:pPr>
        <w:keepNext/>
      </w:pPr>
      <w:r>
        <w:t>Цена НИР определяется исходя из обеспечения безубыточности организации, кот</w:t>
      </w:r>
      <w:r>
        <w:t>орая её выполняет [42]. Параметром, обеспечивающим безубыточность, служит уровень рентабельности по отношению к оплате труда: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10E6D">
        <w:trPr>
          <w:jc w:val="center"/>
        </w:trPr>
        <w:tc>
          <w:tcPr>
            <w:tcW w:w="1020" w:type="dxa"/>
            <w:vAlign w:val="center"/>
          </w:tcPr>
          <w:p w:rsidR="00410E6D" w:rsidRDefault="00410E6D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410E6D" w:rsidRDefault="00CA7BBA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Formula"/>
              <w:jc w:val="right"/>
            </w:pPr>
            <w:r>
              <w:t>(4.7)</w:t>
            </w:r>
          </w:p>
        </w:tc>
      </w:tr>
    </w:tbl>
    <w:p w:rsidR="00410E6D" w:rsidRDefault="00CA7BBA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</m:oMath>
      <w:r>
        <w:t xml:space="preserve"> – уровень рентабельности по отношению к оплате труда, 200–400 % [42].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минимальной; вместе с т</w:t>
      </w:r>
      <w:r>
        <w:t>ем они получены на одной аппаратной платформе и на коротких трассах и требуют проверки на трассах реального применения, что не позволяет принять верхнюю границу:</w:t>
      </w:r>
    </w:p>
    <w:p w:rsidR="00410E6D" w:rsidRDefault="00CA7BBA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1 366 320 + 546 528·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3 005 904 руб.</m:t>
          </m:r>
        </m:oMath>
      </m:oMathPara>
    </w:p>
    <w:p w:rsidR="00410E6D" w:rsidRDefault="00CA7BBA">
      <w:r>
        <w:t>В дальнейшем результаты НИР — измеренные х</w:t>
      </w:r>
      <w:r>
        <w:t>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экономиче</w:t>
      </w:r>
      <w:r>
        <w:t>ским эффектом от применения результатов, который рассчитан в подразделе 4.4.</w:t>
      </w:r>
    </w:p>
    <w:p w:rsidR="00410E6D" w:rsidRDefault="00CA7BBA">
      <w:pPr>
        <w:pStyle w:val="21"/>
      </w:pPr>
      <w:r>
        <w:t>4.4 Определение и оценка основных показателей экономической эффективности</w:t>
      </w:r>
    </w:p>
    <w:p w:rsidR="00410E6D" w:rsidRDefault="00CA7BBA"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НИР</m:t>
            </m:r>
          </m:sub>
        </m:sSub>
      </m:oMath>
      <w:r>
        <w:t>, уровень эк</w:t>
      </w:r>
      <w:r>
        <w:t xml:space="preserve">ономической эффективности затрат на НИР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НИР</m:t>
            </m:r>
          </m:sub>
        </m:sSub>
      </m:oMath>
      <w:r>
        <w:t xml:space="preserve"> и срок окупаемости вложений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ОК</m:t>
            </m:r>
          </m:sub>
        </m:sSub>
      </m:oMath>
      <w:r>
        <w:t xml:space="preserve"> [42].</w:t>
      </w:r>
    </w:p>
    <w:p w:rsidR="00410E6D" w:rsidRDefault="00CA7BBA">
      <w:pPr>
        <w:keepNext/>
      </w:pPr>
      <w:r>
        <w:t>Результатом НИР является не изделие, которое продаётся потребителю, а знания — измеренные характеристики канала Wi-Fi HaLow и рекомендации по его применению. Выручки они сам</w:t>
      </w:r>
      <w:r>
        <w:t xml:space="preserve">и по себе не приносят; их ценность проявляется у предприятия, которое их применяет: оно решает ту же задачу с меньшими затратами. Поэтому экономический эффект НИР определяется как экономия затрат у потребителя её результатов [42]. В </w:t>
      </w:r>
      <w:r>
        <w:lastRenderedPageBreak/>
        <w:t xml:space="preserve">настоящей работе такая </w:t>
      </w:r>
      <w:r>
        <w:t>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экономический эффект определяется по формуле [42]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10E6D">
        <w:trPr>
          <w:jc w:val="center"/>
        </w:trPr>
        <w:tc>
          <w:tcPr>
            <w:tcW w:w="1020" w:type="dxa"/>
            <w:vAlign w:val="center"/>
          </w:tcPr>
          <w:p w:rsidR="00410E6D" w:rsidRDefault="00410E6D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410E6D" w:rsidRDefault="00CA7BBA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Э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НИР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Б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Т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Formula"/>
              <w:jc w:val="right"/>
            </w:pPr>
            <w:r>
              <w:t>(4.8)</w:t>
            </w:r>
          </w:p>
        </w:tc>
      </w:tr>
    </w:tbl>
    <w:p w:rsidR="00410E6D" w:rsidRDefault="00CA7BBA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 w:rsidR="00410E6D" w:rsidRDefault="00CA7BBA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 w:rsidR="00410E6D" w:rsidRDefault="00CA7BBA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 w:rsidR="00410E6D" w:rsidRDefault="00CA7BBA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sub>
        </m:sSub>
      </m:oMath>
      <w:r>
        <w:t xml:space="preserve"> – период, за который создаются линии, лет.</w:t>
      </w:r>
    </w:p>
    <w:p w:rsidR="00410E6D" w:rsidRDefault="00CA7BBA">
      <w:r>
        <w:t>При мониторинге местности БПЛА уходит от наземного пункта дальше, чем позволяет один радиоканал,</w:t>
      </w:r>
      <w:r>
        <w:t xml:space="preserve">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 w:rsidR="00410E6D" w:rsidRDefault="00CA7BBA">
      <w:r>
        <w:t>Поэтому пролёт стремятся сделать как можно длиннее. С ростом расстояния уровень сигнала падает, и канал пер</w:t>
      </w:r>
      <w:r>
        <w:t>еходит на всё более низкую скорость модуляции, пока не останется наименьшая — 1 Мбит/с у Wi-Fi 2,4 ГГц (802.11b) и 0,65 Мбит/с у Wi-Fi HaLow (канал 2 МГц). Скорость модуляции — это скорость передачи в эфире вместе со служебными заголовками и повторами; пол</w:t>
      </w:r>
      <w:r>
        <w:t xml:space="preserve">езная скорость, то есть объём видеоданных, доходящих до приёмника, всегда ниже неё. Видео пониженного разрешения нужно немного: в экспериментах видео 240 × 176 точек передавалось при полезной скорости 120–180 кбит/с (подразделы 3.2 и 3.3), что в 3,5–5 раз </w:t>
      </w:r>
      <w:r>
        <w:t>меньше даже наименьшей</w:t>
      </w:r>
      <w:r w:rsidR="00B40210">
        <w:t xml:space="preserve"> скорости модуляции Wi-Fi HaLow</w:t>
      </w:r>
      <w:r>
        <w:t>. Следовательно, технологии различаются не скоростью на краю пролёта, а расстоянием, на котором эта н</w:t>
      </w:r>
      <w:r>
        <w:t>аименьшая скорость ещё сохраняется; дальше связи нет совсем. По расчёту бюджета канала (подраздел 3.7) в свободном пространстве с запасом 10 дБ при нормах мощности Российской Федерации это расстояние составляет 2,6 км для Wi-Fi 2,4 ГГц и 4,9 км для Wi-Fi H</w:t>
      </w:r>
      <w:r>
        <w:t>aLow (для канала 2 МГц — по оценочной чувствительности). Несмотря на меньшую разрешённую мощность, Wi-Fi HaLow уходит дальше: на частоте ниже 1 ГГц сигнал затухает меньше, а чувствительность приёмника на наименьшей скорости выше. На расстояниях от 2,6 до 4</w:t>
      </w:r>
      <w:r>
        <w:t>,9 км видео передаёт только Wi-Fi HaLow.</w:t>
      </w:r>
    </w:p>
    <w:p w:rsidR="00410E6D" w:rsidRDefault="00CA7BBA">
      <w:r>
        <w:lastRenderedPageBreak/>
        <w:t xml:space="preserve">Ретранслятор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</w:t>
      </w:r>
      <w:r>
        <w:t>нужны потому, что радиомодуль не может одновременно 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</w:t>
      </w:r>
      <w:r>
        <w:t>одная. Оба радиотракта — Wi-Fi HaLow и Wi-Fi 2,4 ГГц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</w:t>
      </w:r>
      <w:r>
        <w:t>ице 4.7).</w:t>
      </w:r>
    </w:p>
    <w:p w:rsidR="00410E6D" w:rsidRDefault="00CA7BBA">
      <w:pPr>
        <w:pStyle w:val="TableCaption"/>
      </w:pPr>
      <w:r>
        <w:t>Таблица 4.8 – Состав и стоимость ретранслятора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7"/>
        <w:gridCol w:w="5386"/>
        <w:gridCol w:w="1020"/>
        <w:gridCol w:w="1134"/>
        <w:gridCol w:w="1247"/>
      </w:tblGrid>
      <w:tr w:rsidR="00410E6D">
        <w:trPr>
          <w:cantSplit/>
          <w:tblHeader/>
          <w:jc w:val="center"/>
        </w:trPr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5386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 w:rsidR="00410E6D">
        <w:trPr>
          <w:cantSplit/>
          <w:jc w:val="center"/>
        </w:trPr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5386" w:type="dxa"/>
            <w:vAlign w:val="center"/>
          </w:tcPr>
          <w:p w:rsidR="00410E6D" w:rsidRPr="00B40210" w:rsidRDefault="00CA7BBA">
            <w:pPr>
              <w:pStyle w:val="TableText"/>
              <w:keepNext/>
              <w:rPr>
                <w:lang w:val="en-US"/>
              </w:rPr>
            </w:pPr>
            <w:r>
              <w:rPr>
                <w:sz w:val="22"/>
              </w:rPr>
              <w:t>Плата</w:t>
            </w:r>
            <w:r w:rsidRPr="00B40210">
              <w:rPr>
                <w:sz w:val="22"/>
                <w:lang w:val="en-US"/>
              </w:rPr>
              <w:t xml:space="preserve"> LilyGO T-HaLow (ESP32-S3 + TX-AH-R900P)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 w:rsidR="00410E6D">
        <w:trPr>
          <w:cantSplit/>
          <w:jc w:val="center"/>
        </w:trPr>
        <w:tc>
          <w:tcPr>
            <w:tcW w:w="567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5386" w:type="dxa"/>
            <w:vAlign w:val="center"/>
          </w:tcPr>
          <w:p w:rsidR="00410E6D" w:rsidRDefault="00CA7BBA">
            <w:pPr>
              <w:pStyle w:val="TableText"/>
              <w:keepNext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410E6D" w:rsidRDefault="00CA7BBA"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 w:rsidR="00410E6D">
        <w:trPr>
          <w:cantSplit/>
          <w:jc w:val="center"/>
        </w:trPr>
        <w:tc>
          <w:tcPr>
            <w:tcW w:w="567" w:type="dxa"/>
            <w:vAlign w:val="center"/>
          </w:tcPr>
          <w:p w:rsidR="00410E6D" w:rsidRDefault="00410E6D">
            <w:pPr>
              <w:pStyle w:val="TableText"/>
              <w:jc w:val="center"/>
            </w:pPr>
          </w:p>
        </w:tc>
        <w:tc>
          <w:tcPr>
            <w:tcW w:w="5386" w:type="dxa"/>
            <w:vAlign w:val="center"/>
          </w:tcPr>
          <w:p w:rsidR="00410E6D" w:rsidRDefault="00CA7BBA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1020" w:type="dxa"/>
            <w:vAlign w:val="center"/>
          </w:tcPr>
          <w:p w:rsidR="00410E6D" w:rsidRDefault="00410E6D">
            <w:pPr>
              <w:pStyle w:val="TableText"/>
              <w:jc w:val="center"/>
            </w:pPr>
          </w:p>
        </w:tc>
        <w:tc>
          <w:tcPr>
            <w:tcW w:w="1134" w:type="dxa"/>
            <w:vAlign w:val="center"/>
          </w:tcPr>
          <w:p w:rsidR="00410E6D" w:rsidRDefault="00410E6D">
            <w:pPr>
              <w:pStyle w:val="TableText"/>
              <w:jc w:val="center"/>
            </w:pPr>
          </w:p>
        </w:tc>
        <w:tc>
          <w:tcPr>
            <w:tcW w:w="1247" w:type="dxa"/>
            <w:vAlign w:val="center"/>
          </w:tcPr>
          <w:p w:rsidR="00410E6D" w:rsidRDefault="00CA7BBA"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 w:rsidR="00410E6D" w:rsidRDefault="00410E6D">
      <w:pPr>
        <w:spacing w:line="240" w:lineRule="auto"/>
      </w:pPr>
    </w:p>
    <w:p w:rsidR="00410E6D" w:rsidRDefault="00CA7BBA">
      <w:pPr>
        <w:keepNext/>
      </w:pPr>
      <w:r>
        <w:t xml:space="preserve">Ретранслятор ставится в </w:t>
      </w:r>
      <w:r>
        <w:t>конце каждого пролёта, поэтому на маршрутах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</w:t>
      </w:r>
      <w:r>
        <w:t xml:space="preserve"> о протяжённости: под управлением группы «Россети» находится 2,5 млн км линий электропередачи [47]. Если каналами связи с БПЛА ежегодно оснащается 0,24 % этой сети, то есть L = 6 000 км, потребуется ретрансляторов:</w:t>
      </w:r>
    </w:p>
    <w:p w:rsidR="00410E6D" w:rsidRDefault="00CA7BBA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⌈6 000/2,6⌉ = 2 308;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⌈6 000</m:t>
          </m:r>
          <m:r>
            <m:rPr>
              <m:sty m:val="p"/>
            </m:rPr>
            <w:rPr>
              <w:rFonts w:ascii="Cambria Math" w:hAnsi="Cambria Math"/>
            </w:rPr>
            <m:t>/4,9⌉ = 1 225.</m:t>
          </m:r>
        </m:oMath>
      </m:oMathPara>
    </w:p>
    <w:p w:rsidR="00410E6D" w:rsidRDefault="00CA7BBA">
      <w:pPr>
        <w:keepNext/>
      </w:pPr>
      <w:r>
        <w:t>Другие задачи мониторинга местности в оценку не включены, поэтому полученный эффект является оценкой снизу. Затраты базового варианта:</w:t>
      </w:r>
    </w:p>
    <w:p w:rsidR="00410E6D" w:rsidRDefault="00CA7BBA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 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2 308·7 296 = 16 839 168 руб.</m:t>
          </m:r>
        </m:oMath>
      </m:oMathPara>
    </w:p>
    <w:p w:rsidR="00410E6D" w:rsidRDefault="00CA7BBA">
      <w:pPr>
        <w:keepNext/>
      </w:pPr>
      <w:r>
        <w:t>Затраты нового варианта:</w:t>
      </w:r>
    </w:p>
    <w:p w:rsidR="00410E6D" w:rsidRDefault="00CA7BBA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 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1 225·7 296 = 8 937 600 руб.</m:t>
          </m:r>
        </m:oMath>
      </m:oMathPara>
    </w:p>
    <w:p w:rsidR="00410E6D" w:rsidRDefault="00CA7BBA">
      <w:pPr>
        <w:keepNext/>
      </w:pPr>
      <w:r>
        <w:t>По</w:t>
      </w:r>
      <w:r>
        <w:t xml:space="preserve">дставив значения в формулу (4.8)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 w:rsidR="00410E6D" w:rsidRDefault="00CA7BBA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Э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НИР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16 839 168·1,33 - 8 937 600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13 458 493 руб./год.</m:t>
          </m:r>
        </m:oMath>
      </m:oMathPara>
    </w:p>
    <w:p w:rsidR="00410E6D" w:rsidRDefault="00CA7BBA">
      <w:pPr>
        <w:keepNext/>
      </w:pPr>
      <w:r>
        <w:lastRenderedPageBreak/>
        <w:t>Эффект реализуется у предприятия, применяющего результаты; разработчику НИР по условиям лицензирования приходится его д</w:t>
      </w:r>
      <w:r>
        <w:t>оля α. По методике [42] она определяется укрупнённо, пропорционально затратам участников создания и применения НТПр: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10E6D">
        <w:trPr>
          <w:jc w:val="center"/>
        </w:trPr>
        <w:tc>
          <w:tcPr>
            <w:tcW w:w="1020" w:type="dxa"/>
            <w:vAlign w:val="center"/>
          </w:tcPr>
          <w:p w:rsidR="00410E6D" w:rsidRDefault="00410E6D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410E6D" w:rsidRDefault="00CA7BBA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Н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1 366 320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1 366 320 + 8 937 600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0,13.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Formula"/>
              <w:jc w:val="right"/>
            </w:pPr>
            <w:r>
              <w:t>(4.9)</w:t>
            </w:r>
          </w:p>
        </w:tc>
      </w:tr>
    </w:tbl>
    <w:p w:rsidR="00410E6D" w:rsidRDefault="00CA7BBA">
      <w:pPr>
        <w:keepNext/>
      </w:pPr>
      <w:r>
        <w:t>Уровень экономической эффективности затрат на НИР [42]: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10E6D">
        <w:trPr>
          <w:jc w:val="center"/>
        </w:trPr>
        <w:tc>
          <w:tcPr>
            <w:tcW w:w="1020" w:type="dxa"/>
            <w:vAlign w:val="center"/>
          </w:tcPr>
          <w:p w:rsidR="00410E6D" w:rsidRDefault="00410E6D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410E6D" w:rsidRDefault="00CA7BBA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НИР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Э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НИР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Ц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13 458 493·0,13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3 005 904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0,58,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Formula"/>
              <w:jc w:val="right"/>
            </w:pPr>
            <w:r>
              <w:t>(4.10)</w:t>
            </w:r>
          </w:p>
        </w:tc>
      </w:tr>
    </w:tbl>
    <w:p w:rsidR="00410E6D" w:rsidRDefault="00CA7BBA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</m:t>
            </m:r>
          </m:sub>
        </m:sSub>
      </m:oMath>
      <w:r>
        <w:t xml:space="preserve"> – цена НИР, руб. (подраздел 4.3).</w:t>
      </w:r>
    </w:p>
    <w:p w:rsidR="00410E6D" w:rsidRDefault="00CA7BBA"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410E6D">
        <w:trPr>
          <w:jc w:val="center"/>
        </w:trPr>
        <w:tc>
          <w:tcPr>
            <w:tcW w:w="1020" w:type="dxa"/>
            <w:vAlign w:val="center"/>
          </w:tcPr>
          <w:p w:rsidR="00410E6D" w:rsidRDefault="00410E6D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410E6D" w:rsidRDefault="00CA7BBA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Т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ОК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Е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НИР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0,58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1,72 года.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410E6D" w:rsidRDefault="00CA7BBA">
            <w:pPr>
              <w:pStyle w:val="Formula"/>
              <w:jc w:val="right"/>
            </w:pPr>
            <w:r>
              <w:t>(4.11)</w:t>
            </w:r>
          </w:p>
        </w:tc>
      </w:tr>
    </w:tbl>
    <w:p w:rsidR="00410E6D" w:rsidRDefault="00CA7BBA">
      <w:r>
        <w:t>Срок окупаемости составляет около 21 месяцев.</w:t>
      </w:r>
      <w:r>
        <w:t xml:space="preserve"> Для наукоёмкой продукции уровень эффективности должен быть не ме</w:t>
      </w:r>
      <w:bookmarkStart w:id="0" w:name="_GoBack"/>
      <w:bookmarkEnd w:id="0"/>
      <w:r>
        <w:t xml:space="preserve">нее 0,5, то есть вложения должны окупаться в пределах двух лет [42]; полученное значение 0,58 этому требованию удовлетворяет. Расчёт выполнен для одного предприятия; при передаче результатов </w:t>
      </w:r>
      <w:r>
        <w:t>нескольким предприятиям срок окупаемости сократится.</w:t>
      </w:r>
    </w:p>
    <w:sectPr w:rsidR="00410E6D" w:rsidSect="00034616">
      <w:headerReference w:type="default" r:id="rId9"/>
      <w:footerReference w:type="default" r:id="rId10"/>
      <w:pgSz w:w="11906" w:h="16838"/>
      <w:pgMar w:top="1134" w:right="850" w:bottom="1417" w:left="1701" w:header="283" w:footer="283" w:gutter="0"/>
      <w:pgNumType w:start="4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7BBA" w:rsidRDefault="00CA7BBA">
      <w:pPr>
        <w:spacing w:line="240" w:lineRule="auto"/>
      </w:pPr>
      <w:r>
        <w:separator/>
      </w:r>
    </w:p>
  </w:endnote>
  <w:endnote w:type="continuationSeparator" w:id="0">
    <w:p w:rsidR="00CA7BBA" w:rsidRDefault="00CA7B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0E6D" w:rsidRDefault="00410E6D">
    <w:pPr>
      <w:spacing w:line="170" w:lineRule="exact"/>
      <w:ind w:firstLine="0"/>
      <w:rPr>
        <w:sz w:val="2"/>
      </w:rPr>
    </w:pPr>
  </w:p>
  <w:tbl>
    <w:tblPr>
      <w:tblW w:w="0" w:type="auto"/>
      <w:tblInd w:w="-56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97"/>
      <w:gridCol w:w="567"/>
      <w:gridCol w:w="1304"/>
      <w:gridCol w:w="851"/>
      <w:gridCol w:w="567"/>
      <w:gridCol w:w="6235"/>
      <w:gridCol w:w="567"/>
    </w:tblGrid>
    <w:tr w:rsidR="00410E6D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:rsidR="00410E6D" w:rsidRDefault="00CA7BBA">
          <w:pPr>
            <w:spacing w:line="240" w:lineRule="auto"/>
            <w:ind w:firstLine="0"/>
            <w:jc w:val="center"/>
          </w:pPr>
          <w:r>
            <w:rPr>
              <w:rFonts w:ascii="GOST type B" w:eastAsia="GOST type B" w:hAnsi="GOST type B" w:cs="GOST type B"/>
              <w:i/>
              <w:sz w:val="32"/>
              <w:szCs w:val="32"/>
            </w:rPr>
            <w:t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:rsidR="00410E6D" w:rsidRDefault="00CA7BBA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</w:tr>
    <w:tr w:rsidR="00410E6D"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:rsidR="00410E6D" w:rsidRDefault="00CA7BBA">
          <w:pPr>
            <w:spacing w:line="240" w:lineRule="auto"/>
            <w:ind w:firstLine="0"/>
            <w:jc w:val="center"/>
            <w:rPr>
              <w:sz w:val="18"/>
            </w:rPr>
          </w:pPr>
          <w:r>
            <w:rPr>
              <w:rFonts w:ascii="GOST type B" w:eastAsia="GOST type B" w:hAnsi="GOST type B" w:cs="GOST type B"/>
              <w:i/>
              <w:sz w:val="22"/>
            </w:rPr>
            <w:fldChar w:fldCharType="begin"/>
          </w:r>
          <w:r>
            <w:rPr>
              <w:rFonts w:ascii="GOST type B" w:eastAsia="GOST type B" w:hAnsi="GOST type B" w:cs="GOST type B"/>
              <w:i/>
              <w:sz w:val="22"/>
            </w:rPr>
            <w:instrText xml:space="preserve"> PAGE </w:instrText>
          </w:r>
          <w:r w:rsidR="00B40210">
            <w:rPr>
              <w:rFonts w:ascii="GOST type B" w:eastAsia="GOST type B" w:hAnsi="GOST type B" w:cs="GOST type B"/>
              <w:i/>
              <w:sz w:val="22"/>
            </w:rPr>
            <w:fldChar w:fldCharType="separate"/>
          </w:r>
          <w:r w:rsidR="00B40210">
            <w:rPr>
              <w:rFonts w:ascii="GOST type B" w:eastAsia="GOST type B" w:hAnsi="GOST type B" w:cs="GOST type B"/>
              <w:i/>
              <w:noProof/>
              <w:sz w:val="22"/>
            </w:rPr>
            <w:t>60</w:t>
          </w:r>
          <w:r>
            <w:rPr>
              <w:rFonts w:ascii="GOST type B" w:eastAsia="GOST type B" w:hAnsi="GOST type B" w:cs="GOST type B"/>
              <w:i/>
              <w:sz w:val="22"/>
            </w:rPr>
            <w:fldChar w:fldCharType="end"/>
          </w:r>
        </w:p>
      </w:tc>
    </w:tr>
    <w:tr w:rsidR="00410E6D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410E6D" w:rsidRDefault="00CA7BBA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410E6D" w:rsidRDefault="00CA7BBA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:rsidR="00410E6D" w:rsidRDefault="00CA7BBA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 w:rsidR="00410E6D" w:rsidRDefault="00CA7BBA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410E6D" w:rsidRDefault="00CA7BBA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GOST type B" w:eastAsia="GOST type B" w:hAnsi="GOST type B" w:cs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:rsidR="00410E6D" w:rsidRDefault="00410E6D">
          <w:pPr>
            <w:spacing w:line="240" w:lineRule="auto"/>
            <w:ind w:firstLine="0"/>
            <w:rPr>
              <w:sz w:val="18"/>
            </w:rPr>
          </w:pPr>
        </w:p>
      </w:tc>
    </w:tr>
  </w:tbl>
  <w:p w:rsidR="00410E6D" w:rsidRDefault="00410E6D">
    <w:pPr>
      <w:spacing w:line="20" w:lineRule="exact"/>
      <w:ind w:firstLine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7BBA" w:rsidRDefault="00CA7BBA">
      <w:pPr>
        <w:spacing w:line="240" w:lineRule="auto"/>
      </w:pPr>
      <w:r>
        <w:separator/>
      </w:r>
    </w:p>
  </w:footnote>
  <w:footnote w:type="continuationSeparator" w:id="0">
    <w:p w:rsidR="00CA7BBA" w:rsidRDefault="00CA7BB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0E6D" w:rsidRDefault="00CA7BBA">
    <w:pPr>
      <w:pStyle w:val="a5"/>
      <w:ind w:firstLine="0"/>
    </w:pPr>
    <w:r>
      <w:pict>
        <v:rect id="vkr_frame" o:spid="_x0000_s2049" style="position:absolute;left:0;text-align:left;margin-left:56.7pt;margin-top:14.15pt;width:524.4pt;height:813.55pt;z-index:-251658752;mso-position-horizontal-relative:page;mso-position-vertical-relative:page" o:allowincell="f" filled="f" strokeweight="1.5pt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0E6D"/>
    <w:rsid w:val="00AA1D8D"/>
    <w:rsid w:val="00B40210"/>
    <w:rsid w:val="00B47730"/>
    <w:rsid w:val="00CA7BB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  <w14:docId w14:val="4ABCA9CC"/>
  <w14:defaultImageDpi w14:val="300"/>
  <w15:docId w15:val="{17EFEBAC-96AD-410C-9F5C-66F5C5754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a1"/>
    <w:pPr>
      <w:spacing w:line="240" w:lineRule="auto"/>
      <w:ind w:firstLine="0"/>
      <w:jc w:val="left"/>
    </w:pPr>
  </w:style>
  <w:style w:type="paragraph" w:customStyle="1" w:styleId="TableCaption">
    <w:name w:val="TableCaption"/>
    <w:basedOn w:val="a1"/>
    <w:pPr>
      <w:keepNext/>
      <w:spacing w:before="120"/>
      <w:ind w:firstLine="0"/>
      <w:jc w:val="left"/>
    </w:pPr>
  </w:style>
  <w:style w:type="paragraph" w:customStyle="1" w:styleId="Formula">
    <w:name w:val="Formula"/>
    <w:basedOn w:val="a1"/>
    <w:pPr>
      <w:spacing w:before="120" w:after="120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692E4DF-BD81-4B16-B5D0-6C1F6DBCF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14</Pages>
  <Words>4134</Words>
  <Characters>23567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Артем</cp:lastModifiedBy>
  <cp:revision>2</cp:revision>
  <dcterms:created xsi:type="dcterms:W3CDTF">2013-12-23T23:15:00Z</dcterms:created>
  <dcterms:modified xsi:type="dcterms:W3CDTF">2026-10-13T22:15:00Z</dcterms:modified>
  <cp:category/>
</cp:coreProperties>
</file>