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</w:t>
            </w:r>
            <w:r w:rsidRPr="004F785C">
              <w:rPr>
                <w:iCs/>
                <w:sz w:val="26"/>
                <w:szCs w:val="26"/>
                <w:lang w:val="en-US"/>
              </w:rPr>
              <w:t>603</w:t>
            </w:r>
            <w:r w:rsidRPr="004F785C">
              <w:rPr>
                <w:iCs/>
                <w:sz w:val="26"/>
                <w:szCs w:val="26"/>
              </w:rPr>
              <w:t>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эскиза системы,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М4О-603С-21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[5]; 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норм ГКРЧ и документации платы [5, 6]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граница связи в единицах километров; пролёт на малой скорости 4,9 км против 2,6 км у Wi-Fi 2,4 ГГц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программы стенда, журнал показателей, парные опыты в одном включении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Оценка дальности без выезда в поле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опыт эквивалентного затухания в здании и пересчёт по моделям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и программа подготовлены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шесть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[6]: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опыта эквивалентного затухания с пересчётом результатов на открытую местность.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Исходно платформа передавала 121 кбит/с — на порядок меньше скорости радиоканала. Звенья проверялись по очереди. Драйвер UART радиомодуля принимал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парными опытами в одном включении питания.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м: полезная скорость 1063 кбит/с (видео 480 × 320, 5 видеокадров в секунду),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8697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Полевой замер дальности отложен из-за погоды. Вместо него подготовлен опыт эквивалентного затухания: граница связи ищется в здании, где сигнал ослабляют стены и перекрытия, по измеренным потерям трассы и пороговому отношению сигнал/шум, а расстояние на открытой местности вычисляется по моделям распространения. Опыт выполняется для Wi-Fi HaLow и Wi-Fi 2,4 ГГц на разрешённой мощности.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Системная постановка задачи выполнена: определены границы и ограничения системы передачи данных с борта БПЛА, цель работы разбита на десять системных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4, 5].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а для вертолётного БПЛА — выбор рабочей высоты.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завершения ВКР предстоит выполнить опыт эквивалентного затухания, сопоставить его результаты с расчётом и оформить пояснительную записку.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Литвиненко В.И., Ногинов Ю.В. Борьба с беспилотными летательными аппаратами: учебное пособие / под общ. ред. А.П. Макарова. – М.: КНОРУС, 2023. – 148 с.</w:t>
      </w:r>
    </w:p>
    <w:p>
      <w:pPr>
        <w:spacing w:line="360" w:lineRule="auto"/>
        <w:jc w:val="both"/>
      </w:pPr>
      <w:r>
        <w:rPr>
          <w:sz w:val="28"/>
        </w:rPr>
        <w:t xml:space="preserve">3.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4.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