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Экономическая часть</w:t>
      </w:r>
    </w:p>
    <w:p>
      <w:pPr>
        <w:pStyle w:val="Heading2"/>
      </w:pPr>
      <w:r>
        <w:t>4.1 Введение</w:t>
      </w:r>
    </w:p>
    <w:p>
      <w:r>
        <w:t>Беспилотные летательные аппараты (БПЛА) применяются для мониторинга территорий и объектов инфраструктуры, инспекции линий электропередачи и трубопроводов, в сельском хозяйстве и при поисково-спасательных работах. Развитие отечественной беспилотной авиации является государственной задачей: с 2024 г. реализуется национальный проект «Беспилотные авиационные системы», в состав которого входит федеральный проект «Перспективные технологии для беспилотных авиационных систем» [Э1].</w:t>
      </w:r>
    </w:p>
    <w:p>
      <w:r>
        <w:t>Для управления БПЛА и получения с него данных необходим канал связи, который одновременно обеспечивает дальность от сотен метров до километров, скорость, достаточную для передачи видео, и работу в составе IP-сети. Распространённые решения удовлетворяют этим требованиям лишь частично:</w:t>
      </w:r>
    </w:p>
    <w:p>
      <w:r>
        <w:t xml:space="preserve">– </w:t>
      </w:r>
      <w:r>
        <w:t>Wi-Fi стандарта IEEE 802.11 в диапазонах 2,4 и 5 ГГц обеспечивает высокую скорость, но его дальность ограничена сотнями метров, а препятствия сильно ослабляют сигнал;</w:t>
      </w:r>
    </w:p>
    <w:p>
      <w:r>
        <w:t xml:space="preserve">– </w:t>
      </w:r>
      <w:r>
        <w:t>LoRa работает на километровых дальностях, но со скоростью не более десятков килобит в секунду, что недостаточно для передачи видео;</w:t>
      </w:r>
    </w:p>
    <w:p>
      <w:r>
        <w:t xml:space="preserve">– </w:t>
      </w:r>
      <w:r>
        <w:t>сети сотовой связи зависят от наличия покрытия и услуг оператора;</w:t>
      </w:r>
    </w:p>
    <w:p>
      <w:r>
        <w:t xml:space="preserve">– </w:t>
      </w:r>
      <w:r>
        <w:t>специализированные цифровые видеолинии, как правило, являются закрытыми решениями конкретного производителя и не предназначены для встраивания в собственные системы связи.</w:t>
      </w:r>
    </w:p>
    <w:p>
      <w:r>
        <w:t>Технология Wi-Fi HaLow (стандарт IEEE 802.11ah [Э2]) занимает промежуточное положение. Она работает в нелицензируемом диапазоне ниже 1 ГГц, где радиоволны меньше затухают и лучше огибают препятствия, обеспечивает дальность порядка 1 км, поддерживает режимы энергосбережения и, в отличие от LoRa, передаёт IP-трафик стандартными средствами Wi-Fi [Э3]. Узкополосные каналы шириной 1, 2, 4, 8 и 16 МГц позволяют выбирать соотношение дальности и скорости — от сотен килобит до десятков мегабит в секунду. Недорогие серийные модули Wi-Fi HaLow появились на рынке лишь в 2024–2025 гг., и натурных данных о характеристиках канала на них немного.</w:t>
      </w:r>
    </w:p>
    <w:p>
      <w:r>
        <w:t>Предметом ВКР является экспериментальная система передачи видео по каналу Wi-Fi HaLow «точка — точка» на двух платах LilyGO T-HaLow (микроконтроллер ESP32-S3 и модуль Wi-Fi HaLow TX-AH-R900P). Передающая плата захватывает изображение с камеры OV5640, сжимает его в формат JPEG и передаёт по радиоканалу в виде UDP-пакетов. Приёмный модуль выводит принятые пакеты в Ethernet-порт ПЭВМ, где программа просмотра отображает видеопоток и регистрирует показатели канала: скорость потока, частоту кадров, потери пакетов и уровень сигнала. В ходе работы разработано программное обеспечение передатчика и приёмника, найдены и устранены дефекты логики приёма и установления связи, после чего система обеспечивает устойчивую передачу видеопотока без искажения данных. На этой системе выполняются сравнение Wi-Fi HaLow с IEEE 802.11 и LoRa, теоретическая оценка параметров канала и её экспериментальная проверка.</w:t>
      </w:r>
    </w:p>
    <w:p>
      <w:r>
        <w:t>Значимость работы состоит в том, что её результаты — экспериментальные характеристики канала Wi-Fi HaLow, их сопоставление с теоретической оценкой и с IEEE 802.11 на той же аппаратной платформе, а также отлаженная система передачи видео — позволяют разработчику систем связи БПЛА обоснованно оценить применимость технологии до закупки дорогостоящего оборудования. Серийная плата стоимостью 3 198 руб. вместо оценочного комплекта производителя чипсета стоимостью 39 620 руб. (п. 4.2) снижает затраты на аппаратную платформу в 12,4 раза.</w:t>
      </w:r>
    </w:p>
    <w:p>
      <w:r>
        <w:t>Целью экономической части выпускной квалификационной работы (ВКР) является технико-экономическое обоснование выполняемого исследования. Для её достижения решаются следующие задачи [Э4]:</w:t>
      </w:r>
    </w:p>
    <w:p>
      <w:r>
        <w:t xml:space="preserve">– </w:t>
      </w:r>
      <w:r>
        <w:t>оценка целесообразности выполнения работы на основе определения её научно-технической прогрессивности;</w:t>
      </w:r>
    </w:p>
    <w:p>
      <w:r>
        <w:t xml:space="preserve">– </w:t>
      </w:r>
      <w:r>
        <w:t>планирование процесса выполнения работы в целом и её отдельных стадий, построение сетевого и календарного графиков;</w:t>
      </w:r>
    </w:p>
    <w:p>
      <w:r>
        <w:t xml:space="preserve">– </w:t>
      </w:r>
      <w:r>
        <w:t>определение затрат по статьям калькуляции, себестоимости и цены работы, оценка её рентабельности;</w:t>
      </w:r>
    </w:p>
    <w:p>
      <w:r>
        <w:t xml:space="preserve">– </w:t>
      </w:r>
      <w:r>
        <w:t>оценка экономической эффективности работы и срока окупаемости вложений.</w:t>
      </w:r>
    </w:p>
    <w:p>
      <w:r>
        <w:t>По характеру выполняемых работ данная ВКР является научно-исследовательской работой (НИР).</w:t>
      </w:r>
    </w:p>
    <w:p>
      <w:r>
        <w:t>Научно-технической продукцией (НТПр), получаемой в результате НИР, являются экспериментально определённые характеристики канала Wi-Fi HaLow (уровень сигнала, пропускная способность, задержка и потери пакетов в зависимости от расстояния, ширины и загрузки канала), оценка границ применимости теоретических моделей, а также рекомендации по применению технологии для связи с удалёнными объектами.</w:t>
      </w:r>
    </w:p>
    <w:p>
      <w:r>
        <w:t>Расчёты выполнены в ценах сентября 2026 г. для работы, выполняемой в г. Москве, по методике [Э4].</w:t>
      </w:r>
    </w:p>
    <w:p>
      <w:pPr>
        <w:pStyle w:val="Heading2"/>
      </w:pPr>
      <w:r>
        <w:t>4.2 Оценка целесообразности выполнения работы на основе определения её научно-технической прогрессивности</w:t>
      </w:r>
    </w:p>
    <w:p>
      <w:r>
        <w:t>Оценка научно-технической прогрессивности НТПр осуществляется путём сравнения НТПр, получаемой по результатам НИР, с существующим аналогом, выбранным за базу для сравнения. Для этого используются метод балльных оценок и нормативные шкалы значений показателей научно-технического уровня и перспективности НТПр (таблица 4.1), а также возможности применения её результатов (таблица 4.2) [Э4].</w:t>
      </w:r>
    </w:p>
    <w:p>
      <w:pPr>
        <w:pStyle w:val="TableCaption"/>
        <w:ind w:firstLine="0"/>
      </w:pPr>
      <w:r>
        <w:t>Таблица 4.1 – Шкала оценки признаков научно-технического эффекта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4535"/>
        <w:gridCol w:w="1700"/>
      </w:tblGrid>
      <w:tr>
        <w:trPr>
          <w:cantSplit/>
          <w:tblHeader w:val="true"/>
        </w:trPr>
        <w:tc>
          <w:tcPr>
            <w:tcW w:type="dxa" w:w="3118"/>
            <w:vAlign w:val="center"/>
          </w:tcPr>
          <w:p>
            <w:pPr>
              <w:pStyle w:val="TableText"/>
              <w:keepNext/>
              <w:jc w:val="center"/>
            </w:pPr>
            <w:r>
              <w:rPr>
                <w:b/>
                <w:sz w:val="24"/>
              </w:rPr>
              <w:t>Признак научно-технического эффекта НТПр</w:t>
            </w:r>
          </w:p>
        </w:tc>
        <w:tc>
          <w:tcPr>
            <w:tcW w:type="dxa" w:w="4535"/>
            <w:vAlign w:val="center"/>
          </w:tcPr>
          <w:p>
            <w:pPr>
              <w:pStyle w:val="TableText"/>
              <w:keepNext/>
              <w:jc w:val="center"/>
            </w:pPr>
            <w:r>
              <w:rPr>
                <w:b/>
                <w:sz w:val="24"/>
              </w:rPr>
              <w:t>Возможное определение научно-технического эффекта НТПр</w:t>
            </w:r>
          </w:p>
        </w:tc>
        <w:tc>
          <w:tcPr>
            <w:tcW w:type="dxa" w:w="1701"/>
            <w:vAlign w:val="center"/>
          </w:tcPr>
          <w:p>
            <w:pPr>
              <w:pStyle w:val="TableText"/>
              <w:keepNext/>
              <w:jc w:val="center"/>
            </w:pPr>
            <w:r>
              <w:rPr>
                <w:b/>
                <w:sz w:val="24"/>
              </w:rPr>
              <w:t>Оценка в баллах</w:t>
            </w:r>
          </w:p>
        </w:tc>
      </w:tr>
      <w:tr>
        <w:trPr>
          <w:cantSplit/>
        </w:trPr>
        <w:tc>
          <w:tcPr>
            <w:tcW w:type="dxa" w:w="3118"/>
            <w:vMerge w:val="restart"/>
            <w:vAlign w:val="center"/>
          </w:tcPr>
          <w:p>
            <w:pPr>
              <w:pStyle w:val="TableText"/>
              <w:keepNext/>
              <w:jc w:val="left"/>
            </w:pPr>
            <w:r>
              <w:rPr>
                <w:sz w:val="24"/>
              </w:rPr>
              <w:t>Научно-технический уровень (новизна) НТПр</w:t>
            </w:r>
          </w:p>
        </w:tc>
        <w:tc>
          <w:tcPr>
            <w:tcW w:type="dxa" w:w="4535"/>
            <w:vAlign w:val="center"/>
          </w:tcPr>
          <w:p>
            <w:pPr>
              <w:pStyle w:val="TableText"/>
              <w:keepNext/>
              <w:jc w:val="left"/>
            </w:pPr>
            <w:r>
              <w:rPr>
                <w:sz w:val="24"/>
              </w:rPr>
              <w:t>Превышает мировые достижения</w:t>
            </w:r>
          </w:p>
        </w:tc>
        <w:tc>
          <w:tcPr>
            <w:tcW w:type="dxa" w:w="1701"/>
            <w:vAlign w:val="center"/>
          </w:tcPr>
          <w:p>
            <w:pPr>
              <w:pStyle w:val="TableText"/>
              <w:keepNext/>
              <w:jc w:val="center"/>
            </w:pPr>
            <w:r>
              <w:rPr>
                <w:sz w:val="24"/>
              </w:rPr>
              <w:t>9–10</w:t>
            </w:r>
          </w:p>
        </w:tc>
      </w:tr>
      <w:tr>
        <w:trPr>
          <w:cantSplit/>
        </w:trPr>
        <w:tc>
          <w:tcPr>
            <w:tcW w:type="dxa" w:w="3118"/>
            <w:vMerge/>
            <w:vAlign w:val="center"/>
          </w:tcPr>
          <w:p/>
        </w:tc>
        <w:tc>
          <w:tcPr>
            <w:tcW w:type="dxa" w:w="4535"/>
            <w:vAlign w:val="center"/>
          </w:tcPr>
          <w:p>
            <w:pPr>
              <w:pStyle w:val="TableText"/>
              <w:keepNext/>
              <w:jc w:val="left"/>
            </w:pPr>
            <w:r>
              <w:rPr>
                <w:sz w:val="24"/>
              </w:rPr>
              <w:t>Находится на уровне мировых достижений</w:t>
            </w:r>
          </w:p>
        </w:tc>
        <w:tc>
          <w:tcPr>
            <w:tcW w:type="dxa" w:w="1701"/>
            <w:vAlign w:val="center"/>
          </w:tcPr>
          <w:p>
            <w:pPr>
              <w:pStyle w:val="TableText"/>
              <w:keepNext/>
              <w:jc w:val="center"/>
            </w:pPr>
            <w:r>
              <w:rPr>
                <w:sz w:val="24"/>
              </w:rPr>
              <w:t>6–8</w:t>
            </w:r>
          </w:p>
        </w:tc>
      </w:tr>
      <w:tr>
        <w:trPr>
          <w:cantSplit/>
        </w:trPr>
        <w:tc>
          <w:tcPr>
            <w:tcW w:type="dxa" w:w="3118"/>
            <w:vMerge/>
            <w:vAlign w:val="center"/>
          </w:tcPr>
          <w:p/>
        </w:tc>
        <w:tc>
          <w:tcPr>
            <w:tcW w:type="dxa" w:w="4535"/>
            <w:vAlign w:val="center"/>
          </w:tcPr>
          <w:p>
            <w:pPr>
              <w:pStyle w:val="TableText"/>
              <w:keepNext/>
              <w:jc w:val="left"/>
            </w:pPr>
            <w:r>
              <w:rPr>
                <w:sz w:val="24"/>
              </w:rPr>
              <w:t>Приближается к мировым достижениям</w:t>
            </w:r>
          </w:p>
        </w:tc>
        <w:tc>
          <w:tcPr>
            <w:tcW w:type="dxa" w:w="1701"/>
            <w:vAlign w:val="center"/>
          </w:tcPr>
          <w:p>
            <w:pPr>
              <w:pStyle w:val="TableText"/>
              <w:keepNext/>
              <w:jc w:val="center"/>
            </w:pPr>
            <w:r>
              <w:rPr>
                <w:sz w:val="24"/>
              </w:rPr>
              <w:t>3–5</w:t>
            </w:r>
          </w:p>
        </w:tc>
      </w:tr>
      <w:tr>
        <w:trPr>
          <w:cantSplit/>
        </w:trPr>
        <w:tc>
          <w:tcPr>
            <w:tcW w:type="dxa" w:w="3118"/>
            <w:vMerge/>
            <w:vAlign w:val="center"/>
          </w:tcPr>
          <w:p/>
        </w:tc>
        <w:tc>
          <w:tcPr>
            <w:tcW w:type="dxa" w:w="4535"/>
            <w:vAlign w:val="center"/>
          </w:tcPr>
          <w:p>
            <w:pPr>
              <w:pStyle w:val="TableText"/>
              <w:keepNext/>
              <w:jc w:val="left"/>
            </w:pPr>
            <w:r>
              <w:rPr>
                <w:sz w:val="24"/>
              </w:rPr>
              <w:t>Тривиальный</w:t>
            </w:r>
          </w:p>
        </w:tc>
        <w:tc>
          <w:tcPr>
            <w:tcW w:type="dxa" w:w="1701"/>
            <w:vAlign w:val="center"/>
          </w:tcPr>
          <w:p>
            <w:pPr>
              <w:pStyle w:val="TableText"/>
              <w:keepNext/>
              <w:jc w:val="center"/>
            </w:pPr>
            <w:r>
              <w:rPr>
                <w:sz w:val="24"/>
              </w:rPr>
              <w:t>1–2</w:t>
            </w:r>
          </w:p>
        </w:tc>
      </w:tr>
      <w:tr>
        <w:trPr>
          <w:cantSplit/>
        </w:trPr>
        <w:tc>
          <w:tcPr>
            <w:tcW w:type="dxa" w:w="3118"/>
            <w:vMerge w:val="restart"/>
            <w:vAlign w:val="center"/>
          </w:tcPr>
          <w:p>
            <w:pPr>
              <w:pStyle w:val="TableText"/>
              <w:keepNext/>
              <w:jc w:val="left"/>
            </w:pPr>
            <w:r>
              <w:rPr>
                <w:sz w:val="24"/>
              </w:rPr>
              <w:t>Перспективность НТПр</w:t>
            </w:r>
          </w:p>
        </w:tc>
        <w:tc>
          <w:tcPr>
            <w:tcW w:type="dxa" w:w="4535"/>
            <w:vAlign w:val="center"/>
          </w:tcPr>
          <w:p>
            <w:pPr>
              <w:pStyle w:val="TableText"/>
              <w:keepNext/>
              <w:jc w:val="left"/>
            </w:pPr>
            <w:r>
              <w:rPr>
                <w:sz w:val="24"/>
              </w:rPr>
              <w:t>Первостепенная важность</w:t>
            </w:r>
          </w:p>
        </w:tc>
        <w:tc>
          <w:tcPr>
            <w:tcW w:type="dxa" w:w="1701"/>
            <w:vAlign w:val="center"/>
          </w:tcPr>
          <w:p>
            <w:pPr>
              <w:pStyle w:val="TableText"/>
              <w:keepNext/>
              <w:jc w:val="center"/>
            </w:pPr>
            <w:r>
              <w:rPr>
                <w:sz w:val="24"/>
              </w:rPr>
              <w:t>8–10</w:t>
            </w:r>
          </w:p>
        </w:tc>
      </w:tr>
      <w:tr>
        <w:trPr>
          <w:cantSplit/>
        </w:trPr>
        <w:tc>
          <w:tcPr>
            <w:tcW w:type="dxa" w:w="3118"/>
            <w:vMerge/>
            <w:vAlign w:val="center"/>
          </w:tcPr>
          <w:p/>
        </w:tc>
        <w:tc>
          <w:tcPr>
            <w:tcW w:type="dxa" w:w="4535"/>
            <w:vAlign w:val="center"/>
          </w:tcPr>
          <w:p>
            <w:pPr>
              <w:pStyle w:val="TableText"/>
              <w:keepNext/>
              <w:jc w:val="left"/>
            </w:pPr>
            <w:r>
              <w:rPr>
                <w:sz w:val="24"/>
              </w:rPr>
              <w:t>Важная</w:t>
            </w:r>
          </w:p>
        </w:tc>
        <w:tc>
          <w:tcPr>
            <w:tcW w:type="dxa" w:w="1701"/>
            <w:vAlign w:val="center"/>
          </w:tcPr>
          <w:p>
            <w:pPr>
              <w:pStyle w:val="TableText"/>
              <w:keepNext/>
              <w:jc w:val="center"/>
            </w:pPr>
            <w:r>
              <w:rPr>
                <w:sz w:val="24"/>
              </w:rPr>
              <w:t>5–7</w:t>
            </w:r>
          </w:p>
        </w:tc>
      </w:tr>
      <w:tr>
        <w:trPr>
          <w:cantSplit/>
        </w:trPr>
        <w:tc>
          <w:tcPr>
            <w:tcW w:type="dxa" w:w="3118"/>
            <w:vMerge/>
            <w:vAlign w:val="center"/>
          </w:tcPr>
          <w:p/>
        </w:tc>
        <w:tc>
          <w:tcPr>
            <w:tcW w:type="dxa" w:w="4535"/>
            <w:vAlign w:val="center"/>
          </w:tcPr>
          <w:p>
            <w:pPr>
              <w:pStyle w:val="TableText"/>
              <w:jc w:val="left"/>
            </w:pPr>
            <w:r>
              <w:rPr>
                <w:sz w:val="24"/>
              </w:rPr>
              <w:t>Полезная</w:t>
            </w:r>
          </w:p>
        </w:tc>
        <w:tc>
          <w:tcPr>
            <w:tcW w:type="dxa" w:w="1701"/>
            <w:vAlign w:val="center"/>
          </w:tcPr>
          <w:p>
            <w:pPr>
              <w:pStyle w:val="TableText"/>
              <w:jc w:val="center"/>
            </w:pPr>
            <w:r>
              <w:rPr>
                <w:sz w:val="24"/>
              </w:rPr>
              <w:t>1–4</w:t>
            </w:r>
          </w:p>
        </w:tc>
      </w:tr>
    </w:tbl>
    <w:p>
      <w:pPr>
        <w:spacing w:line="240" w:lineRule="auto"/>
      </w:pPr>
    </w:p>
    <w:p>
      <w:pPr>
        <w:pStyle w:val="TableCaption"/>
        <w:ind w:firstLine="0"/>
      </w:pPr>
      <w:r>
        <w:t>Таблица 4.2 – Шкала оценки возможности применения результатов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834"/>
        <w:gridCol w:w="2267"/>
        <w:gridCol w:w="2267"/>
        <w:gridCol w:w="1984"/>
      </w:tblGrid>
      <w:tr>
        <w:trPr>
          <w:cantSplit/>
          <w:tblHeader w:val="true"/>
        </w:trPr>
        <w:tc>
          <w:tcPr>
            <w:tcW w:type="dxa" w:w="2835"/>
            <w:vMerge w:val="restart"/>
            <w:vAlign w:val="center"/>
          </w:tcPr>
          <w:p>
            <w:pPr>
              <w:pStyle w:val="TableText"/>
              <w:keepNext/>
              <w:jc w:val="center"/>
            </w:pPr>
            <w:r>
              <w:rPr>
                <w:b/>
                <w:sz w:val="24"/>
              </w:rPr>
              <w:t>Период возможного применения результатов НТПр</w:t>
            </w:r>
          </w:p>
        </w:tc>
        <w:tc>
          <w:tcPr>
            <w:tcW w:type="dxa" w:w="6520"/>
            <w:gridSpan w:val="3"/>
            <w:vAlign w:val="center"/>
          </w:tcPr>
          <w:p>
            <w:pPr>
              <w:pStyle w:val="TableText"/>
              <w:keepNext/>
              <w:jc w:val="center"/>
            </w:pPr>
            <w:r>
              <w:rPr>
                <w:b/>
                <w:sz w:val="24"/>
              </w:rPr>
              <w:t>Область применения НТПр</w:t>
            </w:r>
          </w:p>
        </w:tc>
      </w:tr>
      <w:tr>
        <w:trPr>
          <w:cantSplit/>
          <w:tblHeader w:val="true"/>
        </w:trPr>
        <w:tc>
          <w:tcPr>
            <w:tcW w:type="dxa" w:w="2835"/>
            <w:vMerge/>
            <w:vAlign w:val="center"/>
          </w:tcPr>
          <w:p/>
        </w:tc>
        <w:tc>
          <w:tcPr>
            <w:tcW w:type="dxa" w:w="2268"/>
            <w:vAlign w:val="center"/>
          </w:tcPr>
          <w:p>
            <w:pPr>
              <w:pStyle w:val="TableText"/>
              <w:keepNext/>
              <w:jc w:val="center"/>
            </w:pPr>
            <w:r>
              <w:rPr>
                <w:b/>
                <w:sz w:val="24"/>
              </w:rPr>
              <w:t>Народное хозяйство (национальное)</w:t>
            </w:r>
          </w:p>
        </w:tc>
        <w:tc>
          <w:tcPr>
            <w:tcW w:type="dxa" w:w="2268"/>
            <w:vAlign w:val="center"/>
          </w:tcPr>
          <w:p>
            <w:pPr>
              <w:pStyle w:val="TableText"/>
              <w:keepNext/>
              <w:jc w:val="center"/>
            </w:pPr>
            <w:r>
              <w:rPr>
                <w:b/>
                <w:sz w:val="24"/>
              </w:rPr>
              <w:t>Отрасль (промышленность)</w:t>
            </w:r>
          </w:p>
        </w:tc>
        <w:tc>
          <w:tcPr>
            <w:tcW w:type="dxa" w:w="1984"/>
            <w:vAlign w:val="center"/>
          </w:tcPr>
          <w:p>
            <w:pPr>
              <w:pStyle w:val="TableText"/>
              <w:keepNext/>
              <w:jc w:val="center"/>
            </w:pPr>
            <w:r>
              <w:rPr>
                <w:b/>
                <w:sz w:val="24"/>
              </w:rPr>
              <w:t>Предприятие (организация)</w:t>
            </w:r>
          </w:p>
        </w:tc>
      </w:tr>
      <w:tr>
        <w:trPr>
          <w:cantSplit/>
        </w:trPr>
        <w:tc>
          <w:tcPr>
            <w:tcW w:type="dxa" w:w="2835"/>
            <w:vAlign w:val="center"/>
          </w:tcPr>
          <w:p>
            <w:pPr>
              <w:pStyle w:val="TableText"/>
              <w:keepNext/>
              <w:jc w:val="left"/>
            </w:pPr>
            <w:r>
              <w:rPr>
                <w:sz w:val="24"/>
              </w:rPr>
              <w:t>До 3 лет</w:t>
            </w:r>
          </w:p>
        </w:tc>
        <w:tc>
          <w:tcPr>
            <w:tcW w:type="dxa" w:w="2268"/>
            <w:vAlign w:val="center"/>
          </w:tcPr>
          <w:p>
            <w:pPr>
              <w:pStyle w:val="TableText"/>
              <w:keepNext/>
              <w:jc w:val="center"/>
            </w:pPr>
            <w:r>
              <w:rPr>
                <w:sz w:val="24"/>
              </w:rPr>
              <w:t>10</w:t>
            </w:r>
          </w:p>
        </w:tc>
        <w:tc>
          <w:tcPr>
            <w:tcW w:type="dxa" w:w="2268"/>
            <w:vAlign w:val="center"/>
          </w:tcPr>
          <w:p>
            <w:pPr>
              <w:pStyle w:val="TableText"/>
              <w:keepNext/>
              <w:jc w:val="center"/>
            </w:pPr>
            <w:r>
              <w:rPr>
                <w:sz w:val="24"/>
              </w:rPr>
              <w:t>8</w:t>
            </w:r>
          </w:p>
        </w:tc>
        <w:tc>
          <w:tcPr>
            <w:tcW w:type="dxa" w:w="1984"/>
            <w:vAlign w:val="center"/>
          </w:tcPr>
          <w:p>
            <w:pPr>
              <w:pStyle w:val="TableText"/>
              <w:keepNext/>
              <w:jc w:val="center"/>
            </w:pPr>
            <w:r>
              <w:rPr>
                <w:sz w:val="24"/>
              </w:rPr>
              <w:t>4</w:t>
            </w:r>
          </w:p>
        </w:tc>
      </w:tr>
      <w:tr>
        <w:trPr>
          <w:cantSplit/>
        </w:trPr>
        <w:tc>
          <w:tcPr>
            <w:tcW w:type="dxa" w:w="2835"/>
            <w:vAlign w:val="center"/>
          </w:tcPr>
          <w:p>
            <w:pPr>
              <w:pStyle w:val="TableText"/>
              <w:keepNext/>
              <w:jc w:val="left"/>
            </w:pPr>
            <w:r>
              <w:rPr>
                <w:sz w:val="24"/>
              </w:rPr>
              <w:t>3–5 лет</w:t>
            </w:r>
          </w:p>
        </w:tc>
        <w:tc>
          <w:tcPr>
            <w:tcW w:type="dxa" w:w="2268"/>
            <w:vAlign w:val="center"/>
          </w:tcPr>
          <w:p>
            <w:pPr>
              <w:pStyle w:val="TableText"/>
              <w:keepNext/>
              <w:jc w:val="center"/>
            </w:pPr>
            <w:r>
              <w:rPr>
                <w:sz w:val="24"/>
              </w:rPr>
              <w:t>8</w:t>
            </w:r>
          </w:p>
        </w:tc>
        <w:tc>
          <w:tcPr>
            <w:tcW w:type="dxa" w:w="2268"/>
            <w:vAlign w:val="center"/>
          </w:tcPr>
          <w:p>
            <w:pPr>
              <w:pStyle w:val="TableText"/>
              <w:keepNext/>
              <w:jc w:val="center"/>
            </w:pPr>
            <w:r>
              <w:rPr>
                <w:sz w:val="24"/>
              </w:rPr>
              <w:t>7</w:t>
            </w:r>
          </w:p>
        </w:tc>
        <w:tc>
          <w:tcPr>
            <w:tcW w:type="dxa" w:w="1984"/>
            <w:vAlign w:val="center"/>
          </w:tcPr>
          <w:p>
            <w:pPr>
              <w:pStyle w:val="TableText"/>
              <w:keepNext/>
              <w:jc w:val="center"/>
            </w:pPr>
            <w:r>
              <w:rPr>
                <w:sz w:val="24"/>
              </w:rPr>
              <w:t>3</w:t>
            </w:r>
          </w:p>
        </w:tc>
      </w:tr>
      <w:tr>
        <w:trPr>
          <w:cantSplit/>
        </w:trPr>
        <w:tc>
          <w:tcPr>
            <w:tcW w:type="dxa" w:w="2835"/>
            <w:vAlign w:val="center"/>
          </w:tcPr>
          <w:p>
            <w:pPr>
              <w:pStyle w:val="TableText"/>
              <w:keepNext/>
              <w:jc w:val="left"/>
            </w:pPr>
            <w:r>
              <w:rPr>
                <w:sz w:val="24"/>
              </w:rPr>
              <w:t>6–10 лет</w:t>
            </w:r>
          </w:p>
        </w:tc>
        <w:tc>
          <w:tcPr>
            <w:tcW w:type="dxa" w:w="2268"/>
            <w:vAlign w:val="center"/>
          </w:tcPr>
          <w:p>
            <w:pPr>
              <w:pStyle w:val="TableText"/>
              <w:keepNext/>
              <w:jc w:val="center"/>
            </w:pPr>
            <w:r>
              <w:rPr>
                <w:sz w:val="24"/>
              </w:rPr>
              <w:t>6</w:t>
            </w:r>
          </w:p>
        </w:tc>
        <w:tc>
          <w:tcPr>
            <w:tcW w:type="dxa" w:w="2268"/>
            <w:vAlign w:val="center"/>
          </w:tcPr>
          <w:p>
            <w:pPr>
              <w:pStyle w:val="TableText"/>
              <w:keepNext/>
              <w:jc w:val="center"/>
            </w:pPr>
            <w:r>
              <w:rPr>
                <w:sz w:val="24"/>
              </w:rPr>
              <w:t>5</w:t>
            </w:r>
          </w:p>
        </w:tc>
        <w:tc>
          <w:tcPr>
            <w:tcW w:type="dxa" w:w="1984"/>
            <w:vAlign w:val="center"/>
          </w:tcPr>
          <w:p>
            <w:pPr>
              <w:pStyle w:val="TableText"/>
              <w:keepNext/>
              <w:jc w:val="center"/>
            </w:pPr>
            <w:r>
              <w:rPr>
                <w:sz w:val="24"/>
              </w:rPr>
              <w:t>2</w:t>
            </w:r>
          </w:p>
        </w:tc>
      </w:tr>
      <w:tr>
        <w:trPr>
          <w:cantSplit/>
        </w:trPr>
        <w:tc>
          <w:tcPr>
            <w:tcW w:type="dxa" w:w="2835"/>
            <w:vAlign w:val="center"/>
          </w:tcPr>
          <w:p>
            <w:pPr>
              <w:pStyle w:val="TableText"/>
              <w:jc w:val="left"/>
            </w:pPr>
            <w:r>
              <w:rPr>
                <w:sz w:val="24"/>
              </w:rPr>
              <w:t>Более 10 лет</w:t>
            </w:r>
          </w:p>
        </w:tc>
        <w:tc>
          <w:tcPr>
            <w:tcW w:type="dxa" w:w="2268"/>
            <w:vAlign w:val="center"/>
          </w:tcPr>
          <w:p>
            <w:pPr>
              <w:pStyle w:val="TableText"/>
              <w:jc w:val="center"/>
            </w:pPr>
            <w:r>
              <w:rPr>
                <w:sz w:val="24"/>
              </w:rPr>
              <w:t>4</w:t>
            </w:r>
          </w:p>
        </w:tc>
        <w:tc>
          <w:tcPr>
            <w:tcW w:type="dxa" w:w="2268"/>
            <w:vAlign w:val="center"/>
          </w:tcPr>
          <w:p>
            <w:pPr>
              <w:pStyle w:val="TableText"/>
              <w:jc w:val="center"/>
            </w:pPr>
            <w:r>
              <w:rPr>
                <w:sz w:val="24"/>
              </w:rPr>
              <w:t>3</w:t>
            </w:r>
          </w:p>
        </w:tc>
        <w:tc>
          <w:tcPr>
            <w:tcW w:type="dxa" w:w="1984"/>
            <w:vAlign w:val="center"/>
          </w:tcPr>
          <w:p>
            <w:pPr>
              <w:pStyle w:val="TableText"/>
              <w:jc w:val="center"/>
            </w:pPr>
            <w:r>
              <w:rPr>
                <w:sz w:val="24"/>
              </w:rPr>
              <w:t>1</w:t>
            </w:r>
          </w:p>
        </w:tc>
      </w:tr>
    </w:tbl>
    <w:p>
      <w:pPr>
        <w:spacing w:line="240" w:lineRule="auto"/>
      </w:pPr>
    </w:p>
    <w:p>
      <w:r>
        <w:t>Для выбора базы сравнения рассмотрены доступные аппаратные платформы Wi-Fi HaLow (таблица 4.3). Помимо используемой в работе платформы LilyGO T-HaLow на чипсете Taixin, на рынке представлены решения на чипсетах Newracom (NRC7292, NRC7394) и Morse Micro (MM6108).</w:t>
      </w:r>
    </w:p>
    <w:p>
      <w:pPr>
        <w:pStyle w:val="TableCaption"/>
        <w:ind w:firstLine="0"/>
      </w:pPr>
      <w:r>
        <w:t>Таблица 4.3 – Аппаратные платформы Wi-Fi HaLow</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700"/>
        <w:gridCol w:w="3344"/>
        <w:gridCol w:w="1247"/>
        <w:gridCol w:w="963"/>
      </w:tblGrid>
      <w:tr>
        <w:trPr>
          <w:cantSplit/>
          <w:tblHeader w:val="true"/>
        </w:trPr>
        <w:tc>
          <w:tcPr>
            <w:tcW w:type="dxa" w:w="2098"/>
            <w:vAlign w:val="center"/>
          </w:tcPr>
          <w:p>
            <w:pPr>
              <w:pStyle w:val="TableText"/>
              <w:keepNext/>
              <w:jc w:val="center"/>
            </w:pPr>
            <w:r>
              <w:rPr>
                <w:b/>
                <w:sz w:val="22"/>
              </w:rPr>
              <w:t>Платформа</w:t>
            </w:r>
          </w:p>
        </w:tc>
        <w:tc>
          <w:tcPr>
            <w:tcW w:type="dxa" w:w="1701"/>
            <w:vAlign w:val="center"/>
          </w:tcPr>
          <w:p>
            <w:pPr>
              <w:pStyle w:val="TableText"/>
              <w:keepNext/>
              <w:jc w:val="center"/>
            </w:pPr>
            <w:r>
              <w:rPr>
                <w:b/>
                <w:sz w:val="22"/>
              </w:rPr>
              <w:t>Чипсет Wi-Fi HaLow</w:t>
            </w:r>
          </w:p>
        </w:tc>
        <w:tc>
          <w:tcPr>
            <w:tcW w:type="dxa" w:w="3345"/>
            <w:vAlign w:val="center"/>
          </w:tcPr>
          <w:p>
            <w:pPr>
              <w:pStyle w:val="TableText"/>
              <w:keepNext/>
              <w:jc w:val="center"/>
            </w:pPr>
            <w:r>
              <w:rPr>
                <w:b/>
                <w:sz w:val="22"/>
              </w:rPr>
              <w:t>Исполнение</w:t>
            </w:r>
          </w:p>
        </w:tc>
        <w:tc>
          <w:tcPr>
            <w:tcW w:type="dxa" w:w="1247"/>
            <w:vAlign w:val="center"/>
          </w:tcPr>
          <w:p>
            <w:pPr>
              <w:pStyle w:val="TableText"/>
              <w:keepNext/>
              <w:jc w:val="center"/>
            </w:pPr>
            <w:r>
              <w:rPr>
                <w:b/>
                <w:sz w:val="22"/>
              </w:rPr>
              <w:t>Цена узла, руб.</w:t>
            </w:r>
          </w:p>
        </w:tc>
        <w:tc>
          <w:tcPr>
            <w:tcW w:type="dxa" w:w="964"/>
            <w:vAlign w:val="center"/>
          </w:tcPr>
          <w:p>
            <w:pPr>
              <w:pStyle w:val="TableText"/>
              <w:keepNext/>
              <w:jc w:val="center"/>
            </w:pPr>
            <w:r>
              <w:rPr>
                <w:b/>
                <w:sz w:val="22"/>
              </w:rPr>
              <w:t>Источник</w:t>
            </w:r>
          </w:p>
        </w:tc>
      </w:tr>
      <w:tr>
        <w:trPr>
          <w:cantSplit/>
        </w:trPr>
        <w:tc>
          <w:tcPr>
            <w:tcW w:type="dxa" w:w="2098"/>
            <w:vAlign w:val="center"/>
          </w:tcPr>
          <w:p>
            <w:pPr>
              <w:pStyle w:val="TableText"/>
              <w:keepNext/>
              <w:jc w:val="left"/>
            </w:pPr>
            <w:r>
              <w:rPr>
                <w:sz w:val="22"/>
              </w:rPr>
              <w:t>LilyGO T-HaLow V1.0</w:t>
            </w:r>
          </w:p>
        </w:tc>
        <w:tc>
          <w:tcPr>
            <w:tcW w:type="dxa" w:w="1701"/>
            <w:vAlign w:val="center"/>
          </w:tcPr>
          <w:p>
            <w:pPr>
              <w:pStyle w:val="TableText"/>
              <w:keepNext/>
              <w:jc w:val="left"/>
            </w:pPr>
            <w:r>
              <w:rPr>
                <w:sz w:val="22"/>
              </w:rPr>
              <w:t>Taixin TX-AH-R900P</w:t>
            </w:r>
          </w:p>
        </w:tc>
        <w:tc>
          <w:tcPr>
            <w:tcW w:type="dxa" w:w="3345"/>
            <w:vAlign w:val="center"/>
          </w:tcPr>
          <w:p>
            <w:pPr>
              <w:pStyle w:val="TableText"/>
              <w:keepNext/>
              <w:jc w:val="left"/>
            </w:pPr>
            <w:r>
              <w:rPr>
                <w:sz w:val="22"/>
              </w:rPr>
              <w:t>Законченная плата: ESP32-S3, разъём камеры, Ethernet, держатель 18650</w:t>
            </w:r>
          </w:p>
        </w:tc>
        <w:tc>
          <w:tcPr>
            <w:tcW w:type="dxa" w:w="1247"/>
            <w:vAlign w:val="center"/>
          </w:tcPr>
          <w:p>
            <w:pPr>
              <w:pStyle w:val="TableText"/>
              <w:keepNext/>
              <w:jc w:val="center"/>
            </w:pPr>
            <w:r>
              <w:rPr>
                <w:sz w:val="22"/>
              </w:rPr>
              <w:t>3 198</w:t>
            </w:r>
          </w:p>
        </w:tc>
        <w:tc>
          <w:tcPr>
            <w:tcW w:type="dxa" w:w="964"/>
            <w:vAlign w:val="center"/>
          </w:tcPr>
          <w:p>
            <w:pPr>
              <w:pStyle w:val="TableText"/>
              <w:keepNext/>
              <w:jc w:val="center"/>
            </w:pPr>
            <w:r>
              <w:rPr>
                <w:sz w:val="22"/>
              </w:rPr>
              <w:t>[Э5]</w:t>
            </w:r>
          </w:p>
        </w:tc>
      </w:tr>
      <w:tr>
        <w:trPr>
          <w:cantSplit/>
        </w:trPr>
        <w:tc>
          <w:tcPr>
            <w:tcW w:type="dxa" w:w="2098"/>
            <w:vAlign w:val="center"/>
          </w:tcPr>
          <w:p>
            <w:pPr>
              <w:pStyle w:val="TableText"/>
              <w:keepNext/>
              <w:jc w:val="left"/>
            </w:pPr>
            <w:r>
              <w:rPr>
                <w:sz w:val="22"/>
              </w:rPr>
              <w:t>ALFA Network AHPI7292S</w:t>
            </w:r>
          </w:p>
        </w:tc>
        <w:tc>
          <w:tcPr>
            <w:tcW w:type="dxa" w:w="1701"/>
            <w:vAlign w:val="center"/>
          </w:tcPr>
          <w:p>
            <w:pPr>
              <w:pStyle w:val="TableText"/>
              <w:keepNext/>
              <w:jc w:val="left"/>
            </w:pPr>
            <w:r>
              <w:rPr>
                <w:sz w:val="22"/>
              </w:rPr>
              <w:t>Newracom NRC7292</w:t>
            </w:r>
          </w:p>
        </w:tc>
        <w:tc>
          <w:tcPr>
            <w:tcW w:type="dxa" w:w="3345"/>
            <w:vAlign w:val="center"/>
          </w:tcPr>
          <w:p>
            <w:pPr>
              <w:pStyle w:val="TableText"/>
              <w:keepNext/>
              <w:jc w:val="left"/>
            </w:pPr>
            <w:r>
              <w:rPr>
                <w:sz w:val="22"/>
              </w:rPr>
              <w:t>Плата расширения; требуется внешний хост-компьютер Raspberry Pi</w:t>
            </w:r>
          </w:p>
        </w:tc>
        <w:tc>
          <w:tcPr>
            <w:tcW w:type="dxa" w:w="1247"/>
            <w:vAlign w:val="center"/>
          </w:tcPr>
          <w:p>
            <w:pPr>
              <w:pStyle w:val="TableText"/>
              <w:keepNext/>
              <w:jc w:val="center"/>
            </w:pPr>
            <w:r>
              <w:rPr>
                <w:sz w:val="22"/>
              </w:rPr>
              <w:t>5 723*</w:t>
            </w:r>
          </w:p>
        </w:tc>
        <w:tc>
          <w:tcPr>
            <w:tcW w:type="dxa" w:w="964"/>
            <w:vAlign w:val="center"/>
          </w:tcPr>
          <w:p>
            <w:pPr>
              <w:pStyle w:val="TableText"/>
              <w:keepNext/>
              <w:jc w:val="center"/>
            </w:pPr>
            <w:r>
              <w:rPr>
                <w:sz w:val="22"/>
              </w:rPr>
              <w:t>[Э6]</w:t>
            </w:r>
          </w:p>
        </w:tc>
      </w:tr>
      <w:tr>
        <w:trPr>
          <w:cantSplit/>
        </w:trPr>
        <w:tc>
          <w:tcPr>
            <w:tcW w:type="dxa" w:w="2098"/>
            <w:vAlign w:val="center"/>
          </w:tcPr>
          <w:p>
            <w:pPr>
              <w:pStyle w:val="TableText"/>
              <w:keepNext/>
              <w:jc w:val="left"/>
            </w:pPr>
            <w:r>
              <w:rPr>
                <w:sz w:val="22"/>
              </w:rPr>
              <w:t>Newracom NRC7292 EVK, NRC7394 EVK</w:t>
            </w:r>
          </w:p>
        </w:tc>
        <w:tc>
          <w:tcPr>
            <w:tcW w:type="dxa" w:w="1701"/>
            <w:vAlign w:val="center"/>
          </w:tcPr>
          <w:p>
            <w:pPr>
              <w:pStyle w:val="TableText"/>
              <w:keepNext/>
              <w:jc w:val="left"/>
            </w:pPr>
            <w:r>
              <w:rPr>
                <w:sz w:val="22"/>
              </w:rPr>
              <w:t>Newracom NRC7292 / NRC7394</w:t>
            </w:r>
          </w:p>
        </w:tc>
        <w:tc>
          <w:tcPr>
            <w:tcW w:type="dxa" w:w="3345"/>
            <w:vAlign w:val="center"/>
          </w:tcPr>
          <w:p>
            <w:pPr>
              <w:pStyle w:val="TableText"/>
              <w:keepNext/>
              <w:jc w:val="left"/>
            </w:pPr>
            <w:r>
              <w:rPr>
                <w:sz w:val="22"/>
              </w:rPr>
              <w:t>Оценочные комплекты производителя чипсета</w:t>
            </w:r>
          </w:p>
        </w:tc>
        <w:tc>
          <w:tcPr>
            <w:tcW w:type="dxa" w:w="1247"/>
            <w:vAlign w:val="center"/>
          </w:tcPr>
          <w:p>
            <w:pPr>
              <w:pStyle w:val="TableText"/>
              <w:keepNext/>
              <w:jc w:val="center"/>
            </w:pPr>
            <w:r>
              <w:rPr>
                <w:sz w:val="22"/>
              </w:rPr>
              <w:t>по запросу</w:t>
            </w:r>
          </w:p>
        </w:tc>
        <w:tc>
          <w:tcPr>
            <w:tcW w:type="dxa" w:w="964"/>
            <w:vAlign w:val="center"/>
          </w:tcPr>
          <w:p>
            <w:pPr>
              <w:pStyle w:val="TableText"/>
              <w:keepNext/>
              <w:jc w:val="center"/>
            </w:pPr>
            <w:r>
              <w:rPr>
                <w:sz w:val="22"/>
              </w:rPr>
              <w:t>[Э7]</w:t>
            </w:r>
          </w:p>
        </w:tc>
      </w:tr>
      <w:tr>
        <w:trPr>
          <w:cantSplit/>
        </w:trPr>
        <w:tc>
          <w:tcPr>
            <w:tcW w:type="dxa" w:w="2098"/>
            <w:vAlign w:val="center"/>
          </w:tcPr>
          <w:p>
            <w:pPr>
              <w:pStyle w:val="TableText"/>
              <w:jc w:val="left"/>
            </w:pPr>
            <w:r>
              <w:rPr>
                <w:sz w:val="22"/>
              </w:rPr>
              <w:t>Morse Micro MM6108-EKH05</w:t>
            </w:r>
          </w:p>
        </w:tc>
        <w:tc>
          <w:tcPr>
            <w:tcW w:type="dxa" w:w="1701"/>
            <w:vAlign w:val="center"/>
          </w:tcPr>
          <w:p>
            <w:pPr>
              <w:pStyle w:val="TableText"/>
              <w:jc w:val="left"/>
            </w:pPr>
            <w:r>
              <w:rPr>
                <w:sz w:val="22"/>
              </w:rPr>
              <w:t>Morse Micro MM6108</w:t>
            </w:r>
          </w:p>
        </w:tc>
        <w:tc>
          <w:tcPr>
            <w:tcW w:type="dxa" w:w="3345"/>
            <w:vAlign w:val="center"/>
          </w:tcPr>
          <w:p>
            <w:pPr>
              <w:pStyle w:val="TableText"/>
              <w:jc w:val="left"/>
            </w:pPr>
            <w:r>
              <w:rPr>
                <w:sz w:val="22"/>
              </w:rPr>
              <w:t>Оценочный комплект производителя чипсета (хост STM32U585)</w:t>
            </w:r>
          </w:p>
        </w:tc>
        <w:tc>
          <w:tcPr>
            <w:tcW w:type="dxa" w:w="1247"/>
            <w:vAlign w:val="center"/>
          </w:tcPr>
          <w:p>
            <w:pPr>
              <w:pStyle w:val="TableText"/>
              <w:jc w:val="center"/>
            </w:pPr>
            <w:r>
              <w:rPr>
                <w:sz w:val="22"/>
              </w:rPr>
              <w:t>39 620</w:t>
            </w:r>
          </w:p>
        </w:tc>
        <w:tc>
          <w:tcPr>
            <w:tcW w:type="dxa" w:w="964"/>
            <w:vAlign w:val="center"/>
          </w:tcPr>
          <w:p>
            <w:pPr>
              <w:pStyle w:val="TableText"/>
              <w:jc w:val="center"/>
            </w:pPr>
            <w:r>
              <w:rPr>
                <w:sz w:val="22"/>
              </w:rPr>
              <w:t>[Э8]</w:t>
            </w:r>
          </w:p>
        </w:tc>
      </w:tr>
    </w:tbl>
    <w:p>
      <w:pPr>
        <w:spacing w:line="240" w:lineRule="auto"/>
      </w:pPr>
    </w:p>
    <w:p>
      <w:pPr>
        <w:ind w:firstLine="0"/>
      </w:pPr>
      <w:r>
        <w:t>* Цена 67,97 долл. США пересчитана по курсу Банка России 84,1975 руб./долл. на 20.09.2026 [Э9] без учёта стоимости хост-компьютера.</w:t>
      </w:r>
    </w:p>
    <w:p>
      <w:r>
        <w:t>Оценочные комплекты Newracom поставляются по запросу к производителю, открытая цена на них отсутствует [Э7], а платы сторонних производителей на чипсетах Newracom требуют внешнего хост-компьютера и не содержат средств подключения камеры. Единственным оценочным комплектом производителя чипсета с открытой ценой и поставкой в Российскую Федерацию является Morse Micro MM6108-EKH05 [Э8], поэтому он принят в качестве аппаратной платформы базового варианта.</w:t>
      </w:r>
    </w:p>
    <w:p>
      <w:r>
        <w:t>За базу для сравнения принят распространённый подход к оценке характеристик Wi-Fi HaLow — испытания по методике производителя на серийных оценочных комплектах: измерение дальности и пропускной способности без сопоставления с теоретической оценкой параметров канала и без сравнения с IEEE 802.11 в идентичных условиях. Баллы по признакам научно-технического эффекта обоснованы следующим образом.</w:t>
      </w:r>
    </w:p>
    <w:p>
      <w:r>
        <w:t xml:space="preserve">– </w:t>
      </w:r>
      <w:r>
        <w:rPr>
          <w:b/>
        </w:rPr>
        <w:t xml:space="preserve">Научно-технический уровень (новизна). </w:t>
      </w:r>
      <w:r>
        <w:t>Базовый вариант воспроизводит известные испытания и даёт характеристики, привязанные к конкретному комплекту, — 3 балла (нижняя граница категории «приближается к мировым достижениям»). В настоящей работе выполняется натурная проверка теоретических моделей распространения радиоволн с определением их эмпирических параметров и границ применимости, а Wi-Fi HaLow сравнивается с IEEE 802.11 на одной и той же аппаратной платформе (ESP32-S3 содержит собственный радиотракт 2,4 ГГц), что исключает влияние различий оборудования, — 5 баллов (верхняя граница той же категории). Более высокая оценка не принимается, так как исследование ограничено статичной конфигурацией «точка — точка».</w:t>
      </w:r>
    </w:p>
    <w:p>
      <w:r>
        <w:t xml:space="preserve">– </w:t>
      </w:r>
      <w:r>
        <w:rPr>
          <w:b/>
        </w:rPr>
        <w:t xml:space="preserve">Перспективность. </w:t>
      </w:r>
      <w:r>
        <w:t>Результаты базового варианта подтверждают работоспособность технологии, но не дают исходных данных для проектирования канала под конкретную задачу, — 5 баллов («важная»). Результаты работы непосредственно используются при проектировании каналов связи с удалёнными объектами, в том числе с БПЛА; при этом доступное оборудование Wi-Fi HaLow появилось на рынке лишь в 2024–2025 гг. и натурных измерений для него немного, — 7 баллов (верхняя граница категории «важная»).</w:t>
      </w:r>
    </w:p>
    <w:p>
      <w:r>
        <w:t xml:space="preserve">– </w:t>
      </w:r>
      <w:r>
        <w:rPr>
          <w:b/>
        </w:rPr>
        <w:t xml:space="preserve">Возможность применения результатов. </w:t>
      </w:r>
      <w:r>
        <w:t>Результаты базового варианта применимы на уровне отдельного предприятия после адаптации к целевой платформе в срок 3–5 лет — 3 балла. Результаты работы получены на серийно выпускаемой платформе и могут использоваться разработчиками систем связи БПЛА на уровне отрасли в срок до 3 лет — 8 баллов.</w:t>
      </w:r>
    </w:p>
    <w:p>
      <w:r>
        <w:t>Значимость признаков принята по [Э4]. Результаты балльной оценки сведены в таблицу 4.4.</w:t>
      </w:r>
    </w:p>
    <w:p>
      <w:pPr>
        <w:pStyle w:val="TableCaption"/>
        <w:ind w:firstLine="0"/>
      </w:pPr>
      <w:r>
        <w:t>Таблица 4.4 – Научно-технический эффект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1757"/>
        <w:gridCol w:w="2040"/>
        <w:gridCol w:w="2040"/>
      </w:tblGrid>
      <w:tr>
        <w:trPr>
          <w:cantSplit/>
          <w:tblHeader w:val="true"/>
        </w:trPr>
        <w:tc>
          <w:tcPr>
            <w:tcW w:type="dxa" w:w="3515"/>
            <w:vAlign w:val="center"/>
          </w:tcPr>
          <w:p>
            <w:pPr>
              <w:pStyle w:val="TableText"/>
              <w:keepNext/>
              <w:jc w:val="center"/>
            </w:pPr>
            <w:r>
              <w:rPr>
                <w:b/>
                <w:sz w:val="24"/>
              </w:rPr>
              <w:t>Признак научно-технического эффекта НТПр</w:t>
            </w:r>
          </w:p>
        </w:tc>
        <w:tc>
          <w:tcPr>
            <w:tcW w:type="dxa" w:w="1757"/>
            <w:vAlign w:val="center"/>
          </w:tcPr>
          <w:p>
            <w:pPr>
              <w:pStyle w:val="TableText"/>
              <w:keepNext/>
              <w:jc w:val="center"/>
            </w:pPr>
            <w:r>
              <w:rPr>
                <w:b/>
                <w:sz w:val="24"/>
              </w:rPr>
              <w:t>Значимость признака</w:t>
            </w:r>
          </w:p>
        </w:tc>
        <w:tc>
          <w:tcPr>
            <w:tcW w:type="dxa" w:w="2041"/>
            <w:vAlign w:val="center"/>
          </w:tcPr>
          <w:p>
            <w:pPr>
              <w:pStyle w:val="TableText"/>
              <w:keepNext/>
              <w:jc w:val="center"/>
            </w:pPr>
            <w:r>
              <w:rPr>
                <w:b/>
                <w:sz w:val="24"/>
              </w:rPr>
              <w:t>Уровень свойств НТПр, выбранной за базу для сравнения, баллы</w:t>
            </w:r>
          </w:p>
        </w:tc>
        <w:tc>
          <w:tcPr>
            <w:tcW w:type="dxa" w:w="2041"/>
            <w:vAlign w:val="center"/>
          </w:tcPr>
          <w:p>
            <w:pPr>
              <w:pStyle w:val="TableText"/>
              <w:keepNext/>
              <w:jc w:val="center"/>
            </w:pPr>
            <w:r>
              <w:rPr>
                <w:b/>
                <w:sz w:val="24"/>
              </w:rPr>
              <w:t>Уровень свойств НТПр — результата ВКР, баллы</w:t>
            </w:r>
          </w:p>
        </w:tc>
      </w:tr>
      <w:tr>
        <w:trPr>
          <w:cantSplit/>
        </w:trPr>
        <w:tc>
          <w:tcPr>
            <w:tcW w:type="dxa" w:w="3515"/>
            <w:vAlign w:val="center"/>
          </w:tcPr>
          <w:p>
            <w:pPr>
              <w:pStyle w:val="TableText"/>
              <w:keepNext/>
              <w:jc w:val="left"/>
            </w:pPr>
            <w:r>
              <w:rPr>
                <w:sz w:val="24"/>
              </w:rPr>
              <w:t>Научно-технический уровень (новизна) НТПр</w:t>
            </w:r>
          </w:p>
        </w:tc>
        <w:tc>
          <w:tcPr>
            <w:tcW w:type="dxa" w:w="1757"/>
            <w:vAlign w:val="center"/>
          </w:tcPr>
          <w:p>
            <w:pPr>
              <w:pStyle w:val="TableText"/>
              <w:keepNext/>
              <w:jc w:val="center"/>
            </w:pPr>
            <w:r>
              <w:rPr>
                <w:sz w:val="24"/>
              </w:rPr>
              <w:t>0,4</w:t>
            </w:r>
          </w:p>
        </w:tc>
        <w:tc>
          <w:tcPr>
            <w:tcW w:type="dxa" w:w="2041"/>
            <w:vAlign w:val="center"/>
          </w:tcPr>
          <w:p>
            <w:pPr>
              <w:pStyle w:val="TableText"/>
              <w:keepNext/>
              <w:jc w:val="center"/>
            </w:pPr>
            <w:r>
              <w:rPr>
                <w:sz w:val="24"/>
              </w:rPr>
              <w:t>3</w:t>
            </w:r>
          </w:p>
        </w:tc>
        <w:tc>
          <w:tcPr>
            <w:tcW w:type="dxa" w:w="2041"/>
            <w:vAlign w:val="center"/>
          </w:tcPr>
          <w:p>
            <w:pPr>
              <w:pStyle w:val="TableText"/>
              <w:keepNext/>
              <w:jc w:val="center"/>
            </w:pPr>
            <w:r>
              <w:rPr>
                <w:sz w:val="24"/>
              </w:rPr>
              <w:t>5</w:t>
            </w:r>
          </w:p>
        </w:tc>
      </w:tr>
      <w:tr>
        <w:trPr>
          <w:cantSplit/>
        </w:trPr>
        <w:tc>
          <w:tcPr>
            <w:tcW w:type="dxa" w:w="3515"/>
            <w:vAlign w:val="center"/>
          </w:tcPr>
          <w:p>
            <w:pPr>
              <w:pStyle w:val="TableText"/>
              <w:keepNext/>
              <w:jc w:val="left"/>
            </w:pPr>
            <w:r>
              <w:rPr>
                <w:sz w:val="24"/>
              </w:rPr>
              <w:t>Перспективность НТПр</w:t>
            </w:r>
          </w:p>
        </w:tc>
        <w:tc>
          <w:tcPr>
            <w:tcW w:type="dxa" w:w="1757"/>
            <w:vAlign w:val="center"/>
          </w:tcPr>
          <w:p>
            <w:pPr>
              <w:pStyle w:val="TableText"/>
              <w:keepNext/>
              <w:jc w:val="center"/>
            </w:pPr>
            <w:r>
              <w:rPr>
                <w:sz w:val="24"/>
              </w:rPr>
              <w:t>0,4</w:t>
            </w:r>
          </w:p>
        </w:tc>
        <w:tc>
          <w:tcPr>
            <w:tcW w:type="dxa" w:w="2041"/>
            <w:vAlign w:val="center"/>
          </w:tcPr>
          <w:p>
            <w:pPr>
              <w:pStyle w:val="TableText"/>
              <w:keepNext/>
              <w:jc w:val="center"/>
            </w:pPr>
            <w:r>
              <w:rPr>
                <w:sz w:val="24"/>
              </w:rPr>
              <w:t>5</w:t>
            </w:r>
          </w:p>
        </w:tc>
        <w:tc>
          <w:tcPr>
            <w:tcW w:type="dxa" w:w="2041"/>
            <w:vAlign w:val="center"/>
          </w:tcPr>
          <w:p>
            <w:pPr>
              <w:pStyle w:val="TableText"/>
              <w:keepNext/>
              <w:jc w:val="center"/>
            </w:pPr>
            <w:r>
              <w:rPr>
                <w:sz w:val="24"/>
              </w:rPr>
              <w:t>7</w:t>
            </w:r>
          </w:p>
        </w:tc>
      </w:tr>
      <w:tr>
        <w:trPr>
          <w:cantSplit/>
        </w:trPr>
        <w:tc>
          <w:tcPr>
            <w:tcW w:type="dxa" w:w="3515"/>
            <w:vAlign w:val="center"/>
          </w:tcPr>
          <w:p>
            <w:pPr>
              <w:pStyle w:val="TableText"/>
              <w:jc w:val="left"/>
            </w:pPr>
            <w:r>
              <w:rPr>
                <w:sz w:val="24"/>
              </w:rPr>
              <w:t>Возможность применения результатов НТПр</w:t>
            </w:r>
          </w:p>
        </w:tc>
        <w:tc>
          <w:tcPr>
            <w:tcW w:type="dxa" w:w="1757"/>
            <w:vAlign w:val="center"/>
          </w:tcPr>
          <w:p>
            <w:pPr>
              <w:pStyle w:val="TableText"/>
              <w:jc w:val="center"/>
            </w:pPr>
            <w:r>
              <w:rPr>
                <w:sz w:val="24"/>
              </w:rPr>
              <w:t>0,2</w:t>
            </w:r>
          </w:p>
        </w:tc>
        <w:tc>
          <w:tcPr>
            <w:tcW w:type="dxa" w:w="2041"/>
            <w:vAlign w:val="center"/>
          </w:tcPr>
          <w:p>
            <w:pPr>
              <w:pStyle w:val="TableText"/>
              <w:jc w:val="center"/>
            </w:pPr>
            <w:r>
              <w:rPr>
                <w:sz w:val="24"/>
              </w:rPr>
              <w:t>3</w:t>
            </w:r>
          </w:p>
        </w:tc>
        <w:tc>
          <w:tcPr>
            <w:tcW w:type="dxa" w:w="2041"/>
            <w:vAlign w:val="center"/>
          </w:tcPr>
          <w:p>
            <w:pPr>
              <w:pStyle w:val="TableText"/>
              <w:jc w:val="center"/>
            </w:pPr>
            <w:r>
              <w:rPr>
                <w:sz w:val="24"/>
              </w:rPr>
              <w:t>8</w:t>
            </w:r>
          </w:p>
        </w:tc>
      </w:tr>
    </w:tbl>
    <w:p>
      <w:pPr>
        <w:spacing w:line="240" w:lineRule="auto"/>
      </w:pPr>
    </w:p>
    <w:p>
      <w:r>
        <w:t>Показателем научно-технической прогрессивности является индекс научно-технической прогрессивности, определяемый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f>
                <m:num>
                  <m:sSub>
                    <m:e>
                      <m:r>
                        <w:rPr>
                          <w:rFonts w:ascii="Cambria Math" w:hAnsi="Cambria Math"/>
                        </w:rPr>
                        <m:t xml:space="preserve">Н</m:t>
                      </m:r>
                    </m:e>
                    <m:sub>
                      <m:r>
                        <m:rPr>
                          <m:sty m:val="p"/>
                        </m:rPr>
                        <w:rPr>
                          <w:rFonts w:ascii="Cambria Math" w:hAnsi="Cambria Math"/>
                        </w:rPr>
                        <m:t xml:space="preserve">НТП.Н</m:t>
                      </m:r>
                    </m:sub>
                  </m:sSub>
                </m:num>
                <m:den>
                  <m:sSub>
                    <m:e>
                      <m:r>
                        <w:rPr>
                          <w:rFonts w:ascii="Cambria Math" w:hAnsi="Cambria Math"/>
                        </w:rPr>
                        <m:t xml:space="preserve">Н</m:t>
                      </m:r>
                    </m:e>
                    <m:sub>
                      <m:r>
                        <m:rPr>
                          <m:sty m:val="p"/>
                        </m:rPr>
                        <w:rPr>
                          <w:rFonts w:ascii="Cambria Math" w:hAnsi="Cambria Math"/>
                        </w:rPr>
                        <m:t xml:space="preserve">НТП.Б</m:t>
                      </m:r>
                    </m:sub>
                  </m:sSub>
                </m:den>
              </m:f>
              <m:r>
                <m:rPr>
                  <m:sty m:val="p"/>
                </m:rPr>
                <w:rPr>
                  <w:rFonts w:ascii="Cambria Math" w:hAnsi="Cambria Math"/>
                </w:rPr>
                <m:t xml:space="preserve">,</m:t>
              </m:r>
            </m:oMath>
          </w:p>
        </w:tc>
        <w:tc>
          <w:tcPr>
            <w:tcW w:type="dxa" w:w="1020"/>
            <w:vAlign w:val="center"/>
          </w:tcPr>
          <w:p>
            <w:pPr>
              <w:pStyle w:val="Formula"/>
              <w:jc w:val="right"/>
            </w:pPr>
            <w:r>
              <w:t>(4.1)</w:t>
            </w:r>
          </w:p>
        </w:tc>
      </w:tr>
    </w:tbl>
    <w:p>
      <w:pPr>
        <w:ind w:firstLine="0"/>
      </w:pPr>
      <w:r>
        <w:t xml:space="preserve">где </w:t>
      </w:r>
      <m:oMath>
        <m:sSub>
          <m:e>
            <m:r>
              <w:rPr>
                <w:rFonts w:ascii="Cambria Math" w:hAnsi="Cambria Math"/>
              </w:rPr>
              <m:t xml:space="preserve">Н</m:t>
            </m:r>
          </m:e>
          <m:sub>
            <m:r>
              <m:rPr>
                <m:sty m:val="p"/>
              </m:rPr>
              <w:rPr>
                <w:rFonts w:ascii="Cambria Math" w:hAnsi="Cambria Math"/>
              </w:rPr>
              <m:t xml:space="preserve">НТП.Н</m:t>
            </m:r>
          </m:sub>
        </m:sSub>
      </m:oMath>
      <w:r>
        <w:t xml:space="preserve"> – обобщённый количественный показатель научно-технического уровня НТПр, являющейся результатом работы;</w:t>
      </w:r>
    </w:p>
    <w:p>
      <m:oMath>
        <m:sSub>
          <m:e>
            <m:r>
              <w:rPr>
                <w:rFonts w:ascii="Cambria Math" w:hAnsi="Cambria Math"/>
              </w:rPr>
              <m:t xml:space="preserve">Н</m:t>
            </m:r>
          </m:e>
          <m:sub>
            <m:r>
              <m:rPr>
                <m:sty m:val="p"/>
              </m:rPr>
              <w:rPr>
                <w:rFonts w:ascii="Cambria Math" w:hAnsi="Cambria Math"/>
              </w:rPr>
              <m:t xml:space="preserve">НТП.Б</m:t>
            </m:r>
          </m:sub>
        </m:sSub>
      </m:oMath>
      <w:r>
        <w:t xml:space="preserve"> – обобщённый количественный показатель научно-технического уровня НТПр, выбранной за базу для сравнения.</w:t>
      </w:r>
    </w:p>
    <w:p>
      <w:pPr>
        <w:keepNext/>
      </w:pPr>
      <w:r>
        <w:t>Показатели определяются по формулам: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НТП.Н</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Н</m:t>
                          </m:r>
                          <m:r>
                            <w:rPr>
                              <w:rFonts w:ascii="Cambria Math" w:hAnsi="Cambria Math"/>
                            </w:rPr>
                            <m:t xml:space="preserve">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m:t>
              </m:r>
            </m:oMath>
          </w:p>
        </w:tc>
        <w:tc>
          <w:tcPr>
            <w:tcW w:type="dxa" w:w="1020"/>
            <w:vAlign w:val="center"/>
          </w:tcPr>
          <w:p>
            <w:pPr>
              <w:pStyle w:val="Formula"/>
              <w:jc w:val="right"/>
            </w:pPr>
            <w:r>
              <w:t>(4.2)</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Н</m:t>
                  </m:r>
                </m:e>
                <m:sub>
                  <m:r>
                    <m:rPr>
                      <m:sty m:val="p"/>
                    </m:rPr>
                    <w:rPr>
                      <w:rFonts w:ascii="Cambria Math" w:hAnsi="Cambria Math"/>
                    </w:rPr>
                    <m:t xml:space="preserve">НТП.Б</m:t>
                  </m:r>
                </m:sub>
              </m:sSub>
              <m:r>
                <m:rPr>
                  <m:sty m:val="p"/>
                </m:rPr>
                <w:rPr>
                  <w:rFonts w:ascii="Cambria Math" w:hAnsi="Cambria Math"/>
                </w:rPr>
                <m:t xml:space="preserve"> = </m:t>
              </m:r>
              <m:f>
                <m:num>
                  <m:nary>
                    <m:naryPr>
                      <m:chr m:val="∑"/>
                      <m:limLoc m:val="undOvr"/>
                      <m:supHide m:val="1"/>
                    </m:naryPr>
                    <m:sub>
                      <m:r>
                        <w:rPr>
                          <w:rFonts w:ascii="Cambria Math" w:hAnsi="Cambria Math"/>
                        </w:rPr>
                        <m:t xml:space="preserve">i</m:t>
                      </m:r>
                    </m:sub>
                    <m:sup/>
                    <m:e>
                      <m:sSub>
                        <m:e>
                          <m:r>
                            <w:rPr>
                              <w:rFonts w:ascii="Cambria Math" w:hAnsi="Cambria Math"/>
                            </w:rPr>
                            <m:t xml:space="preserve">Q</m:t>
                          </m:r>
                        </m:e>
                        <m:sub>
                          <m:r>
                            <m:rPr>
                              <m:sty m:val="p"/>
                            </m:rPr>
                            <w:rPr>
                              <w:rFonts w:ascii="Cambria Math" w:hAnsi="Cambria Math"/>
                            </w:rPr>
                            <m:t xml:space="preserve">Б</m:t>
                          </m:r>
                          <m:r>
                            <w:rPr>
                              <w:rFonts w:ascii="Cambria Math" w:hAnsi="Cambria Math"/>
                            </w:rPr>
                            <m:t xml:space="preserve">i</m:t>
                          </m:r>
                        </m:sub>
                      </m:sSub>
                      <m:sSub>
                        <m:e>
                          <m:r>
                            <w:rPr>
                              <w:rFonts w:ascii="Cambria Math" w:hAnsi="Cambria Math"/>
                            </w:rPr>
                            <m:t xml:space="preserve">R</m:t>
                          </m:r>
                        </m:e>
                        <m:sub>
                          <m:r>
                            <m:rPr>
                              <m:sty m:val="p"/>
                            </m:rPr>
                            <w:rPr>
                              <w:rFonts w:ascii="Cambria Math" w:hAnsi="Cambria Math"/>
                            </w:rPr>
                            <m:t xml:space="preserve">i</m:t>
                          </m:r>
                        </m:sub>
                      </m:sSub>
                    </m:e>
                  </m:nary>
                </m:num>
                <m:den>
                  <m:nary>
                    <m:naryPr>
                      <m:chr m:val="∑"/>
                      <m:limLoc m:val="undOvr"/>
                      <m:supHide m:val="1"/>
                    </m:naryPr>
                    <m:sub>
                      <m:r>
                        <w:rPr>
                          <w:rFonts w:ascii="Cambria Math" w:hAnsi="Cambria Math"/>
                        </w:rPr>
                        <m:t xml:space="preserve">i</m:t>
                      </m:r>
                    </m:sub>
                    <m:sup/>
                    <m:e>
                      <m:sSub>
                        <m:e>
                          <m:r>
                            <w:rPr>
                              <w:rFonts w:ascii="Cambria Math" w:hAnsi="Cambria Math"/>
                            </w:rPr>
                            <m:t xml:space="preserve">R</m:t>
                          </m:r>
                        </m:e>
                        <m:sub>
                          <m:r>
                            <m:rPr>
                              <m:sty m:val="p"/>
                            </m:rPr>
                            <w:rPr>
                              <w:rFonts w:ascii="Cambria Math" w:hAnsi="Cambria Math"/>
                            </w:rPr>
                            <m:t xml:space="preserve">i</m:t>
                          </m:r>
                        </m:sub>
                      </m:sSub>
                    </m:e>
                  </m:nary>
                </m:den>
              </m:f>
              <m:r>
                <m:rPr>
                  <m:sty m:val="p"/>
                </m:rPr>
                <w:rPr>
                  <w:rFonts w:ascii="Cambria Math" w:hAnsi="Cambria Math"/>
                </w:rPr>
                <m:t xml:space="preserve">,</m:t>
              </m:r>
            </m:oMath>
          </w:p>
        </w:tc>
        <w:tc>
          <w:tcPr>
            <w:tcW w:type="dxa" w:w="1020"/>
            <w:vAlign w:val="center"/>
          </w:tcPr>
          <w:p>
            <w:pPr>
              <w:pStyle w:val="Formula"/>
              <w:jc w:val="right"/>
            </w:pPr>
            <w:r>
              <w:t>(4.3)</w:t>
            </w:r>
          </w:p>
        </w:tc>
      </w:tr>
    </w:tbl>
    <w:p>
      <w:pPr>
        <w:ind w:firstLine="0"/>
      </w:pPr>
      <w:r>
        <w:t xml:space="preserve">где </w:t>
      </w:r>
      <m:oMath>
        <m:sSub>
          <m:e>
            <m:r>
              <w:rPr>
                <w:rFonts w:ascii="Cambria Math" w:hAnsi="Cambria Math"/>
              </w:rPr>
              <m:t xml:space="preserve">Q</m:t>
            </m:r>
          </m:e>
          <m:sub>
            <m:r>
              <m:rPr>
                <m:sty m:val="p"/>
              </m:rPr>
              <w:rPr>
                <w:rFonts w:ascii="Cambria Math" w:hAnsi="Cambria Math"/>
              </w:rPr>
              <m:t xml:space="preserve">Н</m:t>
            </m:r>
            <m:r>
              <w:rPr>
                <w:rFonts w:ascii="Cambria Math" w:hAnsi="Cambria Math"/>
              </w:rPr>
              <m:t xml:space="preserve">i</m:t>
            </m:r>
          </m:sub>
        </m:sSub>
      </m:oMath>
      <w:r>
        <w:t xml:space="preserve">, </w:t>
      </w:r>
      <m:oMath>
        <m:sSub>
          <m:e>
            <m:r>
              <w:rPr>
                <w:rFonts w:ascii="Cambria Math" w:hAnsi="Cambria Math"/>
              </w:rPr>
              <m:t xml:space="preserve">Q</m:t>
            </m:r>
          </m:e>
          <m:sub>
            <m:r>
              <m:rPr>
                <m:sty m:val="p"/>
              </m:rPr>
              <w:rPr>
                <w:rFonts w:ascii="Cambria Math" w:hAnsi="Cambria Math"/>
              </w:rPr>
              <m:t xml:space="preserve">Б</m:t>
            </m:r>
            <m:r>
              <w:rPr>
                <w:rFonts w:ascii="Cambria Math" w:hAnsi="Cambria Math"/>
              </w:rPr>
              <m:t xml:space="preserve">i</m:t>
            </m:r>
          </m:sub>
        </m:sSub>
      </m:oMath>
      <w:r>
        <w:t xml:space="preserve"> – значения i-го признака НТПр нового и базового вариантов, баллы;</w:t>
      </w:r>
    </w:p>
    <w:p>
      <m:oMath>
        <m:sSub>
          <m:e>
            <m:r>
              <w:rPr>
                <w:rFonts w:ascii="Cambria Math" w:hAnsi="Cambria Math"/>
              </w:rPr>
              <m:t xml:space="preserve">R</m:t>
            </m:r>
          </m:e>
          <m:sub>
            <m:r>
              <m:rPr>
                <m:sty m:val="p"/>
              </m:rPr>
              <w:rPr>
                <w:rFonts w:ascii="Cambria Math" w:hAnsi="Cambria Math"/>
              </w:rPr>
              <m:t xml:space="preserve">i</m:t>
            </m:r>
          </m:sub>
        </m:sSub>
      </m:oMath>
      <w:r>
        <w:t xml:space="preserve"> – значимость (весовой коэффициент) i-го признака, доли единицы.</w:t>
      </w:r>
    </w:p>
    <w:p>
      <w:pPr>
        <w:keepNext/>
      </w:pPr>
      <w:r>
        <w:t>Для данной НИР:</w:t>
      </w:r>
    </w:p>
    <w:p>
      <w:pPr>
        <w:pStyle w:val="Formula"/>
        <w:jc w:val="center"/>
      </w:pPr>
      <m:oMath>
        <m:sSub>
          <m:e>
            <m:r>
              <w:rPr>
                <w:rFonts w:ascii="Cambria Math" w:hAnsi="Cambria Math"/>
              </w:rPr>
              <m:t xml:space="preserve">Н</m:t>
            </m:r>
          </m:e>
          <m:sub>
            <m:r>
              <m:rPr>
                <m:sty m:val="p"/>
              </m:rPr>
              <w:rPr>
                <w:rFonts w:ascii="Cambria Math" w:hAnsi="Cambria Math"/>
              </w:rPr>
              <m:t xml:space="preserve">НТП.Н</m:t>
            </m:r>
          </m:sub>
        </m:sSub>
        <m:r>
          <m:rPr>
            <m:sty m:val="p"/>
          </m:rPr>
          <w:rPr>
            <w:rFonts w:ascii="Cambria Math" w:hAnsi="Cambria Math"/>
          </w:rPr>
          <m:t xml:space="preserve"> = </m:t>
        </m:r>
        <m:f>
          <m:num>
            <m:r>
              <m:rPr>
                <m:sty m:val="p"/>
              </m:rPr>
              <w:rPr>
                <w:rFonts w:ascii="Cambria Math" w:hAnsi="Cambria Math"/>
              </w:rPr>
              <m:t xml:space="preserve">5·0,4 + 7·0,4 + 8·0,2</m:t>
            </m:r>
          </m:num>
          <m:den>
            <m:r>
              <m:rPr>
                <m:sty m:val="p"/>
              </m:rPr>
              <w:rPr>
                <w:rFonts w:ascii="Cambria Math" w:hAnsi="Cambria Math"/>
              </w:rPr>
              <m:t xml:space="preserve">0,4 + 0,4 + 0,2</m:t>
            </m:r>
          </m:den>
        </m:f>
        <m:r>
          <m:rPr>
            <m:sty m:val="p"/>
          </m:rPr>
          <w:rPr>
            <w:rFonts w:ascii="Cambria Math" w:hAnsi="Cambria Math"/>
          </w:rPr>
          <m:t xml:space="preserve"> = 6,4;</m:t>
        </m:r>
      </m:oMath>
    </w:p>
    <w:p>
      <w:pPr>
        <w:pStyle w:val="Formula"/>
        <w:jc w:val="center"/>
      </w:pPr>
      <m:oMath>
        <m:sSub>
          <m:e>
            <m:r>
              <w:rPr>
                <w:rFonts w:ascii="Cambria Math" w:hAnsi="Cambria Math"/>
              </w:rPr>
              <m:t xml:space="preserve">Н</m:t>
            </m:r>
          </m:e>
          <m:sub>
            <m:r>
              <m:rPr>
                <m:sty m:val="p"/>
              </m:rPr>
              <w:rPr>
                <w:rFonts w:ascii="Cambria Math" w:hAnsi="Cambria Math"/>
              </w:rPr>
              <m:t xml:space="preserve">НТП.Б</m:t>
            </m:r>
          </m:sub>
        </m:sSub>
        <m:r>
          <m:rPr>
            <m:sty m:val="p"/>
          </m:rPr>
          <w:rPr>
            <w:rFonts w:ascii="Cambria Math" w:hAnsi="Cambria Math"/>
          </w:rPr>
          <m:t xml:space="preserve"> = </m:t>
        </m:r>
        <m:f>
          <m:num>
            <m:r>
              <m:rPr>
                <m:sty m:val="p"/>
              </m:rPr>
              <w:rPr>
                <w:rFonts w:ascii="Cambria Math" w:hAnsi="Cambria Math"/>
              </w:rPr>
              <m:t xml:space="preserve">3·0,4 + 5·0,4 + 3·0,2</m:t>
            </m:r>
          </m:num>
          <m:den>
            <m:r>
              <m:rPr>
                <m:sty m:val="p"/>
              </m:rPr>
              <w:rPr>
                <w:rFonts w:ascii="Cambria Math" w:hAnsi="Cambria Math"/>
              </w:rPr>
              <m:t xml:space="preserve">0,4 + 0,4 + 0,2</m:t>
            </m:r>
          </m:den>
        </m:f>
        <m:r>
          <m:rPr>
            <m:sty m:val="p"/>
          </m:rPr>
          <w:rPr>
            <w:rFonts w:ascii="Cambria Math" w:hAnsi="Cambria Math"/>
          </w:rPr>
          <m:t xml:space="preserve"> = 3,8.</m:t>
        </m:r>
      </m:oMath>
    </w:p>
    <w:p>
      <w:pPr>
        <w:keepNext/>
      </w:pPr>
      <w:r>
        <w:t>Индекс научно-технической прогрессивности по формуле (4.1):</w:t>
      </w:r>
    </w:p>
    <w:p>
      <w:pPr>
        <w:pStyle w:val="Formula"/>
        <w:jc w:val="center"/>
      </w:pPr>
      <m:oMath>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3,8</m:t>
            </m:r>
          </m:den>
        </m:f>
        <m:r>
          <m:rPr>
            <m:sty m:val="p"/>
          </m:rPr>
          <w:rPr>
            <w:rFonts w:ascii="Cambria Math" w:hAnsi="Cambria Math"/>
          </w:rPr>
          <m:t xml:space="preserve"> = 1,68.</m:t>
        </m:r>
      </m:oMath>
    </w:p>
    <w:p>
      <w:r>
        <w:t>Индекс научно-технической прогрессивности превышает единицу (1,68 &gt; 1), следовательно, выполнение НИР является целесообразным.</w:t>
      </w:r>
    </w:p>
    <w:p>
      <w:r>
        <w:t>Новизна НТПр оценивается методом балльных оценок по пяти критериям с оценками: принципиально новое — 5 баллов, новое — 3, улучшенное — 2, существующего уровня — 1, устаревшее — 0 [Э4]. Результаты оценки приведены в таблице 4.5.</w:t>
      </w:r>
    </w:p>
    <w:p>
      <w:pPr>
        <w:pStyle w:val="TableCaption"/>
        <w:ind w:firstLine="0"/>
      </w:pPr>
      <w:r>
        <w:t>Таблица 4.5 – Оценка новизны НТПр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4988"/>
        <w:gridCol w:w="1700"/>
        <w:gridCol w:w="963"/>
      </w:tblGrid>
      <w:tr>
        <w:trPr>
          <w:cantSplit/>
          <w:tblHeader w:val="true"/>
        </w:trPr>
        <w:tc>
          <w:tcPr>
            <w:tcW w:type="dxa" w:w="1701"/>
            <w:vAlign w:val="center"/>
          </w:tcPr>
          <w:p>
            <w:pPr>
              <w:pStyle w:val="TableText"/>
              <w:keepNext/>
              <w:jc w:val="center"/>
            </w:pPr>
            <w:r>
              <w:rPr>
                <w:b/>
                <w:sz w:val="22"/>
              </w:rPr>
              <w:t>Критерий новизны</w:t>
            </w:r>
          </w:p>
        </w:tc>
        <w:tc>
          <w:tcPr>
            <w:tcW w:type="dxa" w:w="4989"/>
            <w:vAlign w:val="center"/>
          </w:tcPr>
          <w:p>
            <w:pPr>
              <w:pStyle w:val="TableText"/>
              <w:keepNext/>
              <w:jc w:val="center"/>
            </w:pPr>
            <w:r>
              <w:rPr>
                <w:b/>
                <w:sz w:val="22"/>
              </w:rPr>
              <w:t>Характеристика НТПр</w:t>
            </w:r>
          </w:p>
        </w:tc>
        <w:tc>
          <w:tcPr>
            <w:tcW w:type="dxa" w:w="1701"/>
            <w:vAlign w:val="center"/>
          </w:tcPr>
          <w:p>
            <w:pPr>
              <w:pStyle w:val="TableText"/>
              <w:keepNext/>
              <w:jc w:val="center"/>
            </w:pPr>
            <w:r>
              <w:rPr>
                <w:b/>
                <w:sz w:val="22"/>
              </w:rPr>
              <w:t>Новизна</w:t>
            </w:r>
          </w:p>
        </w:tc>
        <w:tc>
          <w:tcPr>
            <w:tcW w:type="dxa" w:w="964"/>
            <w:vAlign w:val="center"/>
          </w:tcPr>
          <w:p>
            <w:pPr>
              <w:pStyle w:val="TableText"/>
              <w:keepNext/>
              <w:jc w:val="center"/>
            </w:pPr>
            <w:r>
              <w:rPr>
                <w:b/>
                <w:sz w:val="22"/>
              </w:rPr>
              <w:t>Баллы</w:t>
            </w:r>
          </w:p>
        </w:tc>
      </w:tr>
      <w:tr>
        <w:trPr>
          <w:cantSplit/>
        </w:trPr>
        <w:tc>
          <w:tcPr>
            <w:tcW w:type="dxa" w:w="1701"/>
            <w:vAlign w:val="center"/>
          </w:tcPr>
          <w:p>
            <w:pPr>
              <w:pStyle w:val="TableText"/>
              <w:keepNext/>
              <w:jc w:val="left"/>
            </w:pPr>
            <w:r>
              <w:rPr>
                <w:sz w:val="22"/>
              </w:rPr>
              <w:t>Функциональный</w:t>
            </w:r>
          </w:p>
        </w:tc>
        <w:tc>
          <w:tcPr>
            <w:tcW w:type="dxa" w:w="4989"/>
            <w:vAlign w:val="center"/>
          </w:tcPr>
          <w:p>
            <w:pPr>
              <w:pStyle w:val="TableText"/>
              <w:keepNext/>
              <w:jc w:val="left"/>
            </w:pPr>
            <w:r>
              <w:rPr>
                <w:sz w:val="22"/>
              </w:rPr>
              <w:t>система передачи видео по Wi-Fi HaLow на серийной плате с одновременной регистрацией показателей канала</w:t>
            </w:r>
          </w:p>
        </w:tc>
        <w:tc>
          <w:tcPr>
            <w:tcW w:type="dxa" w:w="1701"/>
            <w:vAlign w:val="center"/>
          </w:tcPr>
          <w:p>
            <w:pPr>
              <w:pStyle w:val="TableText"/>
              <w:keepNext/>
              <w:jc w:val="center"/>
            </w:pPr>
            <w:r>
              <w:rPr>
                <w:sz w:val="22"/>
              </w:rPr>
              <w:t>новое</w:t>
            </w:r>
          </w:p>
        </w:tc>
        <w:tc>
          <w:tcPr>
            <w:tcW w:type="dxa" w:w="964"/>
            <w:vAlign w:val="center"/>
          </w:tcPr>
          <w:p>
            <w:pPr>
              <w:pStyle w:val="TableText"/>
              <w:keepNext/>
              <w:jc w:val="center"/>
            </w:pPr>
            <w:r>
              <w:rPr>
                <w:sz w:val="22"/>
              </w:rPr>
              <w:t>3</w:t>
            </w:r>
          </w:p>
        </w:tc>
      </w:tr>
      <w:tr>
        <w:trPr>
          <w:cantSplit/>
        </w:trPr>
        <w:tc>
          <w:tcPr>
            <w:tcW w:type="dxa" w:w="1701"/>
            <w:vAlign w:val="center"/>
          </w:tcPr>
          <w:p>
            <w:pPr>
              <w:pStyle w:val="TableText"/>
              <w:keepNext/>
              <w:jc w:val="left"/>
            </w:pPr>
            <w:r>
              <w:rPr>
                <w:sz w:val="22"/>
              </w:rPr>
              <w:t>Технологический</w:t>
            </w:r>
          </w:p>
        </w:tc>
        <w:tc>
          <w:tcPr>
            <w:tcW w:type="dxa" w:w="4989"/>
            <w:vAlign w:val="center"/>
          </w:tcPr>
          <w:p>
            <w:pPr>
              <w:pStyle w:val="TableText"/>
              <w:keepNext/>
              <w:jc w:val="left"/>
            </w:pPr>
            <w:r>
              <w:rPr>
                <w:sz w:val="22"/>
              </w:rPr>
              <w:t>сравнение Wi-Fi HaLow и IEEE 802.11 на одной аппаратной платформе, сопоставление с теоретической оценкой</w:t>
            </w:r>
          </w:p>
        </w:tc>
        <w:tc>
          <w:tcPr>
            <w:tcW w:type="dxa" w:w="1701"/>
            <w:vAlign w:val="center"/>
          </w:tcPr>
          <w:p>
            <w:pPr>
              <w:pStyle w:val="TableText"/>
              <w:keepNext/>
              <w:jc w:val="center"/>
            </w:pPr>
            <w:r>
              <w:rPr>
                <w:sz w:val="22"/>
              </w:rPr>
              <w:t>улучшенное</w:t>
            </w:r>
          </w:p>
        </w:tc>
        <w:tc>
          <w:tcPr>
            <w:tcW w:type="dxa" w:w="964"/>
            <w:vAlign w:val="center"/>
          </w:tcPr>
          <w:p>
            <w:pPr>
              <w:pStyle w:val="TableText"/>
              <w:keepNext/>
              <w:jc w:val="center"/>
            </w:pPr>
            <w:r>
              <w:rPr>
                <w:sz w:val="22"/>
              </w:rPr>
              <w:t>2</w:t>
            </w:r>
          </w:p>
        </w:tc>
      </w:tr>
      <w:tr>
        <w:trPr>
          <w:cantSplit/>
        </w:trPr>
        <w:tc>
          <w:tcPr>
            <w:tcW w:type="dxa" w:w="1701"/>
            <w:vAlign w:val="center"/>
          </w:tcPr>
          <w:p>
            <w:pPr>
              <w:pStyle w:val="TableText"/>
              <w:keepNext/>
              <w:jc w:val="left"/>
            </w:pPr>
            <w:r>
              <w:rPr>
                <w:sz w:val="22"/>
              </w:rPr>
              <w:t>Производственный</w:t>
            </w:r>
          </w:p>
        </w:tc>
        <w:tc>
          <w:tcPr>
            <w:tcW w:type="dxa" w:w="4989"/>
            <w:vAlign w:val="center"/>
          </w:tcPr>
          <w:p>
            <w:pPr>
              <w:pStyle w:val="TableText"/>
              <w:keepNext/>
              <w:jc w:val="left"/>
            </w:pPr>
            <w:r>
              <w:rPr>
                <w:sz w:val="22"/>
              </w:rPr>
              <w:t>стоимость аппаратной платформы стенда снижена по сравнению с оценочным комплектом</w:t>
            </w:r>
          </w:p>
        </w:tc>
        <w:tc>
          <w:tcPr>
            <w:tcW w:type="dxa" w:w="1701"/>
            <w:vAlign w:val="center"/>
          </w:tcPr>
          <w:p>
            <w:pPr>
              <w:pStyle w:val="TableText"/>
              <w:keepNext/>
              <w:jc w:val="center"/>
            </w:pPr>
            <w:r>
              <w:rPr>
                <w:sz w:val="22"/>
              </w:rPr>
              <w:t>улучшенное</w:t>
            </w:r>
          </w:p>
        </w:tc>
        <w:tc>
          <w:tcPr>
            <w:tcW w:type="dxa" w:w="964"/>
            <w:vAlign w:val="center"/>
          </w:tcPr>
          <w:p>
            <w:pPr>
              <w:pStyle w:val="TableText"/>
              <w:keepNext/>
              <w:jc w:val="center"/>
            </w:pPr>
            <w:r>
              <w:rPr>
                <w:sz w:val="22"/>
              </w:rPr>
              <w:t>2</w:t>
            </w:r>
          </w:p>
        </w:tc>
      </w:tr>
      <w:tr>
        <w:trPr>
          <w:cantSplit/>
        </w:trPr>
        <w:tc>
          <w:tcPr>
            <w:tcW w:type="dxa" w:w="1701"/>
            <w:vAlign w:val="center"/>
          </w:tcPr>
          <w:p>
            <w:pPr>
              <w:pStyle w:val="TableText"/>
              <w:keepNext/>
              <w:jc w:val="left"/>
            </w:pPr>
            <w:r>
              <w:rPr>
                <w:sz w:val="22"/>
              </w:rPr>
              <w:t>Социальный</w:t>
            </w:r>
          </w:p>
        </w:tc>
        <w:tc>
          <w:tcPr>
            <w:tcW w:type="dxa" w:w="4989"/>
            <w:vAlign w:val="center"/>
          </w:tcPr>
          <w:p>
            <w:pPr>
              <w:pStyle w:val="TableText"/>
              <w:keepNext/>
              <w:jc w:val="left"/>
            </w:pPr>
            <w:r>
              <w:rPr>
                <w:sz w:val="22"/>
              </w:rPr>
              <w:t>условия труда исследователя не меняются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1701"/>
            <w:vAlign w:val="center"/>
          </w:tcPr>
          <w:p>
            <w:pPr>
              <w:pStyle w:val="TableText"/>
              <w:keepNext/>
              <w:jc w:val="left"/>
            </w:pPr>
            <w:r>
              <w:rPr>
                <w:sz w:val="22"/>
              </w:rPr>
              <w:t>Юридический</w:t>
            </w:r>
          </w:p>
        </w:tc>
        <w:tc>
          <w:tcPr>
            <w:tcW w:type="dxa" w:w="4989"/>
            <w:vAlign w:val="center"/>
          </w:tcPr>
          <w:p>
            <w:pPr>
              <w:pStyle w:val="TableText"/>
              <w:keepNext/>
              <w:jc w:val="left"/>
            </w:pPr>
            <w:r>
              <w:rPr>
                <w:sz w:val="22"/>
              </w:rPr>
              <w:t>патентование результатов не предусматривается</w:t>
            </w:r>
          </w:p>
        </w:tc>
        <w:tc>
          <w:tcPr>
            <w:tcW w:type="dxa" w:w="1701"/>
            <w:vAlign w:val="center"/>
          </w:tcPr>
          <w:p>
            <w:pPr>
              <w:pStyle w:val="TableText"/>
              <w:keepNext/>
              <w:jc w:val="center"/>
            </w:pPr>
            <w:r>
              <w:rPr>
                <w:sz w:val="22"/>
              </w:rPr>
              <w:t>существующего уровня</w:t>
            </w:r>
          </w:p>
        </w:tc>
        <w:tc>
          <w:tcPr>
            <w:tcW w:type="dxa" w:w="964"/>
            <w:vAlign w:val="center"/>
          </w:tcPr>
          <w:p>
            <w:pPr>
              <w:pStyle w:val="TableText"/>
              <w:keepNext/>
              <w:jc w:val="center"/>
            </w:pPr>
            <w:r>
              <w:rPr>
                <w:sz w:val="22"/>
              </w:rPr>
              <w:t>1</w:t>
            </w:r>
          </w:p>
        </w:tc>
      </w:tr>
      <w:tr>
        <w:trPr>
          <w:cantSplit/>
        </w:trPr>
        <w:tc>
          <w:tcPr>
            <w:tcW w:type="dxa" w:w="8391"/>
            <w:gridSpan w:val="3"/>
            <w:vAlign w:val="center"/>
          </w:tcPr>
          <w:p>
            <w:pPr>
              <w:pStyle w:val="TableText"/>
              <w:jc w:val="left"/>
            </w:pPr>
            <w:r>
              <w:rPr>
                <w:b/>
                <w:sz w:val="22"/>
              </w:rPr>
              <w:t>Итого</w:t>
            </w:r>
          </w:p>
        </w:tc>
        <w:tc>
          <w:tcPr>
            <w:tcW w:type="dxa" w:w="964"/>
            <w:vAlign w:val="center"/>
          </w:tcPr>
          <w:p>
            <w:pPr>
              <w:pStyle w:val="TableText"/>
              <w:jc w:val="center"/>
            </w:pPr>
            <w:r>
              <w:rPr>
                <w:b/>
                <w:sz w:val="22"/>
              </w:rPr>
              <w:t>9</w:t>
            </w:r>
          </w:p>
        </w:tc>
      </w:tr>
    </w:tbl>
    <w:p>
      <w:pPr>
        <w:spacing w:line="240" w:lineRule="auto"/>
      </w:pPr>
    </w:p>
    <w:p>
      <w:pPr>
        <w:keepNext/>
      </w:pPr>
      <w:r>
        <w:t>Новизна определяется соотношением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Н</m:t>
              </m:r>
              <m:r>
                <m:rPr>
                  <m:sty m:val="p"/>
                </m:rPr>
                <w:rPr>
                  <w:rFonts w:ascii="Cambria Math" w:hAnsi="Cambria Math"/>
                </w:rPr>
                <m:t xml:space="preserve"> = </m:t>
              </m:r>
              <m:f>
                <m:num>
                  <m:sSub>
                    <m:e>
                      <m:r>
                        <w:rPr>
                          <w:rFonts w:ascii="Cambria Math" w:hAnsi="Cambria Math"/>
                        </w:rPr>
                        <m:t xml:space="preserve">Б</m:t>
                      </m:r>
                    </m:e>
                    <m:sub>
                      <m:r>
                        <m:rPr>
                          <m:sty m:val="p"/>
                        </m:rPr>
                        <w:rPr>
                          <w:rFonts w:ascii="Cambria Math" w:hAnsi="Cambria Math"/>
                        </w:rPr>
                        <m:t xml:space="preserve">К</m:t>
                      </m:r>
                    </m:sub>
                  </m:sSub>
                </m:num>
                <m:den>
                  <m:sSub>
                    <m:e>
                      <m:r>
                        <w:rPr>
                          <w:rFonts w:ascii="Cambria Math" w:hAnsi="Cambria Math"/>
                        </w:rPr>
                        <m:t xml:space="preserve">Б</m:t>
                      </m:r>
                    </m:e>
                    <m:sub>
                      <m:r>
                        <m:rPr>
                          <m:sty m:val="p"/>
                        </m:rPr>
                        <w:rPr>
                          <w:rFonts w:ascii="Cambria Math" w:hAnsi="Cambria Math"/>
                        </w:rPr>
                        <m:t xml:space="preserve">М</m:t>
                      </m:r>
                    </m:sub>
                  </m:sSub>
                </m:den>
              </m:f>
              <m:r>
                <m:rPr>
                  <m:sty m:val="p"/>
                </m:rPr>
                <w:rPr>
                  <w:rFonts w:ascii="Cambria Math" w:hAnsi="Cambria Math"/>
                </w:rPr>
                <m:t xml:space="preserve">,</m:t>
              </m:r>
            </m:oMath>
          </w:p>
        </w:tc>
        <w:tc>
          <w:tcPr>
            <w:tcW w:type="dxa" w:w="1020"/>
            <w:vAlign w:val="center"/>
          </w:tcPr>
          <w:p>
            <w:pPr>
              <w:pStyle w:val="Formula"/>
              <w:jc w:val="right"/>
            </w:pPr>
            <w:r>
              <w:t>(4.4)</w:t>
            </w:r>
          </w:p>
        </w:tc>
      </w:tr>
    </w:tbl>
    <w:p>
      <w:pPr>
        <w:ind w:firstLine="0"/>
      </w:pPr>
      <w:r>
        <w:t xml:space="preserve">где </w:t>
      </w:r>
      <m:oMath>
        <m:sSub>
          <m:e>
            <m:r>
              <w:rPr>
                <w:rFonts w:ascii="Cambria Math" w:hAnsi="Cambria Math"/>
              </w:rPr>
              <m:t xml:space="preserve">Б</m:t>
            </m:r>
          </m:e>
          <m:sub>
            <m:r>
              <m:rPr>
                <m:sty m:val="p"/>
              </m:rPr>
              <w:rPr>
                <w:rFonts w:ascii="Cambria Math" w:hAnsi="Cambria Math"/>
              </w:rPr>
              <m:t xml:space="preserve">К</m:t>
            </m:r>
          </m:sub>
        </m:sSub>
      </m:oMath>
      <w:r>
        <w:t xml:space="preserve"> – сумма баллов, набранных при оценке по критериям новизны;</w:t>
      </w:r>
    </w:p>
    <w:p>
      <m:oMath>
        <m:sSub>
          <m:e>
            <m:r>
              <w:rPr>
                <w:rFonts w:ascii="Cambria Math" w:hAnsi="Cambria Math"/>
              </w:rPr>
              <m:t xml:space="preserve">Б</m:t>
            </m:r>
          </m:e>
          <m:sub>
            <m:r>
              <m:rPr>
                <m:sty m:val="p"/>
              </m:rPr>
              <w:rPr>
                <w:rFonts w:ascii="Cambria Math" w:hAnsi="Cambria Math"/>
              </w:rPr>
              <m:t xml:space="preserve">М</m:t>
            </m:r>
          </m:sub>
        </m:sSub>
      </m:oMath>
      <w:r>
        <w:t xml:space="preserve"> – максимальная сумма баллов по всем критериям, 25.</w:t>
      </w:r>
    </w:p>
    <w:p>
      <w:pPr>
        <w:pStyle w:val="Formula"/>
        <w:jc w:val="center"/>
      </w:pPr>
      <m:oMath>
        <m:r>
          <w:rPr>
            <w:rFonts w:ascii="Cambria Math" w:hAnsi="Cambria Math"/>
          </w:rPr>
          <m:t xml:space="preserve">Н</m:t>
        </m:r>
        <m:r>
          <m:rPr>
            <m:sty m:val="p"/>
          </m:rPr>
          <w:rPr>
            <w:rFonts w:ascii="Cambria Math" w:hAnsi="Cambria Math"/>
          </w:rPr>
          <m:t xml:space="preserve"> = </m:t>
        </m:r>
        <m:f>
          <m:num>
            <m:r>
              <m:rPr>
                <m:sty m:val="p"/>
              </m:rPr>
              <w:rPr>
                <w:rFonts w:ascii="Cambria Math" w:hAnsi="Cambria Math"/>
              </w:rPr>
              <m:t xml:space="preserve">9</m:t>
            </m:r>
          </m:num>
          <m:den>
            <m:r>
              <m:rPr>
                <m:sty m:val="p"/>
              </m:rPr>
              <w:rPr>
                <w:rFonts w:ascii="Cambria Math" w:hAnsi="Cambria Math"/>
              </w:rPr>
              <m:t xml:space="preserve">25</m:t>
            </m:r>
          </m:den>
        </m:f>
        <m:r>
          <m:rPr>
            <m:sty m:val="p"/>
          </m:rPr>
          <w:rPr>
            <w:rFonts w:ascii="Cambria Math" w:hAnsi="Cambria Math"/>
          </w:rPr>
          <m:t xml:space="preserve"> = 0,36.</m:t>
        </m:r>
      </m:oMath>
    </w:p>
    <w:p>
      <w:r>
        <w:t>Результат НИР является новым по функциональному критерию и улучшенным по технологическому и производственному. Период эффективности новых технологий составляет 2–3 года [Э4], что согласуется с принятым периодом применения результатов НИР — до 3 лет.</w:t>
      </w:r>
    </w:p>
    <w:p>
      <w:pPr>
        <w:pStyle w:val="Heading2"/>
      </w:pPr>
      <w:r>
        <w:t>4.3 Планирование работы</w:t>
      </w:r>
    </w:p>
    <w:p>
      <w:r>
        <w:t>Планирование заключается в выявлении состава работ, необходимых для выполнения НИР, определении трудоёмкости отдельных стадий и НИР в целом, расчёте календарного плана, построении сетевого и календарного графиков [Э4].</w:t>
      </w:r>
    </w:p>
    <w:p>
      <w:pPr>
        <w:pStyle w:val="Heading3"/>
      </w:pPr>
      <w:r>
        <w:t>4.3.1 Состав и трудоёмкость работ</w:t>
      </w:r>
    </w:p>
    <w:p>
      <w:r>
        <w:t>Состав работ определён в соответствии с перечнем разделов и этапов задания на ВКР: каждая стадия разбита на работы, для которых назначены исполнители и определена трудоёмкость (таблица 4.6). Исполнители: Р — руководитель НИР, И — инженер-исследователь, П — инженер-программист, Т — техник. Трудоёмкость работы исполнителя равна произведению ожидаемой продолжительности его участия в работе (п. 4.3.3) на продолжительность рабочего дня. Работы обозначены кодами i–j по номерам начального и конечного событий сетевого графика.</w:t>
      </w:r>
    </w:p>
    <w:p>
      <w:pPr>
        <w:pStyle w:val="TableCaption"/>
        <w:ind w:firstLine="0"/>
      </w:pPr>
      <w:r>
        <w:t>Таблица 4.6 – Состав и трудоёмкость работ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963"/>
        <w:gridCol w:w="5215"/>
        <w:gridCol w:w="1814"/>
        <w:gridCol w:w="1360"/>
      </w:tblGrid>
      <w:tr>
        <w:trPr>
          <w:cantSplit/>
          <w:tblHeader w:val="true"/>
        </w:trPr>
        <w:tc>
          <w:tcPr>
            <w:tcW w:type="dxa" w:w="964"/>
            <w:vAlign w:val="center"/>
          </w:tcPr>
          <w:p>
            <w:pPr>
              <w:pStyle w:val="TableText"/>
              <w:jc w:val="center"/>
            </w:pPr>
            <w:r>
              <w:rPr>
                <w:b/>
                <w:sz w:val="22"/>
              </w:rPr>
              <w:t>Код работы</w:t>
            </w:r>
          </w:p>
        </w:tc>
        <w:tc>
          <w:tcPr>
            <w:tcW w:type="dxa" w:w="5216"/>
            <w:vAlign w:val="center"/>
          </w:tcPr>
          <w:p>
            <w:pPr>
              <w:pStyle w:val="TableText"/>
              <w:jc w:val="center"/>
            </w:pPr>
            <w:r>
              <w:rPr>
                <w:b/>
                <w:sz w:val="22"/>
              </w:rPr>
              <w:t>Наименование работы</w:t>
            </w:r>
          </w:p>
        </w:tc>
        <w:tc>
          <w:tcPr>
            <w:tcW w:type="dxa" w:w="1814"/>
            <w:vAlign w:val="center"/>
          </w:tcPr>
          <w:p>
            <w:pPr>
              <w:pStyle w:val="TableText"/>
              <w:jc w:val="center"/>
            </w:pPr>
            <w:r>
              <w:rPr>
                <w:b/>
                <w:sz w:val="22"/>
              </w:rPr>
              <w:t>Исполнители и трудоёмкость, чел.-ч</w:t>
            </w:r>
          </w:p>
        </w:tc>
        <w:tc>
          <w:tcPr>
            <w:tcW w:type="dxa" w:w="1361"/>
            <w:vAlign w:val="center"/>
          </w:tcPr>
          <w:p>
            <w:pPr>
              <w:pStyle w:val="TableText"/>
              <w:jc w:val="center"/>
            </w:pPr>
            <w:r>
              <w:rPr>
                <w:b/>
                <w:sz w:val="22"/>
              </w:rPr>
              <w:t>Трудо-</w:t>
            </w:r>
          </w:p>
          <w:p>
            <w:pPr>
              <w:pStyle w:val="TableText"/>
              <w:jc w:val="center"/>
            </w:pPr>
            <w:r>
              <w:rPr>
                <w:b/>
                <w:sz w:val="22"/>
              </w:rPr>
              <w:t>ёмкость работы, чел.-ч</w:t>
            </w:r>
          </w:p>
        </w:tc>
      </w:tr>
      <w:tr>
        <w:trPr>
          <w:cantSplit/>
        </w:trPr>
        <w:tc>
          <w:tcPr>
            <w:tcW w:type="dxa" w:w="7994"/>
            <w:gridSpan w:val="3"/>
            <w:vAlign w:val="center"/>
          </w:tcPr>
          <w:p>
            <w:pPr>
              <w:pStyle w:val="TableText"/>
              <w:jc w:val="center"/>
            </w:pPr>
            <w:r>
              <w:rPr>
                <w:b/>
                <w:sz w:val="22"/>
              </w:rPr>
              <w:t>Стадия 1. Обоснование применения Wi-Fi HaLow для задач БПЛА (10 %)</w:t>
            </w:r>
          </w:p>
        </w:tc>
        <w:tc>
          <w:tcPr>
            <w:tcW w:type="dxa" w:w="1361"/>
            <w:vAlign w:val="center"/>
          </w:tcPr>
          <w:p>
            <w:pPr>
              <w:pStyle w:val="TableText"/>
              <w:jc w:val="center"/>
            </w:pPr>
            <w:r>
              <w:rPr>
                <w:b/>
                <w:sz w:val="22"/>
              </w:rPr>
              <w:t>80</w:t>
            </w:r>
          </w:p>
        </w:tc>
      </w:tr>
      <w:tr>
        <w:trPr>
          <w:cantSplit/>
        </w:trPr>
        <w:tc>
          <w:tcPr>
            <w:tcW w:type="dxa" w:w="964"/>
            <w:vAlign w:val="center"/>
          </w:tcPr>
          <w:p>
            <w:pPr>
              <w:pStyle w:val="TableText"/>
              <w:jc w:val="center"/>
            </w:pPr>
            <w:r>
              <w:rPr>
                <w:sz w:val="22"/>
              </w:rPr>
              <w:t>1–2</w:t>
            </w:r>
          </w:p>
        </w:tc>
        <w:tc>
          <w:tcPr>
            <w:tcW w:type="dxa" w:w="5216"/>
            <w:vAlign w:val="center"/>
          </w:tcPr>
          <w:p>
            <w:pPr>
              <w:pStyle w:val="TableText"/>
              <w:jc w:val="left"/>
            </w:pPr>
            <w:r>
              <w:rPr>
                <w:sz w:val="22"/>
              </w:rPr>
              <w:t>Анализ задач применения БПЛА, не решаемых существующими каналами связи</w:t>
            </w:r>
          </w:p>
        </w:tc>
        <w:tc>
          <w:tcPr>
            <w:tcW w:type="dxa" w:w="1814"/>
            <w:vAlign w:val="center"/>
          </w:tcPr>
          <w:p>
            <w:pPr>
              <w:pStyle w:val="TableText"/>
              <w:jc w:val="center"/>
            </w:pPr>
            <w:r>
              <w:rPr>
                <w:sz w:val="22"/>
              </w:rPr>
              <w:t>И — 24</w:t>
            </w:r>
          </w:p>
        </w:tc>
        <w:tc>
          <w:tcPr>
            <w:tcW w:type="dxa" w:w="1361"/>
            <w:vAlign w:val="center"/>
          </w:tcPr>
          <w:p>
            <w:pPr>
              <w:pStyle w:val="TableText"/>
              <w:jc w:val="center"/>
            </w:pPr>
            <w:r>
              <w:rPr>
                <w:sz w:val="22"/>
              </w:rPr>
              <w:t>24</w:t>
            </w:r>
          </w:p>
        </w:tc>
      </w:tr>
      <w:tr>
        <w:trPr>
          <w:cantSplit/>
        </w:trPr>
        <w:tc>
          <w:tcPr>
            <w:tcW w:type="dxa" w:w="964"/>
            <w:vAlign w:val="center"/>
          </w:tcPr>
          <w:p>
            <w:pPr>
              <w:pStyle w:val="TableText"/>
              <w:jc w:val="center"/>
            </w:pPr>
            <w:r>
              <w:rPr>
                <w:sz w:val="22"/>
              </w:rPr>
              <w:t>2–3</w:t>
            </w:r>
          </w:p>
        </w:tc>
        <w:tc>
          <w:tcPr>
            <w:tcW w:type="dxa" w:w="5216"/>
            <w:vAlign w:val="center"/>
          </w:tcPr>
          <w:p>
            <w:pPr>
              <w:pStyle w:val="TableText"/>
              <w:jc w:val="left"/>
            </w:pPr>
            <w:r>
              <w:rPr>
                <w:sz w:val="22"/>
              </w:rPr>
              <w:t>Сравнение Wi-Fi HaLow с IEEE 802.11 и LoRa по дальности, пропускной способности, энергопотреблению и проникающей способности</w:t>
            </w:r>
          </w:p>
        </w:tc>
        <w:tc>
          <w:tcPr>
            <w:tcW w:type="dxa" w:w="1814"/>
            <w:vAlign w:val="center"/>
          </w:tcPr>
          <w:p>
            <w:pPr>
              <w:pStyle w:val="TableText"/>
              <w:jc w:val="center"/>
            </w:pPr>
            <w:r>
              <w:rPr>
                <w:sz w:val="22"/>
              </w:rPr>
              <w:t>И — 40</w:t>
            </w:r>
          </w:p>
        </w:tc>
        <w:tc>
          <w:tcPr>
            <w:tcW w:type="dxa" w:w="1361"/>
            <w:vAlign w:val="center"/>
          </w:tcPr>
          <w:p>
            <w:pPr>
              <w:pStyle w:val="TableText"/>
              <w:jc w:val="center"/>
            </w:pPr>
            <w:r>
              <w:rPr>
                <w:sz w:val="22"/>
              </w:rPr>
              <w:t>40</w:t>
            </w:r>
          </w:p>
        </w:tc>
      </w:tr>
      <w:tr>
        <w:trPr>
          <w:cantSplit/>
        </w:trPr>
        <w:tc>
          <w:tcPr>
            <w:tcW w:type="dxa" w:w="964"/>
            <w:vAlign w:val="center"/>
          </w:tcPr>
          <w:p>
            <w:pPr>
              <w:pStyle w:val="TableText"/>
              <w:jc w:val="center"/>
            </w:pPr>
            <w:r>
              <w:rPr>
                <w:sz w:val="22"/>
              </w:rPr>
              <w:t>3–4</w:t>
            </w:r>
          </w:p>
        </w:tc>
        <w:tc>
          <w:tcPr>
            <w:tcW w:type="dxa" w:w="5216"/>
            <w:vAlign w:val="center"/>
          </w:tcPr>
          <w:p>
            <w:pPr>
              <w:pStyle w:val="TableText"/>
              <w:jc w:val="left"/>
            </w:pPr>
            <w:r>
              <w:rPr>
                <w:sz w:val="22"/>
              </w:rPr>
              <w:t>Определение круга решаемых задач, подготовка задания на ВКР</w:t>
            </w:r>
          </w:p>
        </w:tc>
        <w:tc>
          <w:tcPr>
            <w:tcW w:type="dxa" w:w="1814"/>
            <w:vAlign w:val="center"/>
          </w:tcPr>
          <w:p>
            <w:pPr>
              <w:pStyle w:val="TableText"/>
              <w:jc w:val="center"/>
            </w:pPr>
            <w:r>
              <w:rPr>
                <w:sz w:val="22"/>
              </w:rPr>
              <w:t>И — 8</w:t>
            </w:r>
          </w:p>
        </w:tc>
        <w:tc>
          <w:tcPr>
            <w:tcW w:type="dxa" w:w="1361"/>
            <w:vAlign w:val="center"/>
          </w:tcPr>
          <w:p>
            <w:pPr>
              <w:pStyle w:val="TableText"/>
              <w:jc w:val="center"/>
            </w:pPr>
            <w:r>
              <w:rPr>
                <w:sz w:val="22"/>
              </w:rPr>
              <w:t>8</w:t>
            </w:r>
          </w:p>
        </w:tc>
      </w:tr>
      <w:tr>
        <w:trPr>
          <w:cantSplit/>
        </w:trPr>
        <w:tc>
          <w:tcPr>
            <w:tcW w:type="dxa" w:w="964"/>
            <w:vAlign w:val="center"/>
          </w:tcPr>
          <w:p>
            <w:pPr>
              <w:pStyle w:val="TableText"/>
              <w:jc w:val="center"/>
            </w:pPr>
            <w:r>
              <w:rPr>
                <w:sz w:val="22"/>
              </w:rPr>
              <w:t>4–5</w:t>
            </w:r>
          </w:p>
        </w:tc>
        <w:tc>
          <w:tcPr>
            <w:tcW w:type="dxa" w:w="5216"/>
            <w:vAlign w:val="center"/>
          </w:tcPr>
          <w:p>
            <w:pPr>
              <w:pStyle w:val="TableText"/>
              <w:jc w:val="left"/>
            </w:pPr>
            <w:r>
              <w:rPr>
                <w:sz w:val="22"/>
              </w:rPr>
              <w:t>Согласование и утверждение задания на ВКР</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7994"/>
            <w:gridSpan w:val="3"/>
            <w:vAlign w:val="center"/>
          </w:tcPr>
          <w:p>
            <w:pPr>
              <w:pStyle w:val="TableText"/>
              <w:jc w:val="center"/>
            </w:pPr>
            <w:r>
              <w:rPr>
                <w:b/>
                <w:sz w:val="22"/>
              </w:rPr>
              <w:t>Стадия 2. Программа и методика экспериментов, выбор и настройка аппаратных и программных средств (30 %)</w:t>
            </w:r>
          </w:p>
        </w:tc>
        <w:tc>
          <w:tcPr>
            <w:tcW w:type="dxa" w:w="1361"/>
            <w:vAlign w:val="center"/>
          </w:tcPr>
          <w:p>
            <w:pPr>
              <w:pStyle w:val="TableText"/>
              <w:jc w:val="center"/>
            </w:pPr>
            <w:r>
              <w:rPr>
                <w:b/>
                <w:sz w:val="22"/>
              </w:rPr>
              <w:t>240</w:t>
            </w:r>
          </w:p>
        </w:tc>
      </w:tr>
      <w:tr>
        <w:trPr>
          <w:cantSplit/>
        </w:trPr>
        <w:tc>
          <w:tcPr>
            <w:tcW w:type="dxa" w:w="964"/>
            <w:vAlign w:val="center"/>
          </w:tcPr>
          <w:p>
            <w:pPr>
              <w:pStyle w:val="TableText"/>
              <w:jc w:val="center"/>
            </w:pPr>
            <w:r>
              <w:rPr>
                <w:sz w:val="22"/>
              </w:rPr>
              <w:t>5–6</w:t>
            </w:r>
          </w:p>
        </w:tc>
        <w:tc>
          <w:tcPr>
            <w:tcW w:type="dxa" w:w="5216"/>
            <w:vAlign w:val="center"/>
          </w:tcPr>
          <w:p>
            <w:pPr>
              <w:pStyle w:val="TableText"/>
              <w:jc w:val="left"/>
            </w:pPr>
            <w:r>
              <w:rPr>
                <w:sz w:val="22"/>
              </w:rPr>
              <w:t>Теоретическая оценка параметров канала IEEE 802.11ah, обоснование необходимости эксперимента</w:t>
            </w:r>
          </w:p>
        </w:tc>
        <w:tc>
          <w:tcPr>
            <w:tcW w:type="dxa" w:w="1814"/>
            <w:vAlign w:val="center"/>
          </w:tcPr>
          <w:p>
            <w:pPr>
              <w:pStyle w:val="TableText"/>
              <w:jc w:val="center"/>
            </w:pPr>
            <w:r>
              <w:rPr>
                <w:sz w:val="22"/>
              </w:rPr>
              <w:t>И — 40</w:t>
            </w:r>
          </w:p>
        </w:tc>
        <w:tc>
          <w:tcPr>
            <w:tcW w:type="dxa" w:w="1361"/>
            <w:vAlign w:val="center"/>
          </w:tcPr>
          <w:p>
            <w:pPr>
              <w:pStyle w:val="TableText"/>
              <w:jc w:val="center"/>
            </w:pPr>
            <w:r>
              <w:rPr>
                <w:sz w:val="22"/>
              </w:rPr>
              <w:t>40</w:t>
            </w:r>
          </w:p>
        </w:tc>
      </w:tr>
      <w:tr>
        <w:trPr>
          <w:cantSplit/>
        </w:trPr>
        <w:tc>
          <w:tcPr>
            <w:tcW w:type="dxa" w:w="964"/>
            <w:vAlign w:val="center"/>
          </w:tcPr>
          <w:p>
            <w:pPr>
              <w:pStyle w:val="TableText"/>
              <w:jc w:val="center"/>
            </w:pPr>
            <w:r>
              <w:rPr>
                <w:sz w:val="22"/>
              </w:rPr>
              <w:t>6–7</w:t>
            </w:r>
          </w:p>
        </w:tc>
        <w:tc>
          <w:tcPr>
            <w:tcW w:type="dxa" w:w="5216"/>
            <w:vAlign w:val="center"/>
          </w:tcPr>
          <w:p>
            <w:pPr>
              <w:pStyle w:val="TableText"/>
              <w:jc w:val="left"/>
            </w:pPr>
            <w:r>
              <w:rPr>
                <w:sz w:val="22"/>
              </w:rPr>
              <w:t>Разработка программы и методики экспериментов</w:t>
            </w:r>
          </w:p>
        </w:tc>
        <w:tc>
          <w:tcPr>
            <w:tcW w:type="dxa" w:w="1814"/>
            <w:vAlign w:val="center"/>
          </w:tcPr>
          <w:p>
            <w:pPr>
              <w:pStyle w:val="TableText"/>
              <w:jc w:val="center"/>
            </w:pPr>
            <w:r>
              <w:rPr>
                <w:sz w:val="22"/>
              </w:rPr>
              <w:t>И — 48</w:t>
            </w:r>
          </w:p>
        </w:tc>
        <w:tc>
          <w:tcPr>
            <w:tcW w:type="dxa" w:w="1361"/>
            <w:vAlign w:val="center"/>
          </w:tcPr>
          <w:p>
            <w:pPr>
              <w:pStyle w:val="TableText"/>
              <w:jc w:val="center"/>
            </w:pPr>
            <w:r>
              <w:rPr>
                <w:sz w:val="22"/>
              </w:rPr>
              <w:t>48</w:t>
            </w:r>
          </w:p>
        </w:tc>
      </w:tr>
      <w:tr>
        <w:trPr>
          <w:cantSplit/>
        </w:trPr>
        <w:tc>
          <w:tcPr>
            <w:tcW w:type="dxa" w:w="964"/>
            <w:vAlign w:val="center"/>
          </w:tcPr>
          <w:p>
            <w:pPr>
              <w:pStyle w:val="TableText"/>
              <w:jc w:val="center"/>
            </w:pPr>
            <w:r>
              <w:rPr>
                <w:sz w:val="22"/>
              </w:rPr>
              <w:t>7–9</w:t>
            </w:r>
          </w:p>
        </w:tc>
        <w:tc>
          <w:tcPr>
            <w:tcW w:type="dxa" w:w="5216"/>
            <w:vAlign w:val="center"/>
          </w:tcPr>
          <w:p>
            <w:pPr>
              <w:pStyle w:val="TableText"/>
              <w:jc w:val="left"/>
            </w:pPr>
            <w:r>
              <w:rPr>
                <w:sz w:val="22"/>
              </w:rPr>
              <w:t>Рассмотрение и утверждение программы и методики экспериментов</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964"/>
            <w:vAlign w:val="center"/>
          </w:tcPr>
          <w:p>
            <w:pPr>
              <w:pStyle w:val="TableText"/>
              <w:jc w:val="center"/>
            </w:pPr>
            <w:r>
              <w:rPr>
                <w:sz w:val="22"/>
              </w:rPr>
              <w:t>5–8</w:t>
            </w:r>
          </w:p>
        </w:tc>
        <w:tc>
          <w:tcPr>
            <w:tcW w:type="dxa" w:w="5216"/>
            <w:vAlign w:val="center"/>
          </w:tcPr>
          <w:p>
            <w:pPr>
              <w:pStyle w:val="TableText"/>
              <w:jc w:val="left"/>
            </w:pPr>
            <w:r>
              <w:rPr>
                <w:sz w:val="22"/>
              </w:rPr>
              <w:t>Обновление встроенного ПО модулей TX-AH, резервное копирование флеш-памяти</w:t>
            </w:r>
          </w:p>
        </w:tc>
        <w:tc>
          <w:tcPr>
            <w:tcW w:type="dxa" w:w="1814"/>
            <w:vAlign w:val="center"/>
          </w:tcPr>
          <w:p>
            <w:pPr>
              <w:pStyle w:val="TableText"/>
              <w:jc w:val="center"/>
            </w:pPr>
            <w:r>
              <w:rPr>
                <w:sz w:val="22"/>
              </w:rPr>
              <w:t>П — 32</w:t>
            </w:r>
          </w:p>
        </w:tc>
        <w:tc>
          <w:tcPr>
            <w:tcW w:type="dxa" w:w="1361"/>
            <w:vAlign w:val="center"/>
          </w:tcPr>
          <w:p>
            <w:pPr>
              <w:pStyle w:val="TableText"/>
              <w:jc w:val="center"/>
            </w:pPr>
            <w:r>
              <w:rPr>
                <w:sz w:val="22"/>
              </w:rPr>
              <w:t>32</w:t>
            </w:r>
          </w:p>
        </w:tc>
      </w:tr>
      <w:tr>
        <w:trPr>
          <w:cantSplit/>
        </w:trPr>
        <w:tc>
          <w:tcPr>
            <w:tcW w:type="dxa" w:w="964"/>
            <w:vAlign w:val="center"/>
          </w:tcPr>
          <w:p>
            <w:pPr>
              <w:pStyle w:val="TableText"/>
              <w:jc w:val="center"/>
            </w:pPr>
            <w:r>
              <w:rPr>
                <w:sz w:val="22"/>
              </w:rPr>
              <w:t>8–9</w:t>
            </w:r>
          </w:p>
        </w:tc>
        <w:tc>
          <w:tcPr>
            <w:tcW w:type="dxa" w:w="5216"/>
            <w:vAlign w:val="center"/>
          </w:tcPr>
          <w:p>
            <w:pPr>
              <w:pStyle w:val="TableText"/>
              <w:jc w:val="left"/>
            </w:pPr>
            <w:r>
              <w:rPr>
                <w:sz w:val="22"/>
              </w:rPr>
              <w:t>Разработка ПО передатчика и приёмника видеопотока на ESP32-S3, средств сбора и обработки данных</w:t>
            </w:r>
          </w:p>
        </w:tc>
        <w:tc>
          <w:tcPr>
            <w:tcW w:type="dxa" w:w="1814"/>
            <w:vAlign w:val="center"/>
          </w:tcPr>
          <w:p>
            <w:pPr>
              <w:pStyle w:val="TableText"/>
              <w:jc w:val="center"/>
            </w:pPr>
            <w:r>
              <w:rPr>
                <w:sz w:val="22"/>
              </w:rPr>
              <w:t>П — 72</w:t>
            </w:r>
          </w:p>
        </w:tc>
        <w:tc>
          <w:tcPr>
            <w:tcW w:type="dxa" w:w="1361"/>
            <w:vAlign w:val="center"/>
          </w:tcPr>
          <w:p>
            <w:pPr>
              <w:pStyle w:val="TableText"/>
              <w:jc w:val="center"/>
            </w:pPr>
            <w:r>
              <w:rPr>
                <w:sz w:val="22"/>
              </w:rPr>
              <w:t>72</w:t>
            </w:r>
          </w:p>
        </w:tc>
      </w:tr>
      <w:tr>
        <w:trPr>
          <w:cantSplit/>
        </w:trPr>
        <w:tc>
          <w:tcPr>
            <w:tcW w:type="dxa" w:w="964"/>
            <w:vAlign w:val="center"/>
          </w:tcPr>
          <w:p>
            <w:pPr>
              <w:pStyle w:val="TableText"/>
              <w:jc w:val="center"/>
            </w:pPr>
            <w:r>
              <w:rPr>
                <w:sz w:val="22"/>
              </w:rPr>
              <w:t>9–10</w:t>
            </w:r>
          </w:p>
        </w:tc>
        <w:tc>
          <w:tcPr>
            <w:tcW w:type="dxa" w:w="5216"/>
            <w:vAlign w:val="center"/>
          </w:tcPr>
          <w:p>
            <w:pPr>
              <w:pStyle w:val="TableText"/>
              <w:jc w:val="left"/>
            </w:pPr>
            <w:r>
              <w:rPr>
                <w:sz w:val="22"/>
              </w:rPr>
              <w:t>Комплексная отладка и приёмка экспериментального стенда</w:t>
            </w:r>
          </w:p>
        </w:tc>
        <w:tc>
          <w:tcPr>
            <w:tcW w:type="dxa" w:w="1814"/>
            <w:vAlign w:val="center"/>
          </w:tcPr>
          <w:p>
            <w:pPr>
              <w:pStyle w:val="TableText"/>
              <w:jc w:val="center"/>
            </w:pPr>
            <w:r>
              <w:rPr>
                <w:sz w:val="22"/>
              </w:rPr>
              <w:t>П — 16; И — 16; Р — 8</w:t>
            </w:r>
          </w:p>
        </w:tc>
        <w:tc>
          <w:tcPr>
            <w:tcW w:type="dxa" w:w="1361"/>
            <w:vAlign w:val="center"/>
          </w:tcPr>
          <w:p>
            <w:pPr>
              <w:pStyle w:val="TableText"/>
              <w:jc w:val="center"/>
            </w:pPr>
            <w:r>
              <w:rPr>
                <w:sz w:val="22"/>
              </w:rPr>
              <w:t>40</w:t>
            </w:r>
          </w:p>
        </w:tc>
      </w:tr>
      <w:tr>
        <w:trPr>
          <w:cantSplit/>
        </w:trPr>
        <w:tc>
          <w:tcPr>
            <w:tcW w:type="dxa" w:w="7994"/>
            <w:gridSpan w:val="3"/>
            <w:vAlign w:val="center"/>
          </w:tcPr>
          <w:p>
            <w:pPr>
              <w:pStyle w:val="TableText"/>
              <w:jc w:val="center"/>
            </w:pPr>
            <w:r>
              <w:rPr>
                <w:b/>
                <w:sz w:val="22"/>
              </w:rPr>
              <w:t>Стадия 3. Проведение экспериментов на платформе LilyGO T-HaLow (40 %)</w:t>
            </w:r>
          </w:p>
        </w:tc>
        <w:tc>
          <w:tcPr>
            <w:tcW w:type="dxa" w:w="1361"/>
            <w:vAlign w:val="center"/>
          </w:tcPr>
          <w:p>
            <w:pPr>
              <w:pStyle w:val="TableText"/>
              <w:jc w:val="center"/>
            </w:pPr>
            <w:r>
              <w:rPr>
                <w:b/>
                <w:sz w:val="22"/>
              </w:rPr>
              <w:t>320</w:t>
            </w:r>
          </w:p>
        </w:tc>
      </w:tr>
      <w:tr>
        <w:trPr>
          <w:cantSplit/>
        </w:trPr>
        <w:tc>
          <w:tcPr>
            <w:tcW w:type="dxa" w:w="964"/>
            <w:vAlign w:val="center"/>
          </w:tcPr>
          <w:p>
            <w:pPr>
              <w:pStyle w:val="TableText"/>
              <w:jc w:val="center"/>
            </w:pPr>
            <w:r>
              <w:rPr>
                <w:sz w:val="22"/>
              </w:rPr>
              <w:t>10–11</w:t>
            </w:r>
          </w:p>
        </w:tc>
        <w:tc>
          <w:tcPr>
            <w:tcW w:type="dxa" w:w="5216"/>
            <w:vAlign w:val="center"/>
          </w:tcPr>
          <w:p>
            <w:pPr>
              <w:pStyle w:val="TableText"/>
              <w:jc w:val="left"/>
            </w:pPr>
            <w:r>
              <w:rPr>
                <w:sz w:val="22"/>
              </w:rPr>
              <w:t>Подготовка оборудования и полевой площадки, разметка дистанций</w:t>
            </w:r>
          </w:p>
        </w:tc>
        <w:tc>
          <w:tcPr>
            <w:tcW w:type="dxa" w:w="1814"/>
            <w:vAlign w:val="center"/>
          </w:tcPr>
          <w:p>
            <w:pPr>
              <w:pStyle w:val="TableText"/>
              <w:jc w:val="center"/>
            </w:pPr>
            <w:r>
              <w:rPr>
                <w:sz w:val="22"/>
              </w:rPr>
              <w:t>И — 16; Т — 16</w:t>
            </w:r>
          </w:p>
        </w:tc>
        <w:tc>
          <w:tcPr>
            <w:tcW w:type="dxa" w:w="1361"/>
            <w:vAlign w:val="center"/>
          </w:tcPr>
          <w:p>
            <w:pPr>
              <w:pStyle w:val="TableText"/>
              <w:jc w:val="center"/>
            </w:pPr>
            <w:r>
              <w:rPr>
                <w:sz w:val="22"/>
              </w:rPr>
              <w:t>32</w:t>
            </w:r>
          </w:p>
        </w:tc>
      </w:tr>
      <w:tr>
        <w:trPr>
          <w:cantSplit/>
        </w:trPr>
        <w:tc>
          <w:tcPr>
            <w:tcW w:type="dxa" w:w="964"/>
            <w:vAlign w:val="center"/>
          </w:tcPr>
          <w:p>
            <w:pPr>
              <w:pStyle w:val="TableText"/>
              <w:jc w:val="center"/>
            </w:pPr>
            <w:r>
              <w:rPr>
                <w:sz w:val="22"/>
              </w:rPr>
              <w:t>11–12</w:t>
            </w:r>
          </w:p>
        </w:tc>
        <w:tc>
          <w:tcPr>
            <w:tcW w:type="dxa" w:w="5216"/>
            <w:vAlign w:val="center"/>
          </w:tcPr>
          <w:p>
            <w:pPr>
              <w:pStyle w:val="TableText"/>
              <w:jc w:val="left"/>
            </w:pPr>
            <w:r>
              <w:rPr>
                <w:sz w:val="22"/>
              </w:rPr>
              <w:t>Измерение уровня сигнала, пропускной способности, задержки и потерь пакетов канала Wi-Fi HaLow на ряде дистанций</w:t>
            </w:r>
          </w:p>
        </w:tc>
        <w:tc>
          <w:tcPr>
            <w:tcW w:type="dxa" w:w="1814"/>
            <w:vAlign w:val="center"/>
          </w:tcPr>
          <w:p>
            <w:pPr>
              <w:pStyle w:val="TableText"/>
              <w:jc w:val="center"/>
            </w:pPr>
            <w:r>
              <w:rPr>
                <w:sz w:val="22"/>
              </w:rPr>
              <w:t>И — 72; Т — 72</w:t>
            </w:r>
          </w:p>
        </w:tc>
        <w:tc>
          <w:tcPr>
            <w:tcW w:type="dxa" w:w="1361"/>
            <w:vAlign w:val="center"/>
          </w:tcPr>
          <w:p>
            <w:pPr>
              <w:pStyle w:val="TableText"/>
              <w:jc w:val="center"/>
            </w:pPr>
            <w:r>
              <w:rPr>
                <w:sz w:val="22"/>
              </w:rPr>
              <w:t>144</w:t>
            </w:r>
          </w:p>
        </w:tc>
      </w:tr>
      <w:tr>
        <w:trPr>
          <w:cantSplit/>
        </w:trPr>
        <w:tc>
          <w:tcPr>
            <w:tcW w:type="dxa" w:w="964"/>
            <w:vAlign w:val="center"/>
          </w:tcPr>
          <w:p>
            <w:pPr>
              <w:pStyle w:val="TableText"/>
              <w:jc w:val="center"/>
            </w:pPr>
            <w:r>
              <w:rPr>
                <w:sz w:val="22"/>
              </w:rPr>
              <w:t>12–13</w:t>
            </w:r>
          </w:p>
        </w:tc>
        <w:tc>
          <w:tcPr>
            <w:tcW w:type="dxa" w:w="5216"/>
            <w:vAlign w:val="center"/>
          </w:tcPr>
          <w:p>
            <w:pPr>
              <w:pStyle w:val="TableText"/>
              <w:jc w:val="left"/>
            </w:pPr>
            <w:r>
              <w:rPr>
                <w:sz w:val="22"/>
              </w:rPr>
              <w:t>Измерение тех же показателей для IEEE 802.11 (2,4 ГГц) на идентичной аппаратной платформе</w:t>
            </w:r>
          </w:p>
        </w:tc>
        <w:tc>
          <w:tcPr>
            <w:tcW w:type="dxa" w:w="1814"/>
            <w:vAlign w:val="center"/>
          </w:tcPr>
          <w:p>
            <w:pPr>
              <w:pStyle w:val="TableText"/>
              <w:jc w:val="center"/>
            </w:pPr>
            <w:r>
              <w:rPr>
                <w:sz w:val="22"/>
              </w:rPr>
              <w:t>И — 40; Т — 40</w:t>
            </w:r>
          </w:p>
        </w:tc>
        <w:tc>
          <w:tcPr>
            <w:tcW w:type="dxa" w:w="1361"/>
            <w:vAlign w:val="center"/>
          </w:tcPr>
          <w:p>
            <w:pPr>
              <w:pStyle w:val="TableText"/>
              <w:jc w:val="center"/>
            </w:pPr>
            <w:r>
              <w:rPr>
                <w:sz w:val="22"/>
              </w:rPr>
              <w:t>80</w:t>
            </w:r>
          </w:p>
        </w:tc>
      </w:tr>
      <w:tr>
        <w:trPr>
          <w:cantSplit/>
        </w:trPr>
        <w:tc>
          <w:tcPr>
            <w:tcW w:type="dxa" w:w="964"/>
            <w:vAlign w:val="center"/>
          </w:tcPr>
          <w:p>
            <w:pPr>
              <w:pStyle w:val="TableText"/>
              <w:jc w:val="center"/>
            </w:pPr>
            <w:r>
              <w:rPr>
                <w:sz w:val="22"/>
              </w:rPr>
              <w:t>13–14</w:t>
            </w:r>
          </w:p>
        </w:tc>
        <w:tc>
          <w:tcPr>
            <w:tcW w:type="dxa" w:w="5216"/>
            <w:vAlign w:val="center"/>
          </w:tcPr>
          <w:p>
            <w:pPr>
              <w:pStyle w:val="TableText"/>
              <w:jc w:val="left"/>
            </w:pPr>
            <w:r>
              <w:rPr>
                <w:sz w:val="22"/>
              </w:rPr>
              <w:t>Статистическая обработка результатов, сопоставление с теоретической оценкой, оформление протоколов измерений</w:t>
            </w:r>
          </w:p>
        </w:tc>
        <w:tc>
          <w:tcPr>
            <w:tcW w:type="dxa" w:w="1814"/>
            <w:vAlign w:val="center"/>
          </w:tcPr>
          <w:p>
            <w:pPr>
              <w:pStyle w:val="TableText"/>
              <w:jc w:val="center"/>
            </w:pPr>
            <w:r>
              <w:rPr>
                <w:sz w:val="22"/>
              </w:rPr>
              <w:t>И — 32; Т — 32</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4. Экономическая часть (8 %)</w:t>
            </w:r>
          </w:p>
        </w:tc>
        <w:tc>
          <w:tcPr>
            <w:tcW w:type="dxa" w:w="1361"/>
            <w:vAlign w:val="center"/>
          </w:tcPr>
          <w:p>
            <w:pPr>
              <w:pStyle w:val="TableText"/>
              <w:jc w:val="center"/>
            </w:pPr>
            <w:r>
              <w:rPr>
                <w:b/>
                <w:sz w:val="22"/>
              </w:rPr>
              <w:t>64</w:t>
            </w:r>
          </w:p>
        </w:tc>
      </w:tr>
      <w:tr>
        <w:trPr>
          <w:cantSplit/>
        </w:trPr>
        <w:tc>
          <w:tcPr>
            <w:tcW w:type="dxa" w:w="964"/>
            <w:vAlign w:val="center"/>
          </w:tcPr>
          <w:p>
            <w:pPr>
              <w:pStyle w:val="TableText"/>
              <w:jc w:val="center"/>
            </w:pPr>
            <w:r>
              <w:rPr>
                <w:sz w:val="22"/>
              </w:rPr>
              <w:t>14–15</w:t>
            </w:r>
          </w:p>
        </w:tc>
        <w:tc>
          <w:tcPr>
            <w:tcW w:type="dxa" w:w="5216"/>
            <w:vAlign w:val="center"/>
          </w:tcPr>
          <w:p>
            <w:pPr>
              <w:pStyle w:val="TableText"/>
              <w:jc w:val="left"/>
            </w:pPr>
            <w:r>
              <w:rPr>
                <w:sz w:val="22"/>
              </w:rPr>
              <w:t>Экономическое обоснование НИР</w:t>
            </w:r>
          </w:p>
        </w:tc>
        <w:tc>
          <w:tcPr>
            <w:tcW w:type="dxa" w:w="1814"/>
            <w:vAlign w:val="center"/>
          </w:tcPr>
          <w:p>
            <w:pPr>
              <w:pStyle w:val="TableText"/>
              <w:jc w:val="center"/>
            </w:pPr>
            <w:r>
              <w:rPr>
                <w:sz w:val="22"/>
              </w:rPr>
              <w:t>И — 64</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5. Охрана труда и окружающей среды (8 %)</w:t>
            </w:r>
          </w:p>
        </w:tc>
        <w:tc>
          <w:tcPr>
            <w:tcW w:type="dxa" w:w="1361"/>
            <w:vAlign w:val="center"/>
          </w:tcPr>
          <w:p>
            <w:pPr>
              <w:pStyle w:val="TableText"/>
              <w:jc w:val="center"/>
            </w:pPr>
            <w:r>
              <w:rPr>
                <w:b/>
                <w:sz w:val="22"/>
              </w:rPr>
              <w:t>64</w:t>
            </w:r>
          </w:p>
        </w:tc>
      </w:tr>
      <w:tr>
        <w:trPr>
          <w:cantSplit/>
        </w:trPr>
        <w:tc>
          <w:tcPr>
            <w:tcW w:type="dxa" w:w="964"/>
            <w:vAlign w:val="center"/>
          </w:tcPr>
          <w:p>
            <w:pPr>
              <w:pStyle w:val="TableText"/>
              <w:jc w:val="center"/>
            </w:pPr>
            <w:r>
              <w:rPr>
                <w:sz w:val="22"/>
              </w:rPr>
              <w:t>15–16</w:t>
            </w:r>
          </w:p>
        </w:tc>
        <w:tc>
          <w:tcPr>
            <w:tcW w:type="dxa" w:w="5216"/>
            <w:vAlign w:val="center"/>
          </w:tcPr>
          <w:p>
            <w:pPr>
              <w:pStyle w:val="TableText"/>
              <w:jc w:val="left"/>
            </w:pPr>
            <w:r>
              <w:rPr>
                <w:sz w:val="22"/>
              </w:rPr>
              <w:t>Анализ условий труда, расчёт освещённости, определение класса условий труда</w:t>
            </w:r>
          </w:p>
        </w:tc>
        <w:tc>
          <w:tcPr>
            <w:tcW w:type="dxa" w:w="1814"/>
            <w:vAlign w:val="center"/>
          </w:tcPr>
          <w:p>
            <w:pPr>
              <w:pStyle w:val="TableText"/>
              <w:jc w:val="center"/>
            </w:pPr>
            <w:r>
              <w:rPr>
                <w:sz w:val="22"/>
              </w:rPr>
              <w:t>И — 64</w:t>
            </w:r>
          </w:p>
        </w:tc>
        <w:tc>
          <w:tcPr>
            <w:tcW w:type="dxa" w:w="1361"/>
            <w:vAlign w:val="center"/>
          </w:tcPr>
          <w:p>
            <w:pPr>
              <w:pStyle w:val="TableText"/>
              <w:jc w:val="center"/>
            </w:pPr>
            <w:r>
              <w:rPr>
                <w:sz w:val="22"/>
              </w:rPr>
              <w:t>64</w:t>
            </w:r>
          </w:p>
        </w:tc>
      </w:tr>
      <w:tr>
        <w:trPr>
          <w:cantSplit/>
        </w:trPr>
        <w:tc>
          <w:tcPr>
            <w:tcW w:type="dxa" w:w="7994"/>
            <w:gridSpan w:val="3"/>
            <w:vAlign w:val="center"/>
          </w:tcPr>
          <w:p>
            <w:pPr>
              <w:pStyle w:val="TableText"/>
              <w:jc w:val="center"/>
            </w:pPr>
            <w:r>
              <w:rPr>
                <w:b/>
                <w:sz w:val="22"/>
              </w:rPr>
              <w:t>Стадия 6. Результаты, выводы, предложения по интеграции в БПЛА (4 %)</w:t>
            </w:r>
          </w:p>
        </w:tc>
        <w:tc>
          <w:tcPr>
            <w:tcW w:type="dxa" w:w="1361"/>
            <w:vAlign w:val="center"/>
          </w:tcPr>
          <w:p>
            <w:pPr>
              <w:pStyle w:val="TableText"/>
              <w:jc w:val="center"/>
            </w:pPr>
            <w:r>
              <w:rPr>
                <w:b/>
                <w:sz w:val="22"/>
              </w:rPr>
              <w:t>32</w:t>
            </w:r>
          </w:p>
        </w:tc>
      </w:tr>
      <w:tr>
        <w:trPr>
          <w:cantSplit/>
        </w:trPr>
        <w:tc>
          <w:tcPr>
            <w:tcW w:type="dxa" w:w="964"/>
            <w:vAlign w:val="center"/>
          </w:tcPr>
          <w:p>
            <w:pPr>
              <w:pStyle w:val="TableText"/>
              <w:jc w:val="center"/>
            </w:pPr>
            <w:r>
              <w:rPr>
                <w:sz w:val="22"/>
              </w:rPr>
              <w:t>16–17</w:t>
            </w:r>
          </w:p>
        </w:tc>
        <w:tc>
          <w:tcPr>
            <w:tcW w:type="dxa" w:w="5216"/>
            <w:vAlign w:val="center"/>
          </w:tcPr>
          <w:p>
            <w:pPr>
              <w:pStyle w:val="TableText"/>
              <w:jc w:val="left"/>
            </w:pPr>
            <w:r>
              <w:rPr>
                <w:sz w:val="22"/>
              </w:rPr>
              <w:t>Обобщение результатов, формулирование выводов и предложений по интеграции в существующие модели БПЛА</w:t>
            </w:r>
          </w:p>
        </w:tc>
        <w:tc>
          <w:tcPr>
            <w:tcW w:type="dxa" w:w="1814"/>
            <w:vAlign w:val="center"/>
          </w:tcPr>
          <w:p>
            <w:pPr>
              <w:pStyle w:val="TableText"/>
              <w:jc w:val="center"/>
            </w:pPr>
            <w:r>
              <w:rPr>
                <w:sz w:val="22"/>
              </w:rPr>
              <w:t>И — 24</w:t>
            </w:r>
          </w:p>
        </w:tc>
        <w:tc>
          <w:tcPr>
            <w:tcW w:type="dxa" w:w="1361"/>
            <w:vAlign w:val="center"/>
          </w:tcPr>
          <w:p>
            <w:pPr>
              <w:pStyle w:val="TableText"/>
              <w:jc w:val="center"/>
            </w:pPr>
            <w:r>
              <w:rPr>
                <w:sz w:val="22"/>
              </w:rPr>
              <w:t>24</w:t>
            </w:r>
          </w:p>
        </w:tc>
      </w:tr>
      <w:tr>
        <w:trPr>
          <w:cantSplit/>
        </w:trPr>
        <w:tc>
          <w:tcPr>
            <w:tcW w:type="dxa" w:w="964"/>
            <w:vAlign w:val="center"/>
          </w:tcPr>
          <w:p>
            <w:pPr>
              <w:pStyle w:val="TableText"/>
              <w:jc w:val="center"/>
            </w:pPr>
            <w:r>
              <w:rPr>
                <w:sz w:val="22"/>
              </w:rPr>
              <w:t>17–18</w:t>
            </w:r>
          </w:p>
        </w:tc>
        <w:tc>
          <w:tcPr>
            <w:tcW w:type="dxa" w:w="5216"/>
            <w:vAlign w:val="center"/>
          </w:tcPr>
          <w:p>
            <w:pPr>
              <w:pStyle w:val="TableText"/>
              <w:jc w:val="left"/>
            </w:pPr>
            <w:r>
              <w:rPr>
                <w:sz w:val="22"/>
              </w:rPr>
              <w:t>Проверка и утверждение результатов ВКР руководителем</w:t>
            </w:r>
          </w:p>
        </w:tc>
        <w:tc>
          <w:tcPr>
            <w:tcW w:type="dxa" w:w="1814"/>
            <w:vAlign w:val="center"/>
          </w:tcPr>
          <w:p>
            <w:pPr>
              <w:pStyle w:val="TableText"/>
              <w:jc w:val="center"/>
            </w:pPr>
            <w:r>
              <w:rPr>
                <w:sz w:val="22"/>
              </w:rPr>
              <w:t>Р — 8</w:t>
            </w:r>
          </w:p>
        </w:tc>
        <w:tc>
          <w:tcPr>
            <w:tcW w:type="dxa" w:w="1361"/>
            <w:vAlign w:val="center"/>
          </w:tcPr>
          <w:p>
            <w:pPr>
              <w:pStyle w:val="TableText"/>
              <w:jc w:val="center"/>
            </w:pPr>
            <w:r>
              <w:rPr>
                <w:sz w:val="22"/>
              </w:rPr>
              <w:t>8</w:t>
            </w:r>
          </w:p>
        </w:tc>
      </w:tr>
      <w:tr>
        <w:trPr>
          <w:cantSplit/>
        </w:trPr>
        <w:tc>
          <w:tcPr>
            <w:tcW w:type="dxa" w:w="7994"/>
            <w:gridSpan w:val="3"/>
            <w:vAlign w:val="center"/>
          </w:tcPr>
          <w:p>
            <w:pPr>
              <w:pStyle w:val="TableText"/>
              <w:jc w:val="center"/>
            </w:pPr>
            <w:r>
              <w:rPr>
                <w:b/>
                <w:sz w:val="22"/>
              </w:rPr>
              <w:t>Итого трудоёмкость НИР</w:t>
            </w:r>
          </w:p>
        </w:tc>
        <w:tc>
          <w:tcPr>
            <w:tcW w:type="dxa" w:w="1361"/>
            <w:vAlign w:val="center"/>
          </w:tcPr>
          <w:p>
            <w:pPr>
              <w:pStyle w:val="TableText"/>
              <w:jc w:val="center"/>
            </w:pPr>
            <w:r>
              <w:rPr>
                <w:b/>
                <w:sz w:val="22"/>
              </w:rPr>
              <w:t>800</w:t>
            </w:r>
          </w:p>
        </w:tc>
      </w:tr>
    </w:tbl>
    <w:p>
      <w:pPr>
        <w:spacing w:line="240" w:lineRule="auto"/>
      </w:pPr>
    </w:p>
    <w:p>
      <w:r>
        <w:t>Удельный вес трудоёмкости стадий в общем объёме работ принят по заданию на ВКР. Общая трудоёмкость НИР T = 800 чел.-ч определена экспертным путём как сумма трудоёмкостей работ; в неё включены работы по настройке экспериментального стенда, потребовавшие обновления встроенного программного обеспечения модуля Wi-Fi HaLow, разработки программного обеспечения передатчика и приёмника и средств обработки данных. Трудоёмкость j-й стадии: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j</m:t>
                  </m:r>
                </m:sub>
              </m:sSub>
              <m:r>
                <m:rPr>
                  <m:sty m:val="p"/>
                </m:rPr>
                <w:rPr>
                  <w:rFonts w:ascii="Cambria Math" w:hAnsi="Cambria Math"/>
                </w:rPr>
                <m:t xml:space="preserve"> = </m:t>
              </m:r>
              <m:f>
                <m:num>
                  <m:sSub>
                    <m:e>
                      <m:r>
                        <w:rPr>
                          <w:rFonts w:ascii="Cambria Math" w:hAnsi="Cambria Math"/>
                        </w:rPr>
                        <m:t xml:space="preserve">α</m:t>
                      </m:r>
                    </m:e>
                    <m:sub>
                      <m:r>
                        <m:rPr>
                          <m:sty m:val="p"/>
                        </m:rPr>
                        <w:rPr>
                          <w:rFonts w:ascii="Cambria Math" w:hAnsi="Cambria Math"/>
                        </w:rPr>
                        <m:t xml:space="preserve">j</m:t>
                      </m:r>
                    </m:sub>
                  </m:sSub>
                </m:num>
                <m:den>
                  <m:r>
                    <m:rPr>
                      <m:sty m:val="p"/>
                    </m:rPr>
                    <w:rPr>
                      <w:rFonts w:ascii="Cambria Math" w:hAnsi="Cambria Math"/>
                    </w:rPr>
                    <m:t xml:space="preserve">100</m:t>
                  </m:r>
                </m:den>
              </m:f>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oMath>
          </w:p>
        </w:tc>
        <w:tc>
          <w:tcPr>
            <w:tcW w:type="dxa" w:w="1020"/>
            <w:vAlign w:val="center"/>
          </w:tcPr>
          <w:p>
            <w:pPr>
              <w:pStyle w:val="Formula"/>
              <w:jc w:val="right"/>
            </w:pPr>
            <w:r>
              <w:t>(4.5)</w:t>
            </w:r>
          </w:p>
        </w:tc>
      </w:tr>
    </w:tbl>
    <w:p>
      <w:pPr>
        <w:ind w:firstLine="0"/>
      </w:pPr>
      <w:r>
        <w:t xml:space="preserve">где </w:t>
      </w:r>
      <m:oMath>
        <m:sSub>
          <m:e>
            <m:r>
              <w:rPr>
                <w:rFonts w:ascii="Cambria Math" w:hAnsi="Cambria Math"/>
              </w:rPr>
              <m:t xml:space="preserve">α</m:t>
            </m:r>
          </m:e>
          <m:sub>
            <m:r>
              <m:rPr>
                <m:sty m:val="p"/>
              </m:rPr>
              <w:rPr>
                <w:rFonts w:ascii="Cambria Math" w:hAnsi="Cambria Math"/>
              </w:rPr>
              <m:t xml:space="preserve">j</m:t>
            </m:r>
          </m:sub>
        </m:sSub>
      </m:oMath>
      <w:r>
        <w:t xml:space="preserve"> – удельный вес трудоёмкости j-й стадии, %.</w:t>
      </w:r>
    </w:p>
    <w:p>
      <w:pPr>
        <w:pStyle w:val="Heading3"/>
      </w:pPr>
      <w:r>
        <w:t>4.3.2 Календарный план</w:t>
      </w:r>
    </w:p>
    <w:p>
      <w:r>
        <w:t>Производственный цикл j-й стадии в рабочих днях вычисляется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ц.j</m:t>
                  </m:r>
                </m:sub>
              </m:sSub>
              <m:r>
                <m:rPr>
                  <m:sty m:val="p"/>
                </m:rPr>
                <w:rPr>
                  <w:rFonts w:ascii="Cambria Math" w:hAnsi="Cambria Math"/>
                </w:rPr>
                <m:t xml:space="preserve"> = </m:t>
              </m:r>
              <m:f>
                <m:num>
                  <m:sSub>
                    <m:e>
                      <m:r>
                        <w:rPr>
                          <w:rFonts w:ascii="Cambria Math" w:hAnsi="Cambria Math"/>
                        </w:rPr>
                        <m:t xml:space="preserve">T</m:t>
                      </m:r>
                    </m:e>
                    <m:sub>
                      <m:r>
                        <m:rPr>
                          <m:sty m:val="p"/>
                        </m:rPr>
                        <w:rPr>
                          <w:rFonts w:ascii="Cambria Math" w:hAnsi="Cambria Math"/>
                        </w:rPr>
                        <m:t xml:space="preserve">j</m:t>
                      </m:r>
                    </m:sub>
                  </m:sSub>
                </m:num>
                <m:den>
                  <m:sSub>
                    <m:e>
                      <m:r>
                        <w:rPr>
                          <w:rFonts w:ascii="Cambria Math" w:hAnsi="Cambria Math"/>
                        </w:rPr>
                        <m:t xml:space="preserve">t</m:t>
                      </m:r>
                    </m:e>
                    <m:sub>
                      <m:r>
                        <m:rPr>
                          <m:sty m:val="p"/>
                        </m:rPr>
                        <w:rPr>
                          <w:rFonts w:ascii="Cambria Math" w:hAnsi="Cambria Math"/>
                        </w:rPr>
                        <m:t xml:space="preserve">рд</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j</m:t>
                      </m:r>
                    </m:sub>
                  </m:sSub>
                </m:den>
              </m:f>
              <m:r>
                <m:rPr>
                  <m:sty m:val="p"/>
                </m:rPr>
                <w:rPr>
                  <w:rFonts w:ascii="Cambria Math" w:hAnsi="Cambria Math"/>
                </w:rPr>
                <m:t xml:space="preserve">,</m:t>
              </m:r>
            </m:oMath>
          </w:p>
        </w:tc>
        <w:tc>
          <w:tcPr>
            <w:tcW w:type="dxa" w:w="1020"/>
            <w:vAlign w:val="center"/>
          </w:tcPr>
          <w:p>
            <w:pPr>
              <w:pStyle w:val="Formula"/>
              <w:jc w:val="right"/>
            </w:pPr>
            <w:r>
              <w:t>(4.6)</w:t>
            </w:r>
          </w:p>
        </w:tc>
      </w:tr>
    </w:tbl>
    <w:p>
      <w:pPr>
        <w:ind w:firstLine="0"/>
      </w:pPr>
      <w:r>
        <w:t xml:space="preserve">где </w:t>
      </w:r>
      <m:oMath>
        <m:sSub>
          <m:e>
            <m:r>
              <w:rPr>
                <w:rFonts w:ascii="Cambria Math" w:hAnsi="Cambria Math"/>
              </w:rPr>
              <m:t xml:space="preserve">T</m:t>
            </m:r>
          </m:e>
          <m:sub>
            <m:r>
              <m:rPr>
                <m:sty m:val="p"/>
              </m:rPr>
              <w:rPr>
                <w:rFonts w:ascii="Cambria Math" w:hAnsi="Cambria Math"/>
              </w:rPr>
              <m:t xml:space="preserve">j</m:t>
            </m:r>
          </m:sub>
        </m:sSub>
      </m:oMath>
      <w:r>
        <w:t xml:space="preserve"> – трудоёмкость j-й стадии, чел.-ч;</w:t>
      </w:r>
    </w:p>
    <w:p>
      <m:oMath>
        <m:sSub>
          <m:e>
            <m:r>
              <w:rPr>
                <w:rFonts w:ascii="Cambria Math" w:hAnsi="Cambria Math"/>
              </w:rPr>
              <m:t xml:space="preserve">t</m:t>
            </m:r>
          </m:e>
          <m:sub>
            <m:r>
              <m:rPr>
                <m:sty m:val="p"/>
              </m:rPr>
              <w:rPr>
                <w:rFonts w:ascii="Cambria Math" w:hAnsi="Cambria Math"/>
              </w:rPr>
              <m:t xml:space="preserve">рд</m:t>
            </m:r>
          </m:sub>
        </m:sSub>
      </m:oMath>
      <w:r>
        <w:t xml:space="preserve"> – продолжительность рабочего дня, 8 ч;</w:t>
      </w:r>
    </w:p>
    <w:p>
      <m:oMath>
        <m:sSub>
          <m:e>
            <m:r>
              <w:rPr>
                <w:rFonts w:ascii="Cambria Math" w:hAnsi="Cambria Math"/>
              </w:rPr>
              <m:t xml:space="preserve">q</m:t>
            </m:r>
          </m:e>
          <m:sub>
            <m:r>
              <m:rPr>
                <m:sty m:val="p"/>
              </m:rPr>
              <w:rPr>
                <w:rFonts w:ascii="Cambria Math" w:hAnsi="Cambria Math"/>
              </w:rPr>
              <m:t xml:space="preserve">j</m:t>
            </m:r>
          </m:sub>
        </m:sSub>
      </m:oMath>
      <w:r>
        <w:t xml:space="preserve"> – количество исполнителей, одновременно участвующих в работах j-й стадии, чел.</w:t>
      </w:r>
    </w:p>
    <w:p>
      <w:r>
        <w:t>На второй стадии параллельно работают инженер-исследователь и инженер-программист; на третьей стадии полевые измерения по схеме «точка — точка» требуют одновременного присутствия двух исполнителей у передающего и приёмного пунктов, поэтому для этих стадий q = 2. На остальных стадиях q = 1.</w:t>
      </w:r>
    </w:p>
    <w:p>
      <w:pPr>
        <w:keepNext/>
      </w:pPr>
      <w:r>
        <w:t>Длительность стадии в календарных днях:</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к.j</m:t>
                  </m:r>
                </m:sub>
              </m:sSub>
              <m:r>
                <m:rPr>
                  <m:sty m:val="p"/>
                </m:rPr>
                <w:rPr>
                  <w:rFonts w:ascii="Cambria Math" w:hAnsi="Cambria Math"/>
                </w:rPr>
                <m:t xml:space="preserve"> = 1,4·</m:t>
              </m:r>
              <m:sSub>
                <m:e>
                  <m:r>
                    <w:rPr>
                      <w:rFonts w:ascii="Cambria Math" w:hAnsi="Cambria Math"/>
                    </w:rPr>
                    <m:t xml:space="preserve">T</m:t>
                  </m:r>
                </m:e>
                <m:sub>
                  <m:r>
                    <m:rPr>
                      <m:sty m:val="p"/>
                    </m:rPr>
                    <w:rPr>
                      <w:rFonts w:ascii="Cambria Math" w:hAnsi="Cambria Math"/>
                    </w:rPr>
                    <m:t xml:space="preserve">ц.j</m:t>
                  </m:r>
                </m:sub>
              </m:sSub>
              <m:r>
                <m:rPr>
                  <m:sty m:val="p"/>
                </m:rPr>
                <w:rPr>
                  <w:rFonts w:ascii="Cambria Math" w:hAnsi="Cambria Math"/>
                </w:rPr>
                <m:t xml:space="preserve">,</m:t>
              </m:r>
            </m:oMath>
          </w:p>
        </w:tc>
        <w:tc>
          <w:tcPr>
            <w:tcW w:type="dxa" w:w="1020"/>
            <w:vAlign w:val="center"/>
          </w:tcPr>
          <w:p>
            <w:pPr>
              <w:pStyle w:val="Formula"/>
              <w:jc w:val="right"/>
            </w:pPr>
            <w:r>
              <w:t>(4.7)</w:t>
            </w:r>
          </w:p>
        </w:tc>
      </w:tr>
    </w:tbl>
    <w:p>
      <w:pPr>
        <w:ind w:firstLine="0"/>
      </w:pPr>
      <w:r>
        <w:t xml:space="preserve">где </w:t>
      </w:r>
      <w:r>
        <w:t>1,4 – коэффициент перевода рабочих дней в календарные [Э4].</w:t>
      </w:r>
    </w:p>
    <w:p>
      <w:pPr>
        <w:keepNext/>
      </w:pPr>
      <w:r>
        <w:t>Расчёт производственных циклов:</w:t>
      </w:r>
    </w:p>
    <w:p>
      <w:pPr>
        <w:pStyle w:val="Formula"/>
        <w:jc w:val="center"/>
      </w:pPr>
      <m:oMath>
        <m:sSub>
          <m:e>
            <m:r>
              <w:rPr>
                <w:rFonts w:ascii="Cambria Math" w:hAnsi="Cambria Math"/>
              </w:rPr>
              <m:t xml:space="preserve">T</m:t>
            </m:r>
          </m:e>
          <m:sub>
            <m:r>
              <m:rPr>
                <m:sty m:val="p"/>
              </m:rPr>
              <w:rPr>
                <w:rFonts w:ascii="Cambria Math" w:hAnsi="Cambria Math"/>
              </w:rPr>
              <m:t xml:space="preserve">ц.1</m:t>
            </m:r>
          </m:sub>
        </m:sSub>
        <m:r>
          <m:rPr>
            <m:sty m:val="p"/>
          </m:rPr>
          <w:rPr>
            <w:rFonts w:ascii="Cambria Math" w:hAnsi="Cambria Math"/>
          </w:rPr>
          <m:t xml:space="preserve"> = </m:t>
        </m:r>
        <m:f>
          <m:num>
            <m:r>
              <m:rPr>
                <m:sty m:val="p"/>
              </m:rPr>
              <w:rPr>
                <w:rFonts w:ascii="Cambria Math" w:hAnsi="Cambria Math"/>
              </w:rPr>
              <m:t xml:space="preserve">80</m:t>
            </m:r>
          </m:num>
          <m:den>
            <m:r>
              <m:rPr>
                <m:sty m:val="p"/>
              </m:rPr>
              <w:rPr>
                <w:rFonts w:ascii="Cambria Math" w:hAnsi="Cambria Math"/>
              </w:rPr>
              <m:t xml:space="preserve">8·1</m:t>
            </m:r>
          </m:den>
        </m:f>
        <m:r>
          <m:rPr>
            <m:sty m:val="p"/>
          </m:rPr>
          <w:rPr>
            <w:rFonts w:ascii="Cambria Math" w:hAnsi="Cambria Math"/>
          </w:rPr>
          <m:t xml:space="preserve"> = 10 раб. дн.;  </m:t>
        </m:r>
        <m:sSub>
          <m:e>
            <m:r>
              <w:rPr>
                <w:rFonts w:ascii="Cambria Math" w:hAnsi="Cambria Math"/>
              </w:rPr>
              <m:t xml:space="preserve">T</m:t>
            </m:r>
          </m:e>
          <m:sub>
            <m:r>
              <m:rPr>
                <m:sty m:val="p"/>
              </m:rPr>
              <w:rPr>
                <w:rFonts w:ascii="Cambria Math" w:hAnsi="Cambria Math"/>
              </w:rPr>
              <m:t xml:space="preserve">к.1</m:t>
            </m:r>
          </m:sub>
        </m:sSub>
        <m:r>
          <m:rPr>
            <m:sty m:val="p"/>
          </m:rPr>
          <w:rPr>
            <w:rFonts w:ascii="Cambria Math" w:hAnsi="Cambria Math"/>
          </w:rPr>
          <m:t xml:space="preserve"> = 1,4·10 ≈ 14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ц.2</m:t>
            </m:r>
          </m:sub>
        </m:sSub>
        <m:r>
          <m:rPr>
            <m:sty m:val="p"/>
          </m:rPr>
          <w:rPr>
            <w:rFonts w:ascii="Cambria Math" w:hAnsi="Cambria Math"/>
          </w:rPr>
          <m:t xml:space="preserve"> = </m:t>
        </m:r>
        <m:f>
          <m:num>
            <m:r>
              <m:rPr>
                <m:sty m:val="p"/>
              </m:rPr>
              <w:rPr>
                <w:rFonts w:ascii="Cambria Math" w:hAnsi="Cambria Math"/>
              </w:rPr>
              <m:t xml:space="preserve">240</m:t>
            </m:r>
          </m:num>
          <m:den>
            <m:r>
              <m:rPr>
                <m:sty m:val="p"/>
              </m:rPr>
              <w:rPr>
                <w:rFonts w:ascii="Cambria Math" w:hAnsi="Cambria Math"/>
              </w:rPr>
              <m:t xml:space="preserve">8·2</m:t>
            </m:r>
          </m:den>
        </m:f>
        <m:r>
          <m:rPr>
            <m:sty m:val="p"/>
          </m:rPr>
          <w:rPr>
            <w:rFonts w:ascii="Cambria Math" w:hAnsi="Cambria Math"/>
          </w:rPr>
          <m:t xml:space="preserve"> = 15 раб. дн.;  </m:t>
        </m:r>
        <m:sSub>
          <m:e>
            <m:r>
              <w:rPr>
                <w:rFonts w:ascii="Cambria Math" w:hAnsi="Cambria Math"/>
              </w:rPr>
              <m:t xml:space="preserve">T</m:t>
            </m:r>
          </m:e>
          <m:sub>
            <m:r>
              <m:rPr>
                <m:sty m:val="p"/>
              </m:rPr>
              <w:rPr>
                <w:rFonts w:ascii="Cambria Math" w:hAnsi="Cambria Math"/>
              </w:rPr>
              <m:t xml:space="preserve">к.2</m:t>
            </m:r>
          </m:sub>
        </m:sSub>
        <m:r>
          <m:rPr>
            <m:sty m:val="p"/>
          </m:rPr>
          <w:rPr>
            <w:rFonts w:ascii="Cambria Math" w:hAnsi="Cambria Math"/>
          </w:rPr>
          <m:t xml:space="preserve"> = 1,4·15 ≈ 21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ц.3</m:t>
            </m:r>
          </m:sub>
        </m:sSub>
        <m:r>
          <m:rPr>
            <m:sty m:val="p"/>
          </m:rPr>
          <w:rPr>
            <w:rFonts w:ascii="Cambria Math" w:hAnsi="Cambria Math"/>
          </w:rPr>
          <m:t xml:space="preserve"> = </m:t>
        </m:r>
        <m:f>
          <m:num>
            <m:r>
              <m:rPr>
                <m:sty m:val="p"/>
              </m:rPr>
              <w:rPr>
                <w:rFonts w:ascii="Cambria Math" w:hAnsi="Cambria Math"/>
              </w:rPr>
              <m:t xml:space="preserve">320</m:t>
            </m:r>
          </m:num>
          <m:den>
            <m:r>
              <m:rPr>
                <m:sty m:val="p"/>
              </m:rPr>
              <w:rPr>
                <w:rFonts w:ascii="Cambria Math" w:hAnsi="Cambria Math"/>
              </w:rPr>
              <m:t xml:space="preserve">8·2</m:t>
            </m:r>
          </m:den>
        </m:f>
        <m:r>
          <m:rPr>
            <m:sty m:val="p"/>
          </m:rPr>
          <w:rPr>
            <w:rFonts w:ascii="Cambria Math" w:hAnsi="Cambria Math"/>
          </w:rPr>
          <m:t xml:space="preserve"> = 20 раб. дн.;  </m:t>
        </m:r>
        <m:sSub>
          <m:e>
            <m:r>
              <w:rPr>
                <w:rFonts w:ascii="Cambria Math" w:hAnsi="Cambria Math"/>
              </w:rPr>
              <m:t xml:space="preserve">T</m:t>
            </m:r>
          </m:e>
          <m:sub>
            <m:r>
              <m:rPr>
                <m:sty m:val="p"/>
              </m:rPr>
              <w:rPr>
                <w:rFonts w:ascii="Cambria Math" w:hAnsi="Cambria Math"/>
              </w:rPr>
              <m:t xml:space="preserve">к.3</m:t>
            </m:r>
          </m:sub>
        </m:sSub>
        <m:r>
          <m:rPr>
            <m:sty m:val="p"/>
          </m:rPr>
          <w:rPr>
            <w:rFonts w:ascii="Cambria Math" w:hAnsi="Cambria Math"/>
          </w:rPr>
          <m:t xml:space="preserve"> = 1,4·20 ≈ 28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ц.4</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8·1</m:t>
            </m:r>
          </m:den>
        </m:f>
        <m:r>
          <m:rPr>
            <m:sty m:val="p"/>
          </m:rPr>
          <w:rPr>
            <w:rFonts w:ascii="Cambria Math" w:hAnsi="Cambria Math"/>
          </w:rPr>
          <m:t xml:space="preserve"> = 8 раб. дн.;  </m:t>
        </m:r>
        <m:sSub>
          <m:e>
            <m:r>
              <w:rPr>
                <w:rFonts w:ascii="Cambria Math" w:hAnsi="Cambria Math"/>
              </w:rPr>
              <m:t xml:space="preserve">T</m:t>
            </m:r>
          </m:e>
          <m:sub>
            <m:r>
              <m:rPr>
                <m:sty m:val="p"/>
              </m:rPr>
              <w:rPr>
                <w:rFonts w:ascii="Cambria Math" w:hAnsi="Cambria Math"/>
              </w:rPr>
              <m:t xml:space="preserve">к.4</m:t>
            </m:r>
          </m:sub>
        </m:sSub>
        <m:r>
          <m:rPr>
            <m:sty m:val="p"/>
          </m:rPr>
          <w:rPr>
            <w:rFonts w:ascii="Cambria Math" w:hAnsi="Cambria Math"/>
          </w:rPr>
          <m:t xml:space="preserve"> = 1,4·8 ≈ 11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ц.5</m:t>
            </m:r>
          </m:sub>
        </m:sSub>
        <m:r>
          <m:rPr>
            <m:sty m:val="p"/>
          </m:rPr>
          <w:rPr>
            <w:rFonts w:ascii="Cambria Math" w:hAnsi="Cambria Math"/>
          </w:rPr>
          <m:t xml:space="preserve"> = </m:t>
        </m:r>
        <m:f>
          <m:num>
            <m:r>
              <m:rPr>
                <m:sty m:val="p"/>
              </m:rPr>
              <w:rPr>
                <w:rFonts w:ascii="Cambria Math" w:hAnsi="Cambria Math"/>
              </w:rPr>
              <m:t xml:space="preserve">64</m:t>
            </m:r>
          </m:num>
          <m:den>
            <m:r>
              <m:rPr>
                <m:sty m:val="p"/>
              </m:rPr>
              <w:rPr>
                <w:rFonts w:ascii="Cambria Math" w:hAnsi="Cambria Math"/>
              </w:rPr>
              <m:t xml:space="preserve">8·1</m:t>
            </m:r>
          </m:den>
        </m:f>
        <m:r>
          <m:rPr>
            <m:sty m:val="p"/>
          </m:rPr>
          <w:rPr>
            <w:rFonts w:ascii="Cambria Math" w:hAnsi="Cambria Math"/>
          </w:rPr>
          <m:t xml:space="preserve"> = 8 раб. дн.;  </m:t>
        </m:r>
        <m:sSub>
          <m:e>
            <m:r>
              <w:rPr>
                <w:rFonts w:ascii="Cambria Math" w:hAnsi="Cambria Math"/>
              </w:rPr>
              <m:t xml:space="preserve">T</m:t>
            </m:r>
          </m:e>
          <m:sub>
            <m:r>
              <m:rPr>
                <m:sty m:val="p"/>
              </m:rPr>
              <w:rPr>
                <w:rFonts w:ascii="Cambria Math" w:hAnsi="Cambria Math"/>
              </w:rPr>
              <m:t xml:space="preserve">к.5</m:t>
            </m:r>
          </m:sub>
        </m:sSub>
        <m:r>
          <m:rPr>
            <m:sty m:val="p"/>
          </m:rPr>
          <w:rPr>
            <w:rFonts w:ascii="Cambria Math" w:hAnsi="Cambria Math"/>
          </w:rPr>
          <m:t xml:space="preserve"> = 1,4·8 ≈ 11 кал. дн.</m:t>
        </m:r>
      </m:oMath>
    </w:p>
    <w:p>
      <w:pPr>
        <w:pStyle w:val="Formula"/>
        <w:jc w:val="center"/>
      </w:pPr>
      <m:oMath>
        <m:sSub>
          <m:e>
            <m:r>
              <w:rPr>
                <w:rFonts w:ascii="Cambria Math" w:hAnsi="Cambria Math"/>
              </w:rPr>
              <m:t xml:space="preserve">T</m:t>
            </m:r>
          </m:e>
          <m:sub>
            <m:r>
              <m:rPr>
                <m:sty m:val="p"/>
              </m:rPr>
              <w:rPr>
                <w:rFonts w:ascii="Cambria Math" w:hAnsi="Cambria Math"/>
              </w:rPr>
              <m:t xml:space="preserve">ц.6</m:t>
            </m:r>
          </m:sub>
        </m:sSub>
        <m:r>
          <m:rPr>
            <m:sty m:val="p"/>
          </m:rPr>
          <w:rPr>
            <w:rFonts w:ascii="Cambria Math" w:hAnsi="Cambria Math"/>
          </w:rPr>
          <m:t xml:space="preserve"> = </m:t>
        </m:r>
        <m:f>
          <m:num>
            <m:r>
              <m:rPr>
                <m:sty m:val="p"/>
              </m:rPr>
              <w:rPr>
                <w:rFonts w:ascii="Cambria Math" w:hAnsi="Cambria Math"/>
              </w:rPr>
              <m:t xml:space="preserve">32</m:t>
            </m:r>
          </m:num>
          <m:den>
            <m:r>
              <m:rPr>
                <m:sty m:val="p"/>
              </m:rPr>
              <w:rPr>
                <w:rFonts w:ascii="Cambria Math" w:hAnsi="Cambria Math"/>
              </w:rPr>
              <m:t xml:space="preserve">8·1</m:t>
            </m:r>
          </m:den>
        </m:f>
        <m:r>
          <m:rPr>
            <m:sty m:val="p"/>
          </m:rPr>
          <w:rPr>
            <w:rFonts w:ascii="Cambria Math" w:hAnsi="Cambria Math"/>
          </w:rPr>
          <m:t xml:space="preserve"> = 4 раб. дн.;  </m:t>
        </m:r>
        <m:sSub>
          <m:e>
            <m:r>
              <w:rPr>
                <w:rFonts w:ascii="Cambria Math" w:hAnsi="Cambria Math"/>
              </w:rPr>
              <m:t xml:space="preserve">T</m:t>
            </m:r>
          </m:e>
          <m:sub>
            <m:r>
              <m:rPr>
                <m:sty m:val="p"/>
              </m:rPr>
              <w:rPr>
                <w:rFonts w:ascii="Cambria Math" w:hAnsi="Cambria Math"/>
              </w:rPr>
              <m:t xml:space="preserve">к.6</m:t>
            </m:r>
          </m:sub>
        </m:sSub>
        <m:r>
          <m:rPr>
            <m:sty m:val="p"/>
          </m:rPr>
          <w:rPr>
            <w:rFonts w:ascii="Cambria Math" w:hAnsi="Cambria Math"/>
          </w:rPr>
          <m:t xml:space="preserve"> = 1,4·4 ≈ 6 кал. дн.</m:t>
        </m:r>
      </m:oMath>
    </w:p>
    <w:p>
      <w:r>
        <w:t>Начало работ принято 22.09.2026; при суммарной длительности 91 календарный день работа завершается 21.12.2026, что совпадает со сроком окончания работы по заданию на ВКР, причём каждая стадия завершается не позднее контрольного срока задания. Расчёт календарного плана приведён в таблице 4.7.</w:t>
      </w:r>
    </w:p>
    <w:p>
      <w:pPr>
        <w:pStyle w:val="TableCaption"/>
        <w:ind w:firstLine="0"/>
      </w:pPr>
      <w:r>
        <w:t>Таблица 4.7 – Расчёт календарного плана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
        <w:gridCol w:w="2721"/>
        <w:gridCol w:w="737"/>
        <w:gridCol w:w="1077"/>
        <w:gridCol w:w="453"/>
        <w:gridCol w:w="793"/>
        <w:gridCol w:w="793"/>
        <w:gridCol w:w="1417"/>
        <w:gridCol w:w="907"/>
      </w:tblGrid>
      <w:tr>
        <w:trPr>
          <w:cantSplit/>
          <w:tblHeader w:val="true"/>
        </w:trPr>
        <w:tc>
          <w:tcPr>
            <w:tcW w:type="dxa" w:w="454"/>
            <w:vAlign w:val="center"/>
          </w:tcPr>
          <w:p>
            <w:pPr>
              <w:pStyle w:val="TableText"/>
              <w:keepNext/>
              <w:jc w:val="center"/>
            </w:pPr>
            <w:r>
              <w:rPr>
                <w:b/>
                <w:sz w:val="20"/>
              </w:rPr>
              <w:t>№</w:t>
            </w:r>
          </w:p>
        </w:tc>
        <w:tc>
          <w:tcPr>
            <w:tcW w:type="dxa" w:w="2721"/>
            <w:vAlign w:val="center"/>
          </w:tcPr>
          <w:p>
            <w:pPr>
              <w:pStyle w:val="TableText"/>
              <w:keepNext/>
              <w:jc w:val="center"/>
            </w:pPr>
            <w:r>
              <w:rPr>
                <w:b/>
                <w:sz w:val="20"/>
              </w:rPr>
              <w:t>Наименование стадии</w:t>
            </w:r>
          </w:p>
        </w:tc>
        <w:tc>
          <w:tcPr>
            <w:tcW w:type="dxa" w:w="737"/>
            <w:vAlign w:val="center"/>
          </w:tcPr>
          <w:p>
            <w:pPr>
              <w:pStyle w:val="TableText"/>
              <w:keepNext/>
              <w:jc w:val="center"/>
            </w:pPr>
            <w:r>
              <w:rPr>
                <w:b/>
                <w:sz w:val="20"/>
              </w:rPr>
              <w:t>Доля, %</w:t>
            </w:r>
          </w:p>
        </w:tc>
        <w:tc>
          <w:tcPr>
            <w:tcW w:type="dxa" w:w="1077"/>
            <w:vAlign w:val="center"/>
          </w:tcPr>
          <w:p>
            <w:pPr>
              <w:pStyle w:val="TableText"/>
              <w:keepNext/>
              <w:jc w:val="center"/>
            </w:pPr>
            <w:r>
              <w:rPr>
                <w:b/>
                <w:sz w:val="20"/>
              </w:rPr>
              <w:t>Трудо-</w:t>
            </w:r>
          </w:p>
          <w:p>
            <w:pPr>
              <w:pStyle w:val="TableText"/>
              <w:keepNext/>
              <w:jc w:val="center"/>
            </w:pPr>
            <w:r>
              <w:rPr>
                <w:b/>
                <w:sz w:val="20"/>
              </w:rPr>
              <w:t>ёмкость, чел.-ч</w:t>
            </w:r>
          </w:p>
        </w:tc>
        <w:tc>
          <w:tcPr>
            <w:tcW w:type="dxa" w:w="454"/>
            <w:vAlign w:val="center"/>
          </w:tcPr>
          <w:p>
            <w:pPr>
              <w:pStyle w:val="TableText"/>
              <w:keepNext/>
              <w:jc w:val="center"/>
            </w:pPr>
            <w:r>
              <w:rPr>
                <w:b/>
                <w:sz w:val="20"/>
              </w:rPr>
              <w:t>q</w:t>
            </w:r>
          </w:p>
        </w:tc>
        <w:tc>
          <w:tcPr>
            <w:tcW w:type="dxa" w:w="794"/>
            <w:vAlign w:val="center"/>
          </w:tcPr>
          <w:p>
            <w:pPr>
              <w:pStyle w:val="TableText"/>
              <w:keepNext/>
              <w:jc w:val="center"/>
            </w:pPr>
            <w:r>
              <w:rPr>
                <w:b/>
                <w:sz w:val="20"/>
              </w:rPr>
              <w:t>Длит., раб. дн.</w:t>
            </w:r>
          </w:p>
        </w:tc>
        <w:tc>
          <w:tcPr>
            <w:tcW w:type="dxa" w:w="794"/>
            <w:vAlign w:val="center"/>
          </w:tcPr>
          <w:p>
            <w:pPr>
              <w:pStyle w:val="TableText"/>
              <w:keepNext/>
              <w:jc w:val="center"/>
            </w:pPr>
            <w:r>
              <w:rPr>
                <w:b/>
                <w:sz w:val="20"/>
              </w:rPr>
              <w:t>Длит., кал. дн.</w:t>
            </w:r>
          </w:p>
        </w:tc>
        <w:tc>
          <w:tcPr>
            <w:tcW w:type="dxa" w:w="1417"/>
            <w:vAlign w:val="center"/>
          </w:tcPr>
          <w:p>
            <w:pPr>
              <w:pStyle w:val="TableText"/>
              <w:keepNext/>
              <w:jc w:val="center"/>
            </w:pPr>
            <w:r>
              <w:rPr>
                <w:b/>
                <w:sz w:val="20"/>
              </w:rPr>
              <w:t>Календарные даты</w:t>
            </w:r>
          </w:p>
        </w:tc>
        <w:tc>
          <w:tcPr>
            <w:tcW w:type="dxa" w:w="907"/>
            <w:vAlign w:val="center"/>
          </w:tcPr>
          <w:p>
            <w:pPr>
              <w:pStyle w:val="TableText"/>
              <w:keepNext/>
              <w:jc w:val="center"/>
            </w:pPr>
            <w:r>
              <w:rPr>
                <w:b/>
                <w:sz w:val="20"/>
              </w:rPr>
              <w:t>Срок по заданию</w:t>
            </w:r>
          </w:p>
        </w:tc>
      </w:tr>
      <w:tr>
        <w:trPr>
          <w:cantSplit/>
        </w:trPr>
        <w:tc>
          <w:tcPr>
            <w:tcW w:type="dxa" w:w="454"/>
            <w:vAlign w:val="center"/>
          </w:tcPr>
          <w:p>
            <w:pPr>
              <w:pStyle w:val="TableText"/>
              <w:keepNext/>
              <w:jc w:val="center"/>
            </w:pPr>
            <w:r>
              <w:rPr>
                <w:sz w:val="22"/>
              </w:rPr>
              <w:t>1</w:t>
            </w:r>
          </w:p>
        </w:tc>
        <w:tc>
          <w:tcPr>
            <w:tcW w:type="dxa" w:w="2721"/>
            <w:vAlign w:val="center"/>
          </w:tcPr>
          <w:p>
            <w:pPr>
              <w:pStyle w:val="TableText"/>
              <w:keepNext/>
              <w:jc w:val="left"/>
            </w:pPr>
            <w:r>
              <w:rPr>
                <w:sz w:val="22"/>
              </w:rPr>
              <w:t>Обоснование применения Wi-Fi HaLow для задач БПЛА</w:t>
            </w:r>
          </w:p>
        </w:tc>
        <w:tc>
          <w:tcPr>
            <w:tcW w:type="dxa" w:w="737"/>
            <w:vAlign w:val="center"/>
          </w:tcPr>
          <w:p>
            <w:pPr>
              <w:pStyle w:val="TableText"/>
              <w:keepNext/>
              <w:jc w:val="center"/>
            </w:pPr>
            <w:r>
              <w:rPr>
                <w:sz w:val="22"/>
              </w:rPr>
              <w:t>10</w:t>
            </w:r>
          </w:p>
        </w:tc>
        <w:tc>
          <w:tcPr>
            <w:tcW w:type="dxa" w:w="1077"/>
            <w:vAlign w:val="center"/>
          </w:tcPr>
          <w:p>
            <w:pPr>
              <w:pStyle w:val="TableText"/>
              <w:keepNext/>
              <w:jc w:val="center"/>
            </w:pPr>
            <w:r>
              <w:rPr>
                <w:sz w:val="22"/>
              </w:rPr>
              <w:t>80</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10</w:t>
            </w:r>
          </w:p>
        </w:tc>
        <w:tc>
          <w:tcPr>
            <w:tcW w:type="dxa" w:w="794"/>
            <w:vAlign w:val="center"/>
          </w:tcPr>
          <w:p>
            <w:pPr>
              <w:pStyle w:val="TableText"/>
              <w:keepNext/>
              <w:jc w:val="center"/>
            </w:pPr>
            <w:r>
              <w:rPr>
                <w:sz w:val="22"/>
              </w:rPr>
              <w:t>14</w:t>
            </w:r>
          </w:p>
        </w:tc>
        <w:tc>
          <w:tcPr>
            <w:tcW w:type="dxa" w:w="1417"/>
            <w:vAlign w:val="center"/>
          </w:tcPr>
          <w:p>
            <w:pPr>
              <w:pStyle w:val="TableText"/>
              <w:keepNext/>
              <w:jc w:val="center"/>
            </w:pPr>
            <w:r>
              <w:rPr>
                <w:sz w:val="22"/>
              </w:rPr>
              <w:t>22.09–05.10</w:t>
            </w:r>
          </w:p>
        </w:tc>
        <w:tc>
          <w:tcPr>
            <w:tcW w:type="dxa" w:w="907"/>
            <w:vAlign w:val="center"/>
          </w:tcPr>
          <w:p>
            <w:pPr>
              <w:pStyle w:val="TableText"/>
              <w:keepNext/>
              <w:jc w:val="center"/>
            </w:pPr>
            <w:r>
              <w:rPr>
                <w:sz w:val="22"/>
              </w:rPr>
              <w:t>15.10</w:t>
            </w:r>
          </w:p>
        </w:tc>
      </w:tr>
      <w:tr>
        <w:trPr>
          <w:cantSplit/>
        </w:trPr>
        <w:tc>
          <w:tcPr>
            <w:tcW w:type="dxa" w:w="454"/>
            <w:vAlign w:val="center"/>
          </w:tcPr>
          <w:p>
            <w:pPr>
              <w:pStyle w:val="TableText"/>
              <w:keepNext/>
              <w:jc w:val="center"/>
            </w:pPr>
            <w:r>
              <w:rPr>
                <w:sz w:val="22"/>
              </w:rPr>
              <w:t>2</w:t>
            </w:r>
          </w:p>
        </w:tc>
        <w:tc>
          <w:tcPr>
            <w:tcW w:type="dxa" w:w="2721"/>
            <w:vAlign w:val="center"/>
          </w:tcPr>
          <w:p>
            <w:pPr>
              <w:pStyle w:val="TableText"/>
              <w:keepNext/>
              <w:jc w:val="left"/>
            </w:pPr>
            <w:r>
              <w:rPr>
                <w:sz w:val="22"/>
              </w:rPr>
              <w:t>Программа и методика экспериментов, выбор и настройка аппаратных и программных средств</w:t>
            </w:r>
          </w:p>
        </w:tc>
        <w:tc>
          <w:tcPr>
            <w:tcW w:type="dxa" w:w="737"/>
            <w:vAlign w:val="center"/>
          </w:tcPr>
          <w:p>
            <w:pPr>
              <w:pStyle w:val="TableText"/>
              <w:keepNext/>
              <w:jc w:val="center"/>
            </w:pPr>
            <w:r>
              <w:rPr>
                <w:sz w:val="22"/>
              </w:rPr>
              <w:t>30</w:t>
            </w:r>
          </w:p>
        </w:tc>
        <w:tc>
          <w:tcPr>
            <w:tcW w:type="dxa" w:w="1077"/>
            <w:vAlign w:val="center"/>
          </w:tcPr>
          <w:p>
            <w:pPr>
              <w:pStyle w:val="TableText"/>
              <w:keepNext/>
              <w:jc w:val="center"/>
            </w:pPr>
            <w:r>
              <w:rPr>
                <w:sz w:val="22"/>
              </w:rPr>
              <w:t>240</w:t>
            </w:r>
          </w:p>
        </w:tc>
        <w:tc>
          <w:tcPr>
            <w:tcW w:type="dxa" w:w="454"/>
            <w:vAlign w:val="center"/>
          </w:tcPr>
          <w:p>
            <w:pPr>
              <w:pStyle w:val="TableText"/>
              <w:keepNext/>
              <w:jc w:val="center"/>
            </w:pPr>
            <w:r>
              <w:rPr>
                <w:sz w:val="22"/>
              </w:rPr>
              <w:t>2</w:t>
            </w:r>
          </w:p>
        </w:tc>
        <w:tc>
          <w:tcPr>
            <w:tcW w:type="dxa" w:w="794"/>
            <w:vAlign w:val="center"/>
          </w:tcPr>
          <w:p>
            <w:pPr>
              <w:pStyle w:val="TableText"/>
              <w:keepNext/>
              <w:jc w:val="center"/>
            </w:pPr>
            <w:r>
              <w:rPr>
                <w:sz w:val="22"/>
              </w:rPr>
              <w:t>15</w:t>
            </w:r>
          </w:p>
        </w:tc>
        <w:tc>
          <w:tcPr>
            <w:tcW w:type="dxa" w:w="794"/>
            <w:vAlign w:val="center"/>
          </w:tcPr>
          <w:p>
            <w:pPr>
              <w:pStyle w:val="TableText"/>
              <w:keepNext/>
              <w:jc w:val="center"/>
            </w:pPr>
            <w:r>
              <w:rPr>
                <w:sz w:val="22"/>
              </w:rPr>
              <w:t>21</w:t>
            </w:r>
          </w:p>
        </w:tc>
        <w:tc>
          <w:tcPr>
            <w:tcW w:type="dxa" w:w="1417"/>
            <w:vAlign w:val="center"/>
          </w:tcPr>
          <w:p>
            <w:pPr>
              <w:pStyle w:val="TableText"/>
              <w:keepNext/>
              <w:jc w:val="center"/>
            </w:pPr>
            <w:r>
              <w:rPr>
                <w:sz w:val="22"/>
              </w:rPr>
              <w:t>06.10–26.10</w:t>
            </w:r>
          </w:p>
        </w:tc>
        <w:tc>
          <w:tcPr>
            <w:tcW w:type="dxa" w:w="907"/>
            <w:vAlign w:val="center"/>
          </w:tcPr>
          <w:p>
            <w:pPr>
              <w:pStyle w:val="TableText"/>
              <w:keepNext/>
              <w:jc w:val="center"/>
            </w:pPr>
            <w:r>
              <w:rPr>
                <w:sz w:val="22"/>
              </w:rPr>
              <w:t>16.11</w:t>
            </w:r>
          </w:p>
        </w:tc>
      </w:tr>
      <w:tr>
        <w:trPr>
          <w:cantSplit/>
        </w:trPr>
        <w:tc>
          <w:tcPr>
            <w:tcW w:type="dxa" w:w="454"/>
            <w:vAlign w:val="center"/>
          </w:tcPr>
          <w:p>
            <w:pPr>
              <w:pStyle w:val="TableText"/>
              <w:keepNext/>
              <w:jc w:val="center"/>
            </w:pPr>
            <w:r>
              <w:rPr>
                <w:sz w:val="22"/>
              </w:rPr>
              <w:t>3</w:t>
            </w:r>
          </w:p>
        </w:tc>
        <w:tc>
          <w:tcPr>
            <w:tcW w:type="dxa" w:w="2721"/>
            <w:vAlign w:val="center"/>
          </w:tcPr>
          <w:p>
            <w:pPr>
              <w:pStyle w:val="TableText"/>
              <w:keepNext/>
              <w:jc w:val="left"/>
            </w:pPr>
            <w:r>
              <w:rPr>
                <w:sz w:val="22"/>
              </w:rPr>
              <w:t>Проведение экспериментов на платформе LilyGO T-HaLow</w:t>
            </w:r>
          </w:p>
        </w:tc>
        <w:tc>
          <w:tcPr>
            <w:tcW w:type="dxa" w:w="737"/>
            <w:vAlign w:val="center"/>
          </w:tcPr>
          <w:p>
            <w:pPr>
              <w:pStyle w:val="TableText"/>
              <w:keepNext/>
              <w:jc w:val="center"/>
            </w:pPr>
            <w:r>
              <w:rPr>
                <w:sz w:val="22"/>
              </w:rPr>
              <w:t>40</w:t>
            </w:r>
          </w:p>
        </w:tc>
        <w:tc>
          <w:tcPr>
            <w:tcW w:type="dxa" w:w="1077"/>
            <w:vAlign w:val="center"/>
          </w:tcPr>
          <w:p>
            <w:pPr>
              <w:pStyle w:val="TableText"/>
              <w:keepNext/>
              <w:jc w:val="center"/>
            </w:pPr>
            <w:r>
              <w:rPr>
                <w:sz w:val="22"/>
              </w:rPr>
              <w:t>320</w:t>
            </w:r>
          </w:p>
        </w:tc>
        <w:tc>
          <w:tcPr>
            <w:tcW w:type="dxa" w:w="454"/>
            <w:vAlign w:val="center"/>
          </w:tcPr>
          <w:p>
            <w:pPr>
              <w:pStyle w:val="TableText"/>
              <w:keepNext/>
              <w:jc w:val="center"/>
            </w:pPr>
            <w:r>
              <w:rPr>
                <w:sz w:val="22"/>
              </w:rPr>
              <w:t>2</w:t>
            </w:r>
          </w:p>
        </w:tc>
        <w:tc>
          <w:tcPr>
            <w:tcW w:type="dxa" w:w="794"/>
            <w:vAlign w:val="center"/>
          </w:tcPr>
          <w:p>
            <w:pPr>
              <w:pStyle w:val="TableText"/>
              <w:keepNext/>
              <w:jc w:val="center"/>
            </w:pPr>
            <w:r>
              <w:rPr>
                <w:sz w:val="22"/>
              </w:rPr>
              <w:t>20</w:t>
            </w:r>
          </w:p>
        </w:tc>
        <w:tc>
          <w:tcPr>
            <w:tcW w:type="dxa" w:w="794"/>
            <w:vAlign w:val="center"/>
          </w:tcPr>
          <w:p>
            <w:pPr>
              <w:pStyle w:val="TableText"/>
              <w:keepNext/>
              <w:jc w:val="center"/>
            </w:pPr>
            <w:r>
              <w:rPr>
                <w:sz w:val="22"/>
              </w:rPr>
              <w:t>28</w:t>
            </w:r>
          </w:p>
        </w:tc>
        <w:tc>
          <w:tcPr>
            <w:tcW w:type="dxa" w:w="1417"/>
            <w:vAlign w:val="center"/>
          </w:tcPr>
          <w:p>
            <w:pPr>
              <w:pStyle w:val="TableText"/>
              <w:keepNext/>
              <w:jc w:val="center"/>
            </w:pPr>
            <w:r>
              <w:rPr>
                <w:sz w:val="22"/>
              </w:rPr>
              <w:t>27.10–23.11</w:t>
            </w:r>
          </w:p>
        </w:tc>
        <w:tc>
          <w:tcPr>
            <w:tcW w:type="dxa" w:w="907"/>
            <w:vAlign w:val="center"/>
          </w:tcPr>
          <w:p>
            <w:pPr>
              <w:pStyle w:val="TableText"/>
              <w:keepNext/>
              <w:jc w:val="center"/>
            </w:pPr>
            <w:r>
              <w:rPr>
                <w:sz w:val="22"/>
              </w:rPr>
              <w:t>08.12</w:t>
            </w:r>
          </w:p>
        </w:tc>
      </w:tr>
      <w:tr>
        <w:trPr>
          <w:cantSplit/>
        </w:trPr>
        <w:tc>
          <w:tcPr>
            <w:tcW w:type="dxa" w:w="454"/>
            <w:vAlign w:val="center"/>
          </w:tcPr>
          <w:p>
            <w:pPr>
              <w:pStyle w:val="TableText"/>
              <w:keepNext/>
              <w:jc w:val="center"/>
            </w:pPr>
            <w:r>
              <w:rPr>
                <w:sz w:val="22"/>
              </w:rPr>
              <w:t>4</w:t>
            </w:r>
          </w:p>
        </w:tc>
        <w:tc>
          <w:tcPr>
            <w:tcW w:type="dxa" w:w="2721"/>
            <w:vAlign w:val="center"/>
          </w:tcPr>
          <w:p>
            <w:pPr>
              <w:pStyle w:val="TableText"/>
              <w:keepNext/>
              <w:jc w:val="left"/>
            </w:pPr>
            <w:r>
              <w:rPr>
                <w:sz w:val="22"/>
              </w:rPr>
              <w:t>Экономическая часть</w:t>
            </w:r>
          </w:p>
        </w:tc>
        <w:tc>
          <w:tcPr>
            <w:tcW w:type="dxa" w:w="737"/>
            <w:vAlign w:val="center"/>
          </w:tcPr>
          <w:p>
            <w:pPr>
              <w:pStyle w:val="TableText"/>
              <w:keepNext/>
              <w:jc w:val="center"/>
            </w:pPr>
            <w:r>
              <w:rPr>
                <w:sz w:val="22"/>
              </w:rPr>
              <w:t>8</w:t>
            </w:r>
          </w:p>
        </w:tc>
        <w:tc>
          <w:tcPr>
            <w:tcW w:type="dxa" w:w="1077"/>
            <w:vAlign w:val="center"/>
          </w:tcPr>
          <w:p>
            <w:pPr>
              <w:pStyle w:val="TableText"/>
              <w:keepNext/>
              <w:jc w:val="center"/>
            </w:pPr>
            <w:r>
              <w:rPr>
                <w:sz w:val="22"/>
              </w:rPr>
              <w:t>64</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8</w:t>
            </w:r>
          </w:p>
        </w:tc>
        <w:tc>
          <w:tcPr>
            <w:tcW w:type="dxa" w:w="794"/>
            <w:vAlign w:val="center"/>
          </w:tcPr>
          <w:p>
            <w:pPr>
              <w:pStyle w:val="TableText"/>
              <w:keepNext/>
              <w:jc w:val="center"/>
            </w:pPr>
            <w:r>
              <w:rPr>
                <w:sz w:val="22"/>
              </w:rPr>
              <w:t>11</w:t>
            </w:r>
          </w:p>
        </w:tc>
        <w:tc>
          <w:tcPr>
            <w:tcW w:type="dxa" w:w="1417"/>
            <w:vAlign w:val="center"/>
          </w:tcPr>
          <w:p>
            <w:pPr>
              <w:pStyle w:val="TableText"/>
              <w:keepNext/>
              <w:jc w:val="center"/>
            </w:pPr>
            <w:r>
              <w:rPr>
                <w:sz w:val="22"/>
              </w:rPr>
              <w:t>24.11–04.12</w:t>
            </w:r>
          </w:p>
        </w:tc>
        <w:tc>
          <w:tcPr>
            <w:tcW w:type="dxa" w:w="907"/>
            <w:vAlign w:val="center"/>
          </w:tcPr>
          <w:p>
            <w:pPr>
              <w:pStyle w:val="TableText"/>
              <w:keepNext/>
              <w:jc w:val="center"/>
            </w:pPr>
            <w:r>
              <w:rPr>
                <w:sz w:val="22"/>
              </w:rPr>
              <w:t>11.12</w:t>
            </w:r>
          </w:p>
        </w:tc>
      </w:tr>
      <w:tr>
        <w:trPr>
          <w:cantSplit/>
        </w:trPr>
        <w:tc>
          <w:tcPr>
            <w:tcW w:type="dxa" w:w="454"/>
            <w:vAlign w:val="center"/>
          </w:tcPr>
          <w:p>
            <w:pPr>
              <w:pStyle w:val="TableText"/>
              <w:keepNext/>
              <w:jc w:val="center"/>
            </w:pPr>
            <w:r>
              <w:rPr>
                <w:sz w:val="22"/>
              </w:rPr>
              <w:t>5</w:t>
            </w:r>
          </w:p>
        </w:tc>
        <w:tc>
          <w:tcPr>
            <w:tcW w:type="dxa" w:w="2721"/>
            <w:vAlign w:val="center"/>
          </w:tcPr>
          <w:p>
            <w:pPr>
              <w:pStyle w:val="TableText"/>
              <w:keepNext/>
              <w:jc w:val="left"/>
            </w:pPr>
            <w:r>
              <w:rPr>
                <w:sz w:val="22"/>
              </w:rPr>
              <w:t>Охрана труда и окружающей среды</w:t>
            </w:r>
          </w:p>
        </w:tc>
        <w:tc>
          <w:tcPr>
            <w:tcW w:type="dxa" w:w="737"/>
            <w:vAlign w:val="center"/>
          </w:tcPr>
          <w:p>
            <w:pPr>
              <w:pStyle w:val="TableText"/>
              <w:keepNext/>
              <w:jc w:val="center"/>
            </w:pPr>
            <w:r>
              <w:rPr>
                <w:sz w:val="22"/>
              </w:rPr>
              <w:t>8</w:t>
            </w:r>
          </w:p>
        </w:tc>
        <w:tc>
          <w:tcPr>
            <w:tcW w:type="dxa" w:w="1077"/>
            <w:vAlign w:val="center"/>
          </w:tcPr>
          <w:p>
            <w:pPr>
              <w:pStyle w:val="TableText"/>
              <w:keepNext/>
              <w:jc w:val="center"/>
            </w:pPr>
            <w:r>
              <w:rPr>
                <w:sz w:val="22"/>
              </w:rPr>
              <w:t>64</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8</w:t>
            </w:r>
          </w:p>
        </w:tc>
        <w:tc>
          <w:tcPr>
            <w:tcW w:type="dxa" w:w="794"/>
            <w:vAlign w:val="center"/>
          </w:tcPr>
          <w:p>
            <w:pPr>
              <w:pStyle w:val="TableText"/>
              <w:keepNext/>
              <w:jc w:val="center"/>
            </w:pPr>
            <w:r>
              <w:rPr>
                <w:sz w:val="22"/>
              </w:rPr>
              <w:t>11</w:t>
            </w:r>
          </w:p>
        </w:tc>
        <w:tc>
          <w:tcPr>
            <w:tcW w:type="dxa" w:w="1417"/>
            <w:vAlign w:val="center"/>
          </w:tcPr>
          <w:p>
            <w:pPr>
              <w:pStyle w:val="TableText"/>
              <w:keepNext/>
              <w:jc w:val="center"/>
            </w:pPr>
            <w:r>
              <w:rPr>
                <w:sz w:val="22"/>
              </w:rPr>
              <w:t>05.12–15.12</w:t>
            </w:r>
          </w:p>
        </w:tc>
        <w:tc>
          <w:tcPr>
            <w:tcW w:type="dxa" w:w="907"/>
            <w:vAlign w:val="center"/>
          </w:tcPr>
          <w:p>
            <w:pPr>
              <w:pStyle w:val="TableText"/>
              <w:keepNext/>
              <w:jc w:val="center"/>
            </w:pPr>
            <w:r>
              <w:rPr>
                <w:sz w:val="22"/>
              </w:rPr>
              <w:t>18.12</w:t>
            </w:r>
          </w:p>
        </w:tc>
      </w:tr>
      <w:tr>
        <w:trPr>
          <w:cantSplit/>
        </w:trPr>
        <w:tc>
          <w:tcPr>
            <w:tcW w:type="dxa" w:w="454"/>
            <w:vAlign w:val="center"/>
          </w:tcPr>
          <w:p>
            <w:pPr>
              <w:pStyle w:val="TableText"/>
              <w:keepNext/>
              <w:jc w:val="center"/>
            </w:pPr>
            <w:r>
              <w:rPr>
                <w:sz w:val="22"/>
              </w:rPr>
              <w:t>6</w:t>
            </w:r>
          </w:p>
        </w:tc>
        <w:tc>
          <w:tcPr>
            <w:tcW w:type="dxa" w:w="2721"/>
            <w:vAlign w:val="center"/>
          </w:tcPr>
          <w:p>
            <w:pPr>
              <w:pStyle w:val="TableText"/>
              <w:keepNext/>
              <w:jc w:val="left"/>
            </w:pPr>
            <w:r>
              <w:rPr>
                <w:sz w:val="22"/>
              </w:rPr>
              <w:t>Результаты, выводы, предложения по интеграции в БПЛА</w:t>
            </w:r>
          </w:p>
        </w:tc>
        <w:tc>
          <w:tcPr>
            <w:tcW w:type="dxa" w:w="737"/>
            <w:vAlign w:val="center"/>
          </w:tcPr>
          <w:p>
            <w:pPr>
              <w:pStyle w:val="TableText"/>
              <w:keepNext/>
              <w:jc w:val="center"/>
            </w:pPr>
            <w:r>
              <w:rPr>
                <w:sz w:val="22"/>
              </w:rPr>
              <w:t>4</w:t>
            </w:r>
          </w:p>
        </w:tc>
        <w:tc>
          <w:tcPr>
            <w:tcW w:type="dxa" w:w="1077"/>
            <w:vAlign w:val="center"/>
          </w:tcPr>
          <w:p>
            <w:pPr>
              <w:pStyle w:val="TableText"/>
              <w:keepNext/>
              <w:jc w:val="center"/>
            </w:pPr>
            <w:r>
              <w:rPr>
                <w:sz w:val="22"/>
              </w:rPr>
              <w:t>32</w:t>
            </w:r>
          </w:p>
        </w:tc>
        <w:tc>
          <w:tcPr>
            <w:tcW w:type="dxa" w:w="454"/>
            <w:vAlign w:val="center"/>
          </w:tcPr>
          <w:p>
            <w:pPr>
              <w:pStyle w:val="TableText"/>
              <w:keepNext/>
              <w:jc w:val="center"/>
            </w:pPr>
            <w:r>
              <w:rPr>
                <w:sz w:val="22"/>
              </w:rPr>
              <w:t>1</w:t>
            </w:r>
          </w:p>
        </w:tc>
        <w:tc>
          <w:tcPr>
            <w:tcW w:type="dxa" w:w="794"/>
            <w:vAlign w:val="center"/>
          </w:tcPr>
          <w:p>
            <w:pPr>
              <w:pStyle w:val="TableText"/>
              <w:keepNext/>
              <w:jc w:val="center"/>
            </w:pPr>
            <w:r>
              <w:rPr>
                <w:sz w:val="22"/>
              </w:rPr>
              <w:t>4</w:t>
            </w:r>
          </w:p>
        </w:tc>
        <w:tc>
          <w:tcPr>
            <w:tcW w:type="dxa" w:w="794"/>
            <w:vAlign w:val="center"/>
          </w:tcPr>
          <w:p>
            <w:pPr>
              <w:pStyle w:val="TableText"/>
              <w:keepNext/>
              <w:jc w:val="center"/>
            </w:pPr>
            <w:r>
              <w:rPr>
                <w:sz w:val="22"/>
              </w:rPr>
              <w:t>6</w:t>
            </w:r>
          </w:p>
        </w:tc>
        <w:tc>
          <w:tcPr>
            <w:tcW w:type="dxa" w:w="1417"/>
            <w:vAlign w:val="center"/>
          </w:tcPr>
          <w:p>
            <w:pPr>
              <w:pStyle w:val="TableText"/>
              <w:keepNext/>
              <w:jc w:val="center"/>
            </w:pPr>
            <w:r>
              <w:rPr>
                <w:sz w:val="22"/>
              </w:rPr>
              <w:t>16.12–21.12</w:t>
            </w:r>
          </w:p>
        </w:tc>
        <w:tc>
          <w:tcPr>
            <w:tcW w:type="dxa" w:w="907"/>
            <w:vAlign w:val="center"/>
          </w:tcPr>
          <w:p>
            <w:pPr>
              <w:pStyle w:val="TableText"/>
              <w:keepNext/>
              <w:jc w:val="center"/>
            </w:pPr>
            <w:r>
              <w:rPr>
                <w:sz w:val="22"/>
              </w:rPr>
              <w:t>21.12</w:t>
            </w:r>
          </w:p>
        </w:tc>
      </w:tr>
      <w:tr>
        <w:trPr>
          <w:cantSplit/>
        </w:trPr>
        <w:tc>
          <w:tcPr>
            <w:tcW w:type="dxa" w:w="454"/>
            <w:vAlign w:val="center"/>
          </w:tcPr>
          <w:p>
            <w:pPr>
              <w:pStyle w:val="TableText"/>
              <w:jc w:val="center"/>
            </w:pPr>
            <w:r>
              <w:rPr>
                <w:b/>
                <w:sz w:val="22"/>
              </w:rPr>
            </w:r>
          </w:p>
        </w:tc>
        <w:tc>
          <w:tcPr>
            <w:tcW w:type="dxa" w:w="2721"/>
            <w:vAlign w:val="center"/>
          </w:tcPr>
          <w:p>
            <w:pPr>
              <w:pStyle w:val="TableText"/>
              <w:jc w:val="left"/>
            </w:pPr>
            <w:r>
              <w:rPr>
                <w:b/>
                <w:sz w:val="22"/>
              </w:rPr>
              <w:t>Итого</w:t>
            </w:r>
          </w:p>
        </w:tc>
        <w:tc>
          <w:tcPr>
            <w:tcW w:type="dxa" w:w="737"/>
            <w:vAlign w:val="center"/>
          </w:tcPr>
          <w:p>
            <w:pPr>
              <w:pStyle w:val="TableText"/>
              <w:jc w:val="center"/>
            </w:pPr>
            <w:r>
              <w:rPr>
                <w:b/>
                <w:sz w:val="22"/>
              </w:rPr>
              <w:t>100</w:t>
            </w:r>
          </w:p>
        </w:tc>
        <w:tc>
          <w:tcPr>
            <w:tcW w:type="dxa" w:w="1077"/>
            <w:vAlign w:val="center"/>
          </w:tcPr>
          <w:p>
            <w:pPr>
              <w:pStyle w:val="TableText"/>
              <w:jc w:val="center"/>
            </w:pPr>
            <w:r>
              <w:rPr>
                <w:b/>
                <w:sz w:val="22"/>
              </w:rPr>
              <w:t>800</w:t>
            </w:r>
          </w:p>
        </w:tc>
        <w:tc>
          <w:tcPr>
            <w:tcW w:type="dxa" w:w="454"/>
            <w:vAlign w:val="center"/>
          </w:tcPr>
          <w:p>
            <w:pPr>
              <w:pStyle w:val="TableText"/>
              <w:jc w:val="center"/>
            </w:pPr>
            <w:r>
              <w:rPr>
                <w:b/>
                <w:sz w:val="22"/>
              </w:rPr>
              <w:t>–</w:t>
            </w:r>
          </w:p>
        </w:tc>
        <w:tc>
          <w:tcPr>
            <w:tcW w:type="dxa" w:w="794"/>
            <w:vAlign w:val="center"/>
          </w:tcPr>
          <w:p>
            <w:pPr>
              <w:pStyle w:val="TableText"/>
              <w:jc w:val="center"/>
            </w:pPr>
            <w:r>
              <w:rPr>
                <w:b/>
                <w:sz w:val="22"/>
              </w:rPr>
              <w:t>65</w:t>
            </w:r>
          </w:p>
        </w:tc>
        <w:tc>
          <w:tcPr>
            <w:tcW w:type="dxa" w:w="794"/>
            <w:vAlign w:val="center"/>
          </w:tcPr>
          <w:p>
            <w:pPr>
              <w:pStyle w:val="TableText"/>
              <w:jc w:val="center"/>
            </w:pPr>
            <w:r>
              <w:rPr>
                <w:b/>
                <w:sz w:val="22"/>
              </w:rPr>
              <w:t>91</w:t>
            </w:r>
          </w:p>
        </w:tc>
        <w:tc>
          <w:tcPr>
            <w:tcW w:type="dxa" w:w="1417"/>
            <w:vAlign w:val="center"/>
          </w:tcPr>
          <w:p>
            <w:pPr>
              <w:pStyle w:val="TableText"/>
              <w:jc w:val="center"/>
            </w:pPr>
            <w:r>
              <w:rPr>
                <w:b/>
                <w:sz w:val="22"/>
              </w:rPr>
              <w:t>22.09–21.12</w:t>
            </w:r>
          </w:p>
        </w:tc>
        <w:tc>
          <w:tcPr>
            <w:tcW w:type="dxa" w:w="907"/>
            <w:vAlign w:val="center"/>
          </w:tcPr>
          <w:p>
            <w:pPr>
              <w:pStyle w:val="TableText"/>
              <w:jc w:val="center"/>
            </w:pPr>
            <w:r>
              <w:rPr>
                <w:b/>
                <w:sz w:val="22"/>
              </w:rPr>
            </w:r>
          </w:p>
        </w:tc>
      </w:tr>
    </w:tbl>
    <w:p>
      <w:pPr>
        <w:spacing w:line="240" w:lineRule="auto"/>
      </w:pPr>
    </w:p>
    <w:p>
      <w:r>
        <w:t>Графическое построение календарного плана проводится в осях «календарные даты — трудоёмкость» с учётом трудоёмкости и даты окончания каждой стадии работ [Э4] (рисунок 4.1).</w:t>
      </w:r>
    </w:p>
    <w:p>
      <w:pPr>
        <w:keepNext/>
        <w:ind w:firstLine="0"/>
        <w:jc w:val="center"/>
      </w:pPr>
      <w:r>
        <w:drawing>
          <wp:inline xmlns:a="http://schemas.openxmlformats.org/drawingml/2006/main" xmlns:pic="http://schemas.openxmlformats.org/drawingml/2006/picture">
            <wp:extent cx="5400000" cy="3543750"/>
            <wp:docPr id="1" name="Picture 1"/>
            <wp:cNvGraphicFramePr>
              <a:graphicFrameLocks noChangeAspect="1"/>
            </wp:cNvGraphicFramePr>
            <a:graphic>
              <a:graphicData uri="http://schemas.openxmlformats.org/drawingml/2006/picture">
                <pic:pic>
                  <pic:nvPicPr>
                    <pic:cNvPr id="0" name="calgraph.png"/>
                    <pic:cNvPicPr/>
                  </pic:nvPicPr>
                  <pic:blipFill>
                    <a:blip r:embed="rId10"/>
                    <a:stretch>
                      <a:fillRect/>
                    </a:stretch>
                  </pic:blipFill>
                  <pic:spPr>
                    <a:xfrm>
                      <a:off x="0" y="0"/>
                      <a:ext cx="5400000" cy="3543750"/>
                    </a:xfrm>
                    <a:prstGeom prst="rect"/>
                  </pic:spPr>
                </pic:pic>
              </a:graphicData>
            </a:graphic>
          </wp:inline>
        </w:drawing>
      </w:r>
    </w:p>
    <w:p>
      <w:pPr>
        <w:ind w:firstLine="0"/>
        <w:jc w:val="center"/>
      </w:pPr>
      <w:r>
        <w:t>Рисунок 4.1 – Календарный план НИР в осях «календарные даты — трудоёмкость»</w:t>
      </w:r>
    </w:p>
    <w:p>
      <w:pPr>
        <w:pStyle w:val="Heading3"/>
      </w:pPr>
      <w:r>
        <w:t>4.3.3 Сетевой график</w:t>
      </w:r>
    </w:p>
    <w:p>
      <w:r>
        <w:t>Сетевой график — графическая модель комплекса работ, отражающая их логическую последовательность и взаимосвязь. Он состоит из событий и работ. Событие (кружок) — момент завершения одной или нескольких работ, после которого могут начаться следующие; работа (стрелка) — процесс, требующий затрат времени и ресурсов. Самый продолжительный путь от исходного события к завершающему называется критическим: его длина определяет минимальную продолжительность НИР, а задержка любой работы критического пути сдвигает срок окончания всей НИР. Работы, не лежащие на критическом пути, имеют резервы времени [Э4].</w:t>
      </w:r>
    </w:p>
    <w:p>
      <w:r>
        <w:t xml:space="preserve">Планирование с использованием сетевого графика включает составление перечня работ и событий, определение продолжительности работ, построение сетевого графика и расчёт его основных параметров [Э4]. Поскольку точная оценка продолжительности работ НИР затруднительна, используется вероятностный метод: для каждой работы экспертно задаются минимальная оценка продолжительности </w:t>
      </w:r>
      <m:oMath>
        <m:sSub>
          <m:e>
            <m:r>
              <w:rPr>
                <w:rFonts w:ascii="Cambria Math" w:hAnsi="Cambria Math"/>
              </w:rPr>
              <m:t xml:space="preserve">t</m:t>
            </m:r>
          </m:e>
          <m:sub>
            <m:r>
              <m:rPr>
                <m:sty m:val="p"/>
              </m:rPr>
              <w:rPr>
                <w:rFonts w:ascii="Cambria Math" w:hAnsi="Cambria Math"/>
              </w:rPr>
              <m:t xml:space="preserve">min</m:t>
            </m:r>
          </m:sub>
        </m:sSub>
      </m:oMath>
      <w:r>
        <w:t xml:space="preserve"> (при наиболее благоприятном стечении обстоятельств) и максимальная </w:t>
      </w:r>
      <m:oMath>
        <m:sSub>
          <m:e>
            <m:r>
              <w:rPr>
                <w:rFonts w:ascii="Cambria Math" w:hAnsi="Cambria Math"/>
              </w:rPr>
              <m:t xml:space="preserve">t</m:t>
            </m:r>
          </m:e>
          <m:sub>
            <m:r>
              <m:rPr>
                <m:sty m:val="p"/>
              </m:rPr>
              <w:rPr>
                <w:rFonts w:ascii="Cambria Math" w:hAnsi="Cambria Math"/>
              </w:rPr>
              <m:t xml:space="preserve">max</m:t>
            </m:r>
          </m:sub>
        </m:sSub>
      </m:oMath>
      <w:r>
        <w:t xml:space="preserve"> (при наиболее неблагоприятном), по которым определяется ожидаемая продолжительность:</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ож</m:t>
                  </m:r>
                </m:sub>
              </m:sSub>
              <m:r>
                <m:rPr>
                  <m:sty m:val="p"/>
                </m:rPr>
                <w:rPr>
                  <w:rFonts w:ascii="Cambria Math" w:hAnsi="Cambria Math"/>
                </w:rPr>
                <m:t xml:space="preserve"> = </m:t>
              </m:r>
              <m:f>
                <m:num>
                  <m:r>
                    <m:rPr>
                      <m:sty m:val="p"/>
                    </m:rPr>
                    <w:rPr>
                      <w:rFonts w:ascii="Cambria Math" w:hAnsi="Cambria Math"/>
                    </w:rPr>
                    <m:t xml:space="preserve">3</m:t>
                  </m:r>
                  <m:sSub>
                    <m:e>
                      <m:r>
                        <w:rPr>
                          <w:rFonts w:ascii="Cambria Math" w:hAnsi="Cambria Math"/>
                        </w:rPr>
                        <m:t xml:space="preserve">t</m:t>
                      </m:r>
                    </m:e>
                    <m:sub>
                      <m:r>
                        <m:rPr>
                          <m:sty m:val="p"/>
                        </m:rPr>
                        <w:rPr>
                          <w:rFonts w:ascii="Cambria Math" w:hAnsi="Cambria Math"/>
                        </w:rPr>
                        <m:t xml:space="preserve">min</m:t>
                      </m:r>
                    </m:sub>
                  </m:sSub>
                  <m:r>
                    <m:rPr>
                      <m:sty m:val="p"/>
                    </m:rPr>
                    <w:rPr>
                      <w:rFonts w:ascii="Cambria Math" w:hAnsi="Cambria Math"/>
                    </w:rPr>
                    <m:t xml:space="preserve"> + 2</m:t>
                  </m:r>
                  <m:sSub>
                    <m:e>
                      <m:r>
                        <w:rPr>
                          <w:rFonts w:ascii="Cambria Math" w:hAnsi="Cambria Math"/>
                        </w:rPr>
                        <m:t xml:space="preserve">t</m:t>
                      </m:r>
                    </m:e>
                    <m:sub>
                      <m:r>
                        <m:rPr>
                          <m:sty m:val="p"/>
                        </m:rPr>
                        <w:rPr>
                          <w:rFonts w:ascii="Cambria Math" w:hAnsi="Cambria Math"/>
                        </w:rPr>
                        <m:t xml:space="preserve">max</m:t>
                      </m:r>
                    </m:sub>
                  </m:sSub>
                </m:num>
                <m:den>
                  <m:r>
                    <m:rPr>
                      <m:sty m:val="p"/>
                    </m:rPr>
                    <w:rPr>
                      <w:rFonts w:ascii="Cambria Math" w:hAnsi="Cambria Math"/>
                    </w:rPr>
                    <m:t xml:space="preserve">5</m:t>
                  </m:r>
                </m:den>
              </m:f>
              <m:r>
                <m:rPr>
                  <m:sty m:val="p"/>
                </m:rPr>
                <w:rPr>
                  <w:rFonts w:ascii="Cambria Math" w:hAnsi="Cambria Math"/>
                </w:rPr>
                <m:t xml:space="preserve">.</m:t>
              </m:r>
            </m:oMath>
          </w:p>
        </w:tc>
        <w:tc>
          <w:tcPr>
            <w:tcW w:type="dxa" w:w="1020"/>
            <w:vAlign w:val="center"/>
          </w:tcPr>
          <w:p>
            <w:pPr>
              <w:pStyle w:val="Formula"/>
              <w:jc w:val="right"/>
            </w:pPr>
            <w:r>
              <w:t>(4.8)</w:t>
            </w:r>
          </w:p>
        </w:tc>
      </w:tr>
    </w:tbl>
    <w:p>
      <w:r>
        <w:t>Результаты приведены в таблице 4.8.</w:t>
      </w:r>
    </w:p>
    <w:p>
      <w:pPr>
        <w:pStyle w:val="TableCaption"/>
        <w:ind w:firstLine="0"/>
      </w:pPr>
      <w:r>
        <w:t>Таблица 4.8 – Определение продолжительности работ в сетевом графике</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3571"/>
        <w:gridCol w:w="1133"/>
        <w:gridCol w:w="1133"/>
        <w:gridCol w:w="963"/>
        <w:gridCol w:w="963"/>
        <w:gridCol w:w="907"/>
      </w:tblGrid>
      <w:tr>
        <w:trPr>
          <w:cantSplit/>
          <w:tblHeader w:val="true"/>
        </w:trPr>
        <w:tc>
          <w:tcPr>
            <w:tcW w:type="dxa" w:w="680"/>
            <w:vAlign w:val="center"/>
          </w:tcPr>
          <w:p>
            <w:pPr>
              <w:pStyle w:val="TableText"/>
              <w:jc w:val="center"/>
            </w:pPr>
            <w:r>
              <w:rPr>
                <w:b/>
                <w:sz w:val="20"/>
              </w:rPr>
              <w:t>№ п/п</w:t>
            </w:r>
          </w:p>
        </w:tc>
        <w:tc>
          <w:tcPr>
            <w:tcW w:type="dxa" w:w="3572"/>
            <w:vAlign w:val="center"/>
          </w:tcPr>
          <w:p>
            <w:pPr>
              <w:pStyle w:val="TableText"/>
              <w:jc w:val="center"/>
            </w:pPr>
            <w:r>
              <w:rPr>
                <w:b/>
                <w:sz w:val="20"/>
              </w:rPr>
              <w:t>Наименование работы</w:t>
            </w:r>
          </w:p>
        </w:tc>
        <w:tc>
          <w:tcPr>
            <w:tcW w:type="dxa" w:w="1134"/>
            <w:vAlign w:val="center"/>
          </w:tcPr>
          <w:p>
            <w:pPr>
              <w:pStyle w:val="TableText"/>
              <w:jc w:val="center"/>
            </w:pPr>
            <w:r>
              <w:rPr>
                <w:b/>
                <w:sz w:val="20"/>
              </w:rPr>
              <w:t>Начальное событие</w:t>
            </w:r>
          </w:p>
        </w:tc>
        <w:tc>
          <w:tcPr>
            <w:tcW w:type="dxa" w:w="1134"/>
            <w:vAlign w:val="center"/>
          </w:tcPr>
          <w:p>
            <w:pPr>
              <w:pStyle w:val="TableText"/>
              <w:jc w:val="center"/>
            </w:pPr>
            <w:r>
              <w:rPr>
                <w:b/>
                <w:sz w:val="20"/>
              </w:rPr>
              <w:t>Конечное событие</w:t>
            </w:r>
          </w:p>
        </w:tc>
        <w:tc>
          <w:tcPr>
            <w:tcW w:type="dxa" w:w="964"/>
            <w:vAlign w:val="center"/>
          </w:tcPr>
          <w:p>
            <w:pPr>
              <w:pStyle w:val="TableText"/>
              <w:jc w:val="center"/>
            </w:pPr>
            <w:r>
              <w:rPr>
                <w:b/>
                <w:sz w:val="20"/>
              </w:rPr>
              <w:t>t min, дн.</w:t>
            </w:r>
          </w:p>
        </w:tc>
        <w:tc>
          <w:tcPr>
            <w:tcW w:type="dxa" w:w="964"/>
            <w:vAlign w:val="center"/>
          </w:tcPr>
          <w:p>
            <w:pPr>
              <w:pStyle w:val="TableText"/>
              <w:jc w:val="center"/>
            </w:pPr>
            <w:r>
              <w:rPr>
                <w:b/>
                <w:sz w:val="20"/>
              </w:rPr>
              <w:t>t max, дн.</w:t>
            </w:r>
          </w:p>
        </w:tc>
        <w:tc>
          <w:tcPr>
            <w:tcW w:type="dxa" w:w="907"/>
            <w:vAlign w:val="center"/>
          </w:tcPr>
          <w:p>
            <w:pPr>
              <w:pStyle w:val="TableText"/>
              <w:jc w:val="center"/>
            </w:pPr>
            <w:r>
              <w:rPr>
                <w:b/>
                <w:sz w:val="20"/>
              </w:rPr>
              <w:t>t ож, дн.</w:t>
            </w:r>
          </w:p>
        </w:tc>
      </w:tr>
      <w:tr>
        <w:trPr>
          <w:cantSplit/>
        </w:trPr>
        <w:tc>
          <w:tcPr>
            <w:tcW w:type="dxa" w:w="680"/>
            <w:vAlign w:val="center"/>
          </w:tcPr>
          <w:p>
            <w:pPr>
              <w:pStyle w:val="TableText"/>
              <w:jc w:val="center"/>
            </w:pPr>
            <w:r>
              <w:rPr>
                <w:sz w:val="22"/>
              </w:rPr>
              <w:t>1</w:t>
            </w:r>
          </w:p>
        </w:tc>
        <w:tc>
          <w:tcPr>
            <w:tcW w:type="dxa" w:w="3572"/>
            <w:vAlign w:val="center"/>
          </w:tcPr>
          <w:p>
            <w:pPr>
              <w:pStyle w:val="TableText"/>
              <w:jc w:val="left"/>
            </w:pPr>
            <w:r>
              <w:rPr>
                <w:sz w:val="22"/>
              </w:rPr>
              <w:t>Анализ задач БПЛА и каналов связи</w:t>
            </w:r>
          </w:p>
        </w:tc>
        <w:tc>
          <w:tcPr>
            <w:tcW w:type="dxa" w:w="1134"/>
            <w:vAlign w:val="center"/>
          </w:tcPr>
          <w:p>
            <w:pPr>
              <w:pStyle w:val="TableText"/>
              <w:jc w:val="center"/>
            </w:pPr>
            <w:r>
              <w:rPr>
                <w:sz w:val="22"/>
              </w:rPr>
              <w:t>1</w:t>
            </w:r>
          </w:p>
        </w:tc>
        <w:tc>
          <w:tcPr>
            <w:tcW w:type="dxa" w:w="1134"/>
            <w:vAlign w:val="center"/>
          </w:tcPr>
          <w:p>
            <w:pPr>
              <w:pStyle w:val="TableText"/>
              <w:jc w:val="center"/>
            </w:pPr>
            <w:r>
              <w:rPr>
                <w:sz w:val="22"/>
              </w:rPr>
              <w:t>2</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4,5</w:t>
            </w:r>
          </w:p>
        </w:tc>
        <w:tc>
          <w:tcPr>
            <w:tcW w:type="dxa" w:w="907"/>
            <w:vAlign w:val="center"/>
          </w:tcPr>
          <w:p>
            <w:pPr>
              <w:pStyle w:val="TableText"/>
              <w:jc w:val="center"/>
            </w:pPr>
            <w:r>
              <w:rPr>
                <w:sz w:val="22"/>
              </w:rPr>
              <w:t>3</w:t>
            </w:r>
          </w:p>
        </w:tc>
      </w:tr>
      <w:tr>
        <w:trPr>
          <w:cantSplit/>
        </w:trPr>
        <w:tc>
          <w:tcPr>
            <w:tcW w:type="dxa" w:w="680"/>
            <w:vAlign w:val="center"/>
          </w:tcPr>
          <w:p>
            <w:pPr>
              <w:pStyle w:val="TableText"/>
              <w:jc w:val="center"/>
            </w:pPr>
            <w:r>
              <w:rPr>
                <w:sz w:val="22"/>
              </w:rPr>
              <w:t>2</w:t>
            </w:r>
          </w:p>
        </w:tc>
        <w:tc>
          <w:tcPr>
            <w:tcW w:type="dxa" w:w="3572"/>
            <w:vAlign w:val="center"/>
          </w:tcPr>
          <w:p>
            <w:pPr>
              <w:pStyle w:val="TableText"/>
              <w:jc w:val="left"/>
            </w:pPr>
            <w:r>
              <w:rPr>
                <w:sz w:val="22"/>
              </w:rPr>
              <w:t>Сравнение HaLow, IEEE 802.11, LoRa</w:t>
            </w:r>
          </w:p>
        </w:tc>
        <w:tc>
          <w:tcPr>
            <w:tcW w:type="dxa" w:w="1134"/>
            <w:vAlign w:val="center"/>
          </w:tcPr>
          <w:p>
            <w:pPr>
              <w:pStyle w:val="TableText"/>
              <w:jc w:val="center"/>
            </w:pPr>
            <w:r>
              <w:rPr>
                <w:sz w:val="22"/>
              </w:rPr>
              <w:t>2</w:t>
            </w:r>
          </w:p>
        </w:tc>
        <w:tc>
          <w:tcPr>
            <w:tcW w:type="dxa" w:w="1134"/>
            <w:vAlign w:val="center"/>
          </w:tcPr>
          <w:p>
            <w:pPr>
              <w:pStyle w:val="TableText"/>
              <w:jc w:val="center"/>
            </w:pPr>
            <w:r>
              <w:rPr>
                <w:sz w:val="22"/>
              </w:rPr>
              <w:t>3</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3</w:t>
            </w:r>
          </w:p>
        </w:tc>
        <w:tc>
          <w:tcPr>
            <w:tcW w:type="dxa" w:w="3572"/>
            <w:vAlign w:val="center"/>
          </w:tcPr>
          <w:p>
            <w:pPr>
              <w:pStyle w:val="TableText"/>
              <w:jc w:val="left"/>
            </w:pPr>
            <w:r>
              <w:rPr>
                <w:sz w:val="22"/>
              </w:rPr>
              <w:t>Круг задач, проект задания</w:t>
            </w:r>
          </w:p>
        </w:tc>
        <w:tc>
          <w:tcPr>
            <w:tcW w:type="dxa" w:w="1134"/>
            <w:vAlign w:val="center"/>
          </w:tcPr>
          <w:p>
            <w:pPr>
              <w:pStyle w:val="TableText"/>
              <w:jc w:val="center"/>
            </w:pPr>
            <w:r>
              <w:rPr>
                <w:sz w:val="22"/>
              </w:rPr>
              <w:t>3</w:t>
            </w:r>
          </w:p>
        </w:tc>
        <w:tc>
          <w:tcPr>
            <w:tcW w:type="dxa" w:w="1134"/>
            <w:vAlign w:val="center"/>
          </w:tcPr>
          <w:p>
            <w:pPr>
              <w:pStyle w:val="TableText"/>
              <w:jc w:val="center"/>
            </w:pPr>
            <w:r>
              <w:rPr>
                <w:sz w:val="22"/>
              </w:rPr>
              <w:t>4</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4</w:t>
            </w:r>
          </w:p>
        </w:tc>
        <w:tc>
          <w:tcPr>
            <w:tcW w:type="dxa" w:w="3572"/>
            <w:vAlign w:val="center"/>
          </w:tcPr>
          <w:p>
            <w:pPr>
              <w:pStyle w:val="TableText"/>
              <w:jc w:val="left"/>
            </w:pPr>
            <w:r>
              <w:rPr>
                <w:sz w:val="22"/>
              </w:rPr>
              <w:t>Утверждение задания</w:t>
            </w:r>
          </w:p>
        </w:tc>
        <w:tc>
          <w:tcPr>
            <w:tcW w:type="dxa" w:w="1134"/>
            <w:vAlign w:val="center"/>
          </w:tcPr>
          <w:p>
            <w:pPr>
              <w:pStyle w:val="TableText"/>
              <w:jc w:val="center"/>
            </w:pPr>
            <w:r>
              <w:rPr>
                <w:sz w:val="22"/>
              </w:rPr>
              <w:t>4</w:t>
            </w:r>
          </w:p>
        </w:tc>
        <w:tc>
          <w:tcPr>
            <w:tcW w:type="dxa" w:w="1134"/>
            <w:vAlign w:val="center"/>
          </w:tcPr>
          <w:p>
            <w:pPr>
              <w:pStyle w:val="TableText"/>
              <w:jc w:val="center"/>
            </w:pPr>
            <w:r>
              <w:rPr>
                <w:sz w:val="22"/>
              </w:rPr>
              <w:t>5</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5</w:t>
            </w:r>
          </w:p>
        </w:tc>
        <w:tc>
          <w:tcPr>
            <w:tcW w:type="dxa" w:w="3572"/>
            <w:vAlign w:val="center"/>
          </w:tcPr>
          <w:p>
            <w:pPr>
              <w:pStyle w:val="TableText"/>
              <w:jc w:val="left"/>
            </w:pPr>
            <w:r>
              <w:rPr>
                <w:sz w:val="22"/>
              </w:rPr>
              <w:t>Теоретическая оценка канала</w:t>
            </w:r>
          </w:p>
        </w:tc>
        <w:tc>
          <w:tcPr>
            <w:tcW w:type="dxa" w:w="1134"/>
            <w:vAlign w:val="center"/>
          </w:tcPr>
          <w:p>
            <w:pPr>
              <w:pStyle w:val="TableText"/>
              <w:jc w:val="center"/>
            </w:pPr>
            <w:r>
              <w:rPr>
                <w:sz w:val="22"/>
              </w:rPr>
              <w:t>5</w:t>
            </w:r>
          </w:p>
        </w:tc>
        <w:tc>
          <w:tcPr>
            <w:tcW w:type="dxa" w:w="1134"/>
            <w:vAlign w:val="center"/>
          </w:tcPr>
          <w:p>
            <w:pPr>
              <w:pStyle w:val="TableText"/>
              <w:jc w:val="center"/>
            </w:pPr>
            <w:r>
              <w:rPr>
                <w:sz w:val="22"/>
              </w:rPr>
              <w:t>6</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6</w:t>
            </w:r>
          </w:p>
        </w:tc>
        <w:tc>
          <w:tcPr>
            <w:tcW w:type="dxa" w:w="3572"/>
            <w:vAlign w:val="center"/>
          </w:tcPr>
          <w:p>
            <w:pPr>
              <w:pStyle w:val="TableText"/>
              <w:jc w:val="left"/>
            </w:pPr>
            <w:r>
              <w:rPr>
                <w:sz w:val="22"/>
              </w:rPr>
              <w:t>Программа и методика</w:t>
            </w:r>
          </w:p>
        </w:tc>
        <w:tc>
          <w:tcPr>
            <w:tcW w:type="dxa" w:w="1134"/>
            <w:vAlign w:val="center"/>
          </w:tcPr>
          <w:p>
            <w:pPr>
              <w:pStyle w:val="TableText"/>
              <w:jc w:val="center"/>
            </w:pPr>
            <w:r>
              <w:rPr>
                <w:sz w:val="22"/>
              </w:rPr>
              <w:t>6</w:t>
            </w:r>
          </w:p>
        </w:tc>
        <w:tc>
          <w:tcPr>
            <w:tcW w:type="dxa" w:w="1134"/>
            <w:vAlign w:val="center"/>
          </w:tcPr>
          <w:p>
            <w:pPr>
              <w:pStyle w:val="TableText"/>
              <w:jc w:val="center"/>
            </w:pPr>
            <w:r>
              <w:rPr>
                <w:sz w:val="22"/>
              </w:rPr>
              <w:t>7</w:t>
            </w:r>
          </w:p>
        </w:tc>
        <w:tc>
          <w:tcPr>
            <w:tcW w:type="dxa" w:w="964"/>
            <w:vAlign w:val="center"/>
          </w:tcPr>
          <w:p>
            <w:pPr>
              <w:pStyle w:val="TableText"/>
              <w:jc w:val="center"/>
            </w:pPr>
            <w:r>
              <w:rPr>
                <w:sz w:val="22"/>
              </w:rPr>
              <w:t>4</w:t>
            </w:r>
          </w:p>
        </w:tc>
        <w:tc>
          <w:tcPr>
            <w:tcW w:type="dxa" w:w="964"/>
            <w:vAlign w:val="center"/>
          </w:tcPr>
          <w:p>
            <w:pPr>
              <w:pStyle w:val="TableText"/>
              <w:jc w:val="center"/>
            </w:pPr>
            <w:r>
              <w:rPr>
                <w:sz w:val="22"/>
              </w:rPr>
              <w:t>9</w:t>
            </w:r>
          </w:p>
        </w:tc>
        <w:tc>
          <w:tcPr>
            <w:tcW w:type="dxa" w:w="907"/>
            <w:vAlign w:val="center"/>
          </w:tcPr>
          <w:p>
            <w:pPr>
              <w:pStyle w:val="TableText"/>
              <w:jc w:val="center"/>
            </w:pPr>
            <w:r>
              <w:rPr>
                <w:sz w:val="22"/>
              </w:rPr>
              <w:t>6</w:t>
            </w:r>
          </w:p>
        </w:tc>
      </w:tr>
      <w:tr>
        <w:trPr>
          <w:cantSplit/>
        </w:trPr>
        <w:tc>
          <w:tcPr>
            <w:tcW w:type="dxa" w:w="680"/>
            <w:vAlign w:val="center"/>
          </w:tcPr>
          <w:p>
            <w:pPr>
              <w:pStyle w:val="TableText"/>
              <w:jc w:val="center"/>
            </w:pPr>
            <w:r>
              <w:rPr>
                <w:sz w:val="22"/>
              </w:rPr>
              <w:t>7</w:t>
            </w:r>
          </w:p>
        </w:tc>
        <w:tc>
          <w:tcPr>
            <w:tcW w:type="dxa" w:w="3572"/>
            <w:vAlign w:val="center"/>
          </w:tcPr>
          <w:p>
            <w:pPr>
              <w:pStyle w:val="TableText"/>
              <w:jc w:val="left"/>
            </w:pPr>
            <w:r>
              <w:rPr>
                <w:sz w:val="22"/>
              </w:rPr>
              <w:t>Утверждение методики</w:t>
            </w:r>
          </w:p>
        </w:tc>
        <w:tc>
          <w:tcPr>
            <w:tcW w:type="dxa" w:w="1134"/>
            <w:vAlign w:val="center"/>
          </w:tcPr>
          <w:p>
            <w:pPr>
              <w:pStyle w:val="TableText"/>
              <w:jc w:val="center"/>
            </w:pPr>
            <w:r>
              <w:rPr>
                <w:sz w:val="22"/>
              </w:rPr>
              <w:t>7</w:t>
            </w:r>
          </w:p>
        </w:tc>
        <w:tc>
          <w:tcPr>
            <w:tcW w:type="dxa" w:w="1134"/>
            <w:vAlign w:val="center"/>
          </w:tcPr>
          <w:p>
            <w:pPr>
              <w:pStyle w:val="TableText"/>
              <w:jc w:val="center"/>
            </w:pPr>
            <w:r>
              <w:rPr>
                <w:sz w:val="22"/>
              </w:rPr>
              <w:t>9</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r>
        <w:trPr>
          <w:cantSplit/>
        </w:trPr>
        <w:tc>
          <w:tcPr>
            <w:tcW w:type="dxa" w:w="680"/>
            <w:vAlign w:val="center"/>
          </w:tcPr>
          <w:p>
            <w:pPr>
              <w:pStyle w:val="TableText"/>
              <w:jc w:val="center"/>
            </w:pPr>
            <w:r>
              <w:rPr>
                <w:sz w:val="22"/>
              </w:rPr>
              <w:t>8</w:t>
            </w:r>
          </w:p>
        </w:tc>
        <w:tc>
          <w:tcPr>
            <w:tcW w:type="dxa" w:w="3572"/>
            <w:vAlign w:val="center"/>
          </w:tcPr>
          <w:p>
            <w:pPr>
              <w:pStyle w:val="TableText"/>
              <w:jc w:val="left"/>
            </w:pPr>
            <w:r>
              <w:rPr>
                <w:sz w:val="22"/>
              </w:rPr>
              <w:t>Обновление ПО модулей TX-AH</w:t>
            </w:r>
          </w:p>
        </w:tc>
        <w:tc>
          <w:tcPr>
            <w:tcW w:type="dxa" w:w="1134"/>
            <w:vAlign w:val="center"/>
          </w:tcPr>
          <w:p>
            <w:pPr>
              <w:pStyle w:val="TableText"/>
              <w:jc w:val="center"/>
            </w:pPr>
            <w:r>
              <w:rPr>
                <w:sz w:val="22"/>
              </w:rPr>
              <w:t>5</w:t>
            </w:r>
          </w:p>
        </w:tc>
        <w:tc>
          <w:tcPr>
            <w:tcW w:type="dxa" w:w="1134"/>
            <w:vAlign w:val="center"/>
          </w:tcPr>
          <w:p>
            <w:pPr>
              <w:pStyle w:val="TableText"/>
              <w:jc w:val="center"/>
            </w:pPr>
            <w:r>
              <w:rPr>
                <w:sz w:val="22"/>
              </w:rPr>
              <w:t>8</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7</w:t>
            </w:r>
          </w:p>
        </w:tc>
        <w:tc>
          <w:tcPr>
            <w:tcW w:type="dxa" w:w="907"/>
            <w:vAlign w:val="center"/>
          </w:tcPr>
          <w:p>
            <w:pPr>
              <w:pStyle w:val="TableText"/>
              <w:jc w:val="center"/>
            </w:pPr>
            <w:r>
              <w:rPr>
                <w:sz w:val="22"/>
              </w:rPr>
              <w:t>4</w:t>
            </w:r>
          </w:p>
        </w:tc>
      </w:tr>
      <w:tr>
        <w:trPr>
          <w:cantSplit/>
        </w:trPr>
        <w:tc>
          <w:tcPr>
            <w:tcW w:type="dxa" w:w="680"/>
            <w:vAlign w:val="center"/>
          </w:tcPr>
          <w:p>
            <w:pPr>
              <w:pStyle w:val="TableText"/>
              <w:jc w:val="center"/>
            </w:pPr>
            <w:r>
              <w:rPr>
                <w:sz w:val="22"/>
              </w:rPr>
              <w:t>9</w:t>
            </w:r>
          </w:p>
        </w:tc>
        <w:tc>
          <w:tcPr>
            <w:tcW w:type="dxa" w:w="3572"/>
            <w:vAlign w:val="center"/>
          </w:tcPr>
          <w:p>
            <w:pPr>
              <w:pStyle w:val="TableText"/>
              <w:jc w:val="left"/>
            </w:pPr>
            <w:r>
              <w:rPr>
                <w:sz w:val="22"/>
              </w:rPr>
              <w:t>ПО передатчика и приёмника</w:t>
            </w:r>
          </w:p>
        </w:tc>
        <w:tc>
          <w:tcPr>
            <w:tcW w:type="dxa" w:w="1134"/>
            <w:vAlign w:val="center"/>
          </w:tcPr>
          <w:p>
            <w:pPr>
              <w:pStyle w:val="TableText"/>
              <w:jc w:val="center"/>
            </w:pPr>
            <w:r>
              <w:rPr>
                <w:sz w:val="22"/>
              </w:rPr>
              <w:t>8</w:t>
            </w:r>
          </w:p>
        </w:tc>
        <w:tc>
          <w:tcPr>
            <w:tcW w:type="dxa" w:w="1134"/>
            <w:vAlign w:val="center"/>
          </w:tcPr>
          <w:p>
            <w:pPr>
              <w:pStyle w:val="TableText"/>
              <w:jc w:val="center"/>
            </w:pPr>
            <w:r>
              <w:rPr>
                <w:sz w:val="22"/>
              </w:rPr>
              <w:t>9</w:t>
            </w:r>
          </w:p>
        </w:tc>
        <w:tc>
          <w:tcPr>
            <w:tcW w:type="dxa" w:w="964"/>
            <w:vAlign w:val="center"/>
          </w:tcPr>
          <w:p>
            <w:pPr>
              <w:pStyle w:val="TableText"/>
              <w:jc w:val="center"/>
            </w:pPr>
            <w:r>
              <w:rPr>
                <w:sz w:val="22"/>
              </w:rPr>
              <w:t>7</w:t>
            </w:r>
          </w:p>
        </w:tc>
        <w:tc>
          <w:tcPr>
            <w:tcW w:type="dxa" w:w="964"/>
            <w:vAlign w:val="center"/>
          </w:tcPr>
          <w:p>
            <w:pPr>
              <w:pStyle w:val="TableText"/>
              <w:jc w:val="center"/>
            </w:pPr>
            <w:r>
              <w:rPr>
                <w:sz w:val="22"/>
              </w:rPr>
              <w:t>12</w:t>
            </w:r>
          </w:p>
        </w:tc>
        <w:tc>
          <w:tcPr>
            <w:tcW w:type="dxa" w:w="907"/>
            <w:vAlign w:val="center"/>
          </w:tcPr>
          <w:p>
            <w:pPr>
              <w:pStyle w:val="TableText"/>
              <w:jc w:val="center"/>
            </w:pPr>
            <w:r>
              <w:rPr>
                <w:sz w:val="22"/>
              </w:rPr>
              <w:t>9</w:t>
            </w:r>
          </w:p>
        </w:tc>
      </w:tr>
      <w:tr>
        <w:trPr>
          <w:cantSplit/>
        </w:trPr>
        <w:tc>
          <w:tcPr>
            <w:tcW w:type="dxa" w:w="680"/>
            <w:vAlign w:val="center"/>
          </w:tcPr>
          <w:p>
            <w:pPr>
              <w:pStyle w:val="TableText"/>
              <w:jc w:val="center"/>
            </w:pPr>
            <w:r>
              <w:rPr>
                <w:sz w:val="22"/>
              </w:rPr>
              <w:t>10</w:t>
            </w:r>
          </w:p>
        </w:tc>
        <w:tc>
          <w:tcPr>
            <w:tcW w:type="dxa" w:w="3572"/>
            <w:vAlign w:val="center"/>
          </w:tcPr>
          <w:p>
            <w:pPr>
              <w:pStyle w:val="TableText"/>
              <w:jc w:val="left"/>
            </w:pPr>
            <w:r>
              <w:rPr>
                <w:sz w:val="22"/>
              </w:rPr>
              <w:t>Отладка и приёмка стенда</w:t>
            </w:r>
          </w:p>
        </w:tc>
        <w:tc>
          <w:tcPr>
            <w:tcW w:type="dxa" w:w="1134"/>
            <w:vAlign w:val="center"/>
          </w:tcPr>
          <w:p>
            <w:pPr>
              <w:pStyle w:val="TableText"/>
              <w:jc w:val="center"/>
            </w:pPr>
            <w:r>
              <w:rPr>
                <w:sz w:val="22"/>
              </w:rPr>
              <w:t>9</w:t>
            </w:r>
          </w:p>
        </w:tc>
        <w:tc>
          <w:tcPr>
            <w:tcW w:type="dxa" w:w="1134"/>
            <w:vAlign w:val="center"/>
          </w:tcPr>
          <w:p>
            <w:pPr>
              <w:pStyle w:val="TableText"/>
              <w:jc w:val="center"/>
            </w:pPr>
            <w:r>
              <w:rPr>
                <w:sz w:val="22"/>
              </w:rPr>
              <w:t>10</w:t>
            </w:r>
          </w:p>
        </w:tc>
        <w:tc>
          <w:tcPr>
            <w:tcW w:type="dxa" w:w="964"/>
            <w:vAlign w:val="center"/>
          </w:tcPr>
          <w:p>
            <w:pPr>
              <w:pStyle w:val="TableText"/>
              <w:jc w:val="center"/>
            </w:pPr>
            <w:r>
              <w:rPr>
                <w:sz w:val="22"/>
              </w:rPr>
              <w:t>1</w:t>
            </w:r>
          </w:p>
        </w:tc>
        <w:tc>
          <w:tcPr>
            <w:tcW w:type="dxa" w:w="964"/>
            <w:vAlign w:val="center"/>
          </w:tcPr>
          <w:p>
            <w:pPr>
              <w:pStyle w:val="TableText"/>
              <w:jc w:val="center"/>
            </w:pPr>
            <w:r>
              <w:rPr>
                <w:sz w:val="22"/>
              </w:rPr>
              <w:t>3,5</w:t>
            </w:r>
          </w:p>
        </w:tc>
        <w:tc>
          <w:tcPr>
            <w:tcW w:type="dxa" w:w="907"/>
            <w:vAlign w:val="center"/>
          </w:tcPr>
          <w:p>
            <w:pPr>
              <w:pStyle w:val="TableText"/>
              <w:jc w:val="center"/>
            </w:pPr>
            <w:r>
              <w:rPr>
                <w:sz w:val="22"/>
              </w:rPr>
              <w:t>2</w:t>
            </w:r>
          </w:p>
        </w:tc>
      </w:tr>
      <w:tr>
        <w:trPr>
          <w:cantSplit/>
        </w:trPr>
        <w:tc>
          <w:tcPr>
            <w:tcW w:type="dxa" w:w="680"/>
            <w:vAlign w:val="center"/>
          </w:tcPr>
          <w:p>
            <w:pPr>
              <w:pStyle w:val="TableText"/>
              <w:jc w:val="center"/>
            </w:pPr>
            <w:r>
              <w:rPr>
                <w:sz w:val="22"/>
              </w:rPr>
              <w:t>11</w:t>
            </w:r>
          </w:p>
        </w:tc>
        <w:tc>
          <w:tcPr>
            <w:tcW w:type="dxa" w:w="3572"/>
            <w:vAlign w:val="center"/>
          </w:tcPr>
          <w:p>
            <w:pPr>
              <w:pStyle w:val="TableText"/>
              <w:jc w:val="left"/>
            </w:pPr>
            <w:r>
              <w:rPr>
                <w:sz w:val="22"/>
              </w:rPr>
              <w:t>Подготовка к измерениям</w:t>
            </w:r>
          </w:p>
        </w:tc>
        <w:tc>
          <w:tcPr>
            <w:tcW w:type="dxa" w:w="1134"/>
            <w:vAlign w:val="center"/>
          </w:tcPr>
          <w:p>
            <w:pPr>
              <w:pStyle w:val="TableText"/>
              <w:jc w:val="center"/>
            </w:pPr>
            <w:r>
              <w:rPr>
                <w:sz w:val="22"/>
              </w:rPr>
              <w:t>10</w:t>
            </w:r>
          </w:p>
        </w:tc>
        <w:tc>
          <w:tcPr>
            <w:tcW w:type="dxa" w:w="1134"/>
            <w:vAlign w:val="center"/>
          </w:tcPr>
          <w:p>
            <w:pPr>
              <w:pStyle w:val="TableText"/>
              <w:jc w:val="center"/>
            </w:pPr>
            <w:r>
              <w:rPr>
                <w:sz w:val="22"/>
              </w:rPr>
              <w:t>11</w:t>
            </w:r>
          </w:p>
        </w:tc>
        <w:tc>
          <w:tcPr>
            <w:tcW w:type="dxa" w:w="964"/>
            <w:vAlign w:val="center"/>
          </w:tcPr>
          <w:p>
            <w:pPr>
              <w:pStyle w:val="TableText"/>
              <w:jc w:val="center"/>
            </w:pPr>
            <w:r>
              <w:rPr>
                <w:sz w:val="22"/>
              </w:rPr>
              <w:t>1</w:t>
            </w:r>
          </w:p>
        </w:tc>
        <w:tc>
          <w:tcPr>
            <w:tcW w:type="dxa" w:w="964"/>
            <w:vAlign w:val="center"/>
          </w:tcPr>
          <w:p>
            <w:pPr>
              <w:pStyle w:val="TableText"/>
              <w:jc w:val="center"/>
            </w:pPr>
            <w:r>
              <w:rPr>
                <w:sz w:val="22"/>
              </w:rPr>
              <w:t>3,5</w:t>
            </w:r>
          </w:p>
        </w:tc>
        <w:tc>
          <w:tcPr>
            <w:tcW w:type="dxa" w:w="907"/>
            <w:vAlign w:val="center"/>
          </w:tcPr>
          <w:p>
            <w:pPr>
              <w:pStyle w:val="TableText"/>
              <w:jc w:val="center"/>
            </w:pPr>
            <w:r>
              <w:rPr>
                <w:sz w:val="22"/>
              </w:rPr>
              <w:t>2</w:t>
            </w:r>
          </w:p>
        </w:tc>
      </w:tr>
      <w:tr>
        <w:trPr>
          <w:cantSplit/>
        </w:trPr>
        <w:tc>
          <w:tcPr>
            <w:tcW w:type="dxa" w:w="680"/>
            <w:vAlign w:val="center"/>
          </w:tcPr>
          <w:p>
            <w:pPr>
              <w:pStyle w:val="TableText"/>
              <w:jc w:val="center"/>
            </w:pPr>
            <w:r>
              <w:rPr>
                <w:sz w:val="22"/>
              </w:rPr>
              <w:t>12</w:t>
            </w:r>
          </w:p>
        </w:tc>
        <w:tc>
          <w:tcPr>
            <w:tcW w:type="dxa" w:w="3572"/>
            <w:vAlign w:val="center"/>
          </w:tcPr>
          <w:p>
            <w:pPr>
              <w:pStyle w:val="TableText"/>
              <w:jc w:val="left"/>
            </w:pPr>
            <w:r>
              <w:rPr>
                <w:sz w:val="22"/>
              </w:rPr>
              <w:t>Измерения Wi-Fi HaLow</w:t>
            </w:r>
          </w:p>
        </w:tc>
        <w:tc>
          <w:tcPr>
            <w:tcW w:type="dxa" w:w="1134"/>
            <w:vAlign w:val="center"/>
          </w:tcPr>
          <w:p>
            <w:pPr>
              <w:pStyle w:val="TableText"/>
              <w:jc w:val="center"/>
            </w:pPr>
            <w:r>
              <w:rPr>
                <w:sz w:val="22"/>
              </w:rPr>
              <w:t>11</w:t>
            </w:r>
          </w:p>
        </w:tc>
        <w:tc>
          <w:tcPr>
            <w:tcW w:type="dxa" w:w="1134"/>
            <w:vAlign w:val="center"/>
          </w:tcPr>
          <w:p>
            <w:pPr>
              <w:pStyle w:val="TableText"/>
              <w:jc w:val="center"/>
            </w:pPr>
            <w:r>
              <w:rPr>
                <w:sz w:val="22"/>
              </w:rPr>
              <w:t>12</w:t>
            </w:r>
          </w:p>
        </w:tc>
        <w:tc>
          <w:tcPr>
            <w:tcW w:type="dxa" w:w="964"/>
            <w:vAlign w:val="center"/>
          </w:tcPr>
          <w:p>
            <w:pPr>
              <w:pStyle w:val="TableText"/>
              <w:jc w:val="center"/>
            </w:pPr>
            <w:r>
              <w:rPr>
                <w:sz w:val="22"/>
              </w:rPr>
              <w:t>7</w:t>
            </w:r>
          </w:p>
        </w:tc>
        <w:tc>
          <w:tcPr>
            <w:tcW w:type="dxa" w:w="964"/>
            <w:vAlign w:val="center"/>
          </w:tcPr>
          <w:p>
            <w:pPr>
              <w:pStyle w:val="TableText"/>
              <w:jc w:val="center"/>
            </w:pPr>
            <w:r>
              <w:rPr>
                <w:sz w:val="22"/>
              </w:rPr>
              <w:t>12</w:t>
            </w:r>
          </w:p>
        </w:tc>
        <w:tc>
          <w:tcPr>
            <w:tcW w:type="dxa" w:w="907"/>
            <w:vAlign w:val="center"/>
          </w:tcPr>
          <w:p>
            <w:pPr>
              <w:pStyle w:val="TableText"/>
              <w:jc w:val="center"/>
            </w:pPr>
            <w:r>
              <w:rPr>
                <w:sz w:val="22"/>
              </w:rPr>
              <w:t>9</w:t>
            </w:r>
          </w:p>
        </w:tc>
      </w:tr>
      <w:tr>
        <w:trPr>
          <w:cantSplit/>
        </w:trPr>
        <w:tc>
          <w:tcPr>
            <w:tcW w:type="dxa" w:w="680"/>
            <w:vAlign w:val="center"/>
          </w:tcPr>
          <w:p>
            <w:pPr>
              <w:pStyle w:val="TableText"/>
              <w:jc w:val="center"/>
            </w:pPr>
            <w:r>
              <w:rPr>
                <w:sz w:val="22"/>
              </w:rPr>
              <w:t>13</w:t>
            </w:r>
          </w:p>
        </w:tc>
        <w:tc>
          <w:tcPr>
            <w:tcW w:type="dxa" w:w="3572"/>
            <w:vAlign w:val="center"/>
          </w:tcPr>
          <w:p>
            <w:pPr>
              <w:pStyle w:val="TableText"/>
              <w:jc w:val="left"/>
            </w:pPr>
            <w:r>
              <w:rPr>
                <w:sz w:val="22"/>
              </w:rPr>
              <w:t>Измерения IEEE 802.11</w:t>
            </w:r>
          </w:p>
        </w:tc>
        <w:tc>
          <w:tcPr>
            <w:tcW w:type="dxa" w:w="1134"/>
            <w:vAlign w:val="center"/>
          </w:tcPr>
          <w:p>
            <w:pPr>
              <w:pStyle w:val="TableText"/>
              <w:jc w:val="center"/>
            </w:pPr>
            <w:r>
              <w:rPr>
                <w:sz w:val="22"/>
              </w:rPr>
              <w:t>12</w:t>
            </w:r>
          </w:p>
        </w:tc>
        <w:tc>
          <w:tcPr>
            <w:tcW w:type="dxa" w:w="1134"/>
            <w:vAlign w:val="center"/>
          </w:tcPr>
          <w:p>
            <w:pPr>
              <w:pStyle w:val="TableText"/>
              <w:jc w:val="center"/>
            </w:pPr>
            <w:r>
              <w:rPr>
                <w:sz w:val="22"/>
              </w:rPr>
              <w:t>13</w:t>
            </w:r>
          </w:p>
        </w:tc>
        <w:tc>
          <w:tcPr>
            <w:tcW w:type="dxa" w:w="964"/>
            <w:vAlign w:val="center"/>
          </w:tcPr>
          <w:p>
            <w:pPr>
              <w:pStyle w:val="TableText"/>
              <w:jc w:val="center"/>
            </w:pPr>
            <w:r>
              <w:rPr>
                <w:sz w:val="22"/>
              </w:rPr>
              <w:t>3</w:t>
            </w:r>
          </w:p>
        </w:tc>
        <w:tc>
          <w:tcPr>
            <w:tcW w:type="dxa" w:w="964"/>
            <w:vAlign w:val="center"/>
          </w:tcPr>
          <w:p>
            <w:pPr>
              <w:pStyle w:val="TableText"/>
              <w:jc w:val="center"/>
            </w:pPr>
            <w:r>
              <w:rPr>
                <w:sz w:val="22"/>
              </w:rPr>
              <w:t>8</w:t>
            </w:r>
          </w:p>
        </w:tc>
        <w:tc>
          <w:tcPr>
            <w:tcW w:type="dxa" w:w="907"/>
            <w:vAlign w:val="center"/>
          </w:tcPr>
          <w:p>
            <w:pPr>
              <w:pStyle w:val="TableText"/>
              <w:jc w:val="center"/>
            </w:pPr>
            <w:r>
              <w:rPr>
                <w:sz w:val="22"/>
              </w:rPr>
              <w:t>5</w:t>
            </w:r>
          </w:p>
        </w:tc>
      </w:tr>
      <w:tr>
        <w:trPr>
          <w:cantSplit/>
        </w:trPr>
        <w:tc>
          <w:tcPr>
            <w:tcW w:type="dxa" w:w="680"/>
            <w:vAlign w:val="center"/>
          </w:tcPr>
          <w:p>
            <w:pPr>
              <w:pStyle w:val="TableText"/>
              <w:jc w:val="center"/>
            </w:pPr>
            <w:r>
              <w:rPr>
                <w:sz w:val="22"/>
              </w:rPr>
              <w:t>14</w:t>
            </w:r>
          </w:p>
        </w:tc>
        <w:tc>
          <w:tcPr>
            <w:tcW w:type="dxa" w:w="3572"/>
            <w:vAlign w:val="center"/>
          </w:tcPr>
          <w:p>
            <w:pPr>
              <w:pStyle w:val="TableText"/>
              <w:jc w:val="left"/>
            </w:pPr>
            <w:r>
              <w:rPr>
                <w:sz w:val="22"/>
              </w:rPr>
              <w:t>Обработка результатов</w:t>
            </w:r>
          </w:p>
        </w:tc>
        <w:tc>
          <w:tcPr>
            <w:tcW w:type="dxa" w:w="1134"/>
            <w:vAlign w:val="center"/>
          </w:tcPr>
          <w:p>
            <w:pPr>
              <w:pStyle w:val="TableText"/>
              <w:jc w:val="center"/>
            </w:pPr>
            <w:r>
              <w:rPr>
                <w:sz w:val="22"/>
              </w:rPr>
              <w:t>13</w:t>
            </w:r>
          </w:p>
        </w:tc>
        <w:tc>
          <w:tcPr>
            <w:tcW w:type="dxa" w:w="1134"/>
            <w:vAlign w:val="center"/>
          </w:tcPr>
          <w:p>
            <w:pPr>
              <w:pStyle w:val="TableText"/>
              <w:jc w:val="center"/>
            </w:pPr>
            <w:r>
              <w:rPr>
                <w:sz w:val="22"/>
              </w:rPr>
              <w:t>14</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7</w:t>
            </w:r>
          </w:p>
        </w:tc>
        <w:tc>
          <w:tcPr>
            <w:tcW w:type="dxa" w:w="907"/>
            <w:vAlign w:val="center"/>
          </w:tcPr>
          <w:p>
            <w:pPr>
              <w:pStyle w:val="TableText"/>
              <w:jc w:val="center"/>
            </w:pPr>
            <w:r>
              <w:rPr>
                <w:sz w:val="22"/>
              </w:rPr>
              <w:t>4</w:t>
            </w:r>
          </w:p>
        </w:tc>
      </w:tr>
      <w:tr>
        <w:trPr>
          <w:cantSplit/>
        </w:trPr>
        <w:tc>
          <w:tcPr>
            <w:tcW w:type="dxa" w:w="680"/>
            <w:vAlign w:val="center"/>
          </w:tcPr>
          <w:p>
            <w:pPr>
              <w:pStyle w:val="TableText"/>
              <w:jc w:val="center"/>
            </w:pPr>
            <w:r>
              <w:rPr>
                <w:sz w:val="22"/>
              </w:rPr>
              <w:t>15</w:t>
            </w:r>
          </w:p>
        </w:tc>
        <w:tc>
          <w:tcPr>
            <w:tcW w:type="dxa" w:w="3572"/>
            <w:vAlign w:val="center"/>
          </w:tcPr>
          <w:p>
            <w:pPr>
              <w:pStyle w:val="TableText"/>
              <w:jc w:val="left"/>
            </w:pPr>
            <w:r>
              <w:rPr>
                <w:sz w:val="22"/>
              </w:rPr>
              <w:t>Экономическая часть</w:t>
            </w:r>
          </w:p>
        </w:tc>
        <w:tc>
          <w:tcPr>
            <w:tcW w:type="dxa" w:w="1134"/>
            <w:vAlign w:val="center"/>
          </w:tcPr>
          <w:p>
            <w:pPr>
              <w:pStyle w:val="TableText"/>
              <w:jc w:val="center"/>
            </w:pPr>
            <w:r>
              <w:rPr>
                <w:sz w:val="22"/>
              </w:rPr>
              <w:t>14</w:t>
            </w:r>
          </w:p>
        </w:tc>
        <w:tc>
          <w:tcPr>
            <w:tcW w:type="dxa" w:w="1134"/>
            <w:vAlign w:val="center"/>
          </w:tcPr>
          <w:p>
            <w:pPr>
              <w:pStyle w:val="TableText"/>
              <w:jc w:val="center"/>
            </w:pPr>
            <w:r>
              <w:rPr>
                <w:sz w:val="22"/>
              </w:rPr>
              <w:t>15</w:t>
            </w:r>
          </w:p>
        </w:tc>
        <w:tc>
          <w:tcPr>
            <w:tcW w:type="dxa" w:w="964"/>
            <w:vAlign w:val="center"/>
          </w:tcPr>
          <w:p>
            <w:pPr>
              <w:pStyle w:val="TableText"/>
              <w:jc w:val="center"/>
            </w:pPr>
            <w:r>
              <w:rPr>
                <w:sz w:val="22"/>
              </w:rPr>
              <w:t>6</w:t>
            </w:r>
          </w:p>
        </w:tc>
        <w:tc>
          <w:tcPr>
            <w:tcW w:type="dxa" w:w="964"/>
            <w:vAlign w:val="center"/>
          </w:tcPr>
          <w:p>
            <w:pPr>
              <w:pStyle w:val="TableText"/>
              <w:jc w:val="center"/>
            </w:pPr>
            <w:r>
              <w:rPr>
                <w:sz w:val="22"/>
              </w:rPr>
              <w:t>11</w:t>
            </w:r>
          </w:p>
        </w:tc>
        <w:tc>
          <w:tcPr>
            <w:tcW w:type="dxa" w:w="907"/>
            <w:vAlign w:val="center"/>
          </w:tcPr>
          <w:p>
            <w:pPr>
              <w:pStyle w:val="TableText"/>
              <w:jc w:val="center"/>
            </w:pPr>
            <w:r>
              <w:rPr>
                <w:sz w:val="22"/>
              </w:rPr>
              <w:t>8</w:t>
            </w:r>
          </w:p>
        </w:tc>
      </w:tr>
      <w:tr>
        <w:trPr>
          <w:cantSplit/>
        </w:trPr>
        <w:tc>
          <w:tcPr>
            <w:tcW w:type="dxa" w:w="680"/>
            <w:vAlign w:val="center"/>
          </w:tcPr>
          <w:p>
            <w:pPr>
              <w:pStyle w:val="TableText"/>
              <w:jc w:val="center"/>
            </w:pPr>
            <w:r>
              <w:rPr>
                <w:sz w:val="22"/>
              </w:rPr>
              <w:t>16</w:t>
            </w:r>
          </w:p>
        </w:tc>
        <w:tc>
          <w:tcPr>
            <w:tcW w:type="dxa" w:w="3572"/>
            <w:vAlign w:val="center"/>
          </w:tcPr>
          <w:p>
            <w:pPr>
              <w:pStyle w:val="TableText"/>
              <w:jc w:val="left"/>
            </w:pPr>
            <w:r>
              <w:rPr>
                <w:sz w:val="22"/>
              </w:rPr>
              <w:t>Охрана труда</w:t>
            </w:r>
          </w:p>
        </w:tc>
        <w:tc>
          <w:tcPr>
            <w:tcW w:type="dxa" w:w="1134"/>
            <w:vAlign w:val="center"/>
          </w:tcPr>
          <w:p>
            <w:pPr>
              <w:pStyle w:val="TableText"/>
              <w:jc w:val="center"/>
            </w:pPr>
            <w:r>
              <w:rPr>
                <w:sz w:val="22"/>
              </w:rPr>
              <w:t>15</w:t>
            </w:r>
          </w:p>
        </w:tc>
        <w:tc>
          <w:tcPr>
            <w:tcW w:type="dxa" w:w="1134"/>
            <w:vAlign w:val="center"/>
          </w:tcPr>
          <w:p>
            <w:pPr>
              <w:pStyle w:val="TableText"/>
              <w:jc w:val="center"/>
            </w:pPr>
            <w:r>
              <w:rPr>
                <w:sz w:val="22"/>
              </w:rPr>
              <w:t>16</w:t>
            </w:r>
          </w:p>
        </w:tc>
        <w:tc>
          <w:tcPr>
            <w:tcW w:type="dxa" w:w="964"/>
            <w:vAlign w:val="center"/>
          </w:tcPr>
          <w:p>
            <w:pPr>
              <w:pStyle w:val="TableText"/>
              <w:jc w:val="center"/>
            </w:pPr>
            <w:r>
              <w:rPr>
                <w:sz w:val="22"/>
              </w:rPr>
              <w:t>6</w:t>
            </w:r>
          </w:p>
        </w:tc>
        <w:tc>
          <w:tcPr>
            <w:tcW w:type="dxa" w:w="964"/>
            <w:vAlign w:val="center"/>
          </w:tcPr>
          <w:p>
            <w:pPr>
              <w:pStyle w:val="TableText"/>
              <w:jc w:val="center"/>
            </w:pPr>
            <w:r>
              <w:rPr>
                <w:sz w:val="22"/>
              </w:rPr>
              <w:t>11</w:t>
            </w:r>
          </w:p>
        </w:tc>
        <w:tc>
          <w:tcPr>
            <w:tcW w:type="dxa" w:w="907"/>
            <w:vAlign w:val="center"/>
          </w:tcPr>
          <w:p>
            <w:pPr>
              <w:pStyle w:val="TableText"/>
              <w:jc w:val="center"/>
            </w:pPr>
            <w:r>
              <w:rPr>
                <w:sz w:val="22"/>
              </w:rPr>
              <w:t>8</w:t>
            </w:r>
          </w:p>
        </w:tc>
      </w:tr>
      <w:tr>
        <w:trPr>
          <w:cantSplit/>
        </w:trPr>
        <w:tc>
          <w:tcPr>
            <w:tcW w:type="dxa" w:w="680"/>
            <w:vAlign w:val="center"/>
          </w:tcPr>
          <w:p>
            <w:pPr>
              <w:pStyle w:val="TableText"/>
              <w:jc w:val="center"/>
            </w:pPr>
            <w:r>
              <w:rPr>
                <w:sz w:val="22"/>
              </w:rPr>
              <w:t>17</w:t>
            </w:r>
          </w:p>
        </w:tc>
        <w:tc>
          <w:tcPr>
            <w:tcW w:type="dxa" w:w="3572"/>
            <w:vAlign w:val="center"/>
          </w:tcPr>
          <w:p>
            <w:pPr>
              <w:pStyle w:val="TableText"/>
              <w:jc w:val="left"/>
            </w:pPr>
            <w:r>
              <w:rPr>
                <w:sz w:val="22"/>
              </w:rPr>
              <w:t>Выводы и предложения</w:t>
            </w:r>
          </w:p>
        </w:tc>
        <w:tc>
          <w:tcPr>
            <w:tcW w:type="dxa" w:w="1134"/>
            <w:vAlign w:val="center"/>
          </w:tcPr>
          <w:p>
            <w:pPr>
              <w:pStyle w:val="TableText"/>
              <w:jc w:val="center"/>
            </w:pPr>
            <w:r>
              <w:rPr>
                <w:sz w:val="22"/>
              </w:rPr>
              <w:t>16</w:t>
            </w:r>
          </w:p>
        </w:tc>
        <w:tc>
          <w:tcPr>
            <w:tcW w:type="dxa" w:w="1134"/>
            <w:vAlign w:val="center"/>
          </w:tcPr>
          <w:p>
            <w:pPr>
              <w:pStyle w:val="TableText"/>
              <w:jc w:val="center"/>
            </w:pPr>
            <w:r>
              <w:rPr>
                <w:sz w:val="22"/>
              </w:rPr>
              <w:t>17</w:t>
            </w:r>
          </w:p>
        </w:tc>
        <w:tc>
          <w:tcPr>
            <w:tcW w:type="dxa" w:w="964"/>
            <w:vAlign w:val="center"/>
          </w:tcPr>
          <w:p>
            <w:pPr>
              <w:pStyle w:val="TableText"/>
              <w:jc w:val="center"/>
            </w:pPr>
            <w:r>
              <w:rPr>
                <w:sz w:val="22"/>
              </w:rPr>
              <w:t>2</w:t>
            </w:r>
          </w:p>
        </w:tc>
        <w:tc>
          <w:tcPr>
            <w:tcW w:type="dxa" w:w="964"/>
            <w:vAlign w:val="center"/>
          </w:tcPr>
          <w:p>
            <w:pPr>
              <w:pStyle w:val="TableText"/>
              <w:jc w:val="center"/>
            </w:pPr>
            <w:r>
              <w:rPr>
                <w:sz w:val="22"/>
              </w:rPr>
              <w:t>4,5</w:t>
            </w:r>
          </w:p>
        </w:tc>
        <w:tc>
          <w:tcPr>
            <w:tcW w:type="dxa" w:w="907"/>
            <w:vAlign w:val="center"/>
          </w:tcPr>
          <w:p>
            <w:pPr>
              <w:pStyle w:val="TableText"/>
              <w:jc w:val="center"/>
            </w:pPr>
            <w:r>
              <w:rPr>
                <w:sz w:val="22"/>
              </w:rPr>
              <w:t>3</w:t>
            </w:r>
          </w:p>
        </w:tc>
      </w:tr>
      <w:tr>
        <w:trPr>
          <w:cantSplit/>
        </w:trPr>
        <w:tc>
          <w:tcPr>
            <w:tcW w:type="dxa" w:w="680"/>
            <w:vAlign w:val="center"/>
          </w:tcPr>
          <w:p>
            <w:pPr>
              <w:pStyle w:val="TableText"/>
              <w:jc w:val="center"/>
            </w:pPr>
            <w:r>
              <w:rPr>
                <w:sz w:val="22"/>
              </w:rPr>
              <w:t>18</w:t>
            </w:r>
          </w:p>
        </w:tc>
        <w:tc>
          <w:tcPr>
            <w:tcW w:type="dxa" w:w="3572"/>
            <w:vAlign w:val="center"/>
          </w:tcPr>
          <w:p>
            <w:pPr>
              <w:pStyle w:val="TableText"/>
              <w:jc w:val="left"/>
            </w:pPr>
            <w:r>
              <w:rPr>
                <w:sz w:val="22"/>
              </w:rPr>
              <w:t>Утверждение результатов</w:t>
            </w:r>
          </w:p>
        </w:tc>
        <w:tc>
          <w:tcPr>
            <w:tcW w:type="dxa" w:w="1134"/>
            <w:vAlign w:val="center"/>
          </w:tcPr>
          <w:p>
            <w:pPr>
              <w:pStyle w:val="TableText"/>
              <w:jc w:val="center"/>
            </w:pPr>
            <w:r>
              <w:rPr>
                <w:sz w:val="22"/>
              </w:rPr>
              <w:t>17</w:t>
            </w:r>
          </w:p>
        </w:tc>
        <w:tc>
          <w:tcPr>
            <w:tcW w:type="dxa" w:w="1134"/>
            <w:vAlign w:val="center"/>
          </w:tcPr>
          <w:p>
            <w:pPr>
              <w:pStyle w:val="TableText"/>
              <w:jc w:val="center"/>
            </w:pPr>
            <w:r>
              <w:rPr>
                <w:sz w:val="22"/>
              </w:rPr>
              <w:t>18</w:t>
            </w:r>
          </w:p>
        </w:tc>
        <w:tc>
          <w:tcPr>
            <w:tcW w:type="dxa" w:w="964"/>
            <w:vAlign w:val="center"/>
          </w:tcPr>
          <w:p>
            <w:pPr>
              <w:pStyle w:val="TableText"/>
              <w:jc w:val="center"/>
            </w:pPr>
            <w:r>
              <w:rPr>
                <w:sz w:val="22"/>
              </w:rPr>
              <w:t>0,5</w:t>
            </w:r>
          </w:p>
        </w:tc>
        <w:tc>
          <w:tcPr>
            <w:tcW w:type="dxa" w:w="964"/>
            <w:vAlign w:val="center"/>
          </w:tcPr>
          <w:p>
            <w:pPr>
              <w:pStyle w:val="TableText"/>
              <w:jc w:val="center"/>
            </w:pPr>
            <w:r>
              <w:rPr>
                <w:sz w:val="22"/>
              </w:rPr>
              <w:t>1,75</w:t>
            </w:r>
          </w:p>
        </w:tc>
        <w:tc>
          <w:tcPr>
            <w:tcW w:type="dxa" w:w="907"/>
            <w:vAlign w:val="center"/>
          </w:tcPr>
          <w:p>
            <w:pPr>
              <w:pStyle w:val="TableText"/>
              <w:jc w:val="center"/>
            </w:pPr>
            <w:r>
              <w:rPr>
                <w:sz w:val="22"/>
              </w:rPr>
              <w:t>1</w:t>
            </w:r>
          </w:p>
        </w:tc>
      </w:tr>
    </w:tbl>
    <w:p>
      <w:pPr>
        <w:spacing w:line="240" w:lineRule="auto"/>
      </w:pPr>
    </w:p>
    <w:p>
      <w:pPr>
        <w:keepNext/>
      </w:pPr>
      <w:r>
        <w:t xml:space="preserve">Ранний срок свершения события </w:t>
      </w:r>
      <m:oMath>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m:t>
        </m:r>
      </m:oMath>
      <w:r>
        <w:t xml:space="preserve"> равен суммарной продолжительности работ на максимальном из путей, ведущих к нему от исходного события; поздний срок </w:t>
      </w:r>
      <m:oMath>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m:t>
        </m:r>
      </m:oMath>
      <w:r>
        <w:t xml:space="preserve"> равен разности между продолжительностью критического пути и суммарной продолжительностью работ на максимальном из путей от данного события к завершающему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(j) = max[</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 = min[</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t(ij)].</m:t>
              </m:r>
            </m:oMath>
          </w:p>
        </w:tc>
        <w:tc>
          <w:tcPr>
            <w:tcW w:type="dxa" w:w="1020"/>
            <w:vAlign w:val="center"/>
          </w:tcPr>
          <w:p>
            <w:pPr>
              <w:pStyle w:val="Formula"/>
              <w:jc w:val="right"/>
            </w:pPr>
            <w:r>
              <w:t>(4.9)</w:t>
            </w:r>
          </w:p>
        </w:tc>
      </w:tr>
    </w:tbl>
    <w:p>
      <w:pPr>
        <w:keepNext/>
      </w:pPr>
      <w:r>
        <w:t>Ранние и поздние сроки начала и окончания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РН</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m:t>
              </m:r>
              <m:sSub>
                <m:e>
                  <m:r>
                    <w:rPr>
                      <w:rFonts w:ascii="Cambria Math" w:hAnsi="Cambria Math"/>
                    </w:rPr>
                    <m:t xml:space="preserve">t</m:t>
                  </m:r>
                </m:e>
                <m:sub>
                  <m:r>
                    <m:rPr>
                      <m:sty m:val="p"/>
                    </m:rPr>
                    <w:rPr>
                      <w:rFonts w:ascii="Cambria Math" w:hAnsi="Cambria Math"/>
                    </w:rPr>
                    <m:t xml:space="preserve">ПН</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t(ij),</m:t>
              </m:r>
            </m:oMath>
          </w:p>
        </w:tc>
        <w:tc>
          <w:tcPr>
            <w:tcW w:type="dxa" w:w="1020"/>
            <w:vAlign w:val="center"/>
          </w:tcPr>
          <w:p>
            <w:pPr>
              <w:pStyle w:val="Formula"/>
              <w:jc w:val="right"/>
            </w:pPr>
            <w:r>
              <w:t>(4.10)</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РО</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   </m:t>
              </m:r>
              <m:sSub>
                <m:e>
                  <m:r>
                    <w:rPr>
                      <w:rFonts w:ascii="Cambria Math" w:hAnsi="Cambria Math"/>
                    </w:rPr>
                    <m:t xml:space="preserve">t</m:t>
                  </m:r>
                </m:e>
                <m:sub>
                  <m:r>
                    <m:rPr>
                      <m:sty m:val="p"/>
                    </m:rPr>
                    <w:rPr>
                      <w:rFonts w:ascii="Cambria Math" w:hAnsi="Cambria Math"/>
                    </w:rPr>
                    <m:t xml:space="preserve">ПО</m:t>
                  </m:r>
                </m:sub>
              </m:sSub>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m:t>
              </m:r>
            </m:oMath>
          </w:p>
        </w:tc>
        <w:tc>
          <w:tcPr>
            <w:tcW w:type="dxa" w:w="1020"/>
            <w:vAlign w:val="center"/>
          </w:tcPr>
          <w:p>
            <w:pPr>
              <w:pStyle w:val="Formula"/>
              <w:jc w:val="right"/>
            </w:pPr>
            <w:r>
              <w:t>(4.11)</w:t>
            </w:r>
          </w:p>
        </w:tc>
      </w:tr>
    </w:tbl>
    <w:p>
      <w:pPr>
        <w:keepNext/>
      </w:pPr>
      <w:r>
        <w:t>Резерв времени события и полный резерв времени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R</m:t>
              </m:r>
              <m:r>
                <m:rPr>
                  <m:sty m:val="p"/>
                </m:rPr>
                <w:rPr>
                  <w:rFonts w:ascii="Cambria Math" w:hAnsi="Cambria Math"/>
                </w:rPr>
                <m:t xml:space="preserve">(i)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(i)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m:t>
              </m:r>
              <m:r>
                <w:rPr>
                  <w:rFonts w:ascii="Cambria Math" w:hAnsi="Cambria Math"/>
                </w:rPr>
                <m:t xml:space="preserve">R</m:t>
              </m:r>
              <m:r>
                <m:rPr>
                  <m:sty m:val="p"/>
                </m:rPr>
                <w:rPr>
                  <w:rFonts w:ascii="Cambria Math" w:hAnsi="Cambria Math"/>
                </w:rPr>
                <m:t xml:space="preserve">(ij) = </m:t>
              </m:r>
              <m:sSub>
                <m:e>
                  <m:r>
                    <w:rPr>
                      <w:rFonts w:ascii="Cambria Math" w:hAnsi="Cambria Math"/>
                    </w:rPr>
                    <m:t xml:space="preserve">t</m:t>
                  </m:r>
                </m:e>
                <m:sub>
                  <m:r>
                    <m:rPr>
                      <m:sty m:val="p"/>
                    </m:rPr>
                    <w:rPr>
                      <w:rFonts w:ascii="Cambria Math" w:hAnsi="Cambria Math"/>
                    </w:rPr>
                    <m:t xml:space="preserve">п</m:t>
                  </m:r>
                </m:sub>
              </m:sSub>
              <m:r>
                <m:rPr>
                  <m:sty m:val="p"/>
                </m:rPr>
                <w:rPr>
                  <w:rFonts w:ascii="Cambria Math" w:hAnsi="Cambria Math"/>
                </w:rPr>
                <m:t xml:space="preserve">(j) − </m:t>
              </m:r>
              <m:sSub>
                <m:e>
                  <m:r>
                    <w:rPr>
                      <w:rFonts w:ascii="Cambria Math" w:hAnsi="Cambria Math"/>
                    </w:rPr>
                    <m:t xml:space="preserve">t</m:t>
                  </m:r>
                </m:e>
                <m:sub>
                  <m:r>
                    <m:rPr>
                      <m:sty m:val="p"/>
                    </m:rPr>
                    <w:rPr>
                      <w:rFonts w:ascii="Cambria Math" w:hAnsi="Cambria Math"/>
                    </w:rPr>
                    <m:t xml:space="preserve">р</m:t>
                  </m:r>
                </m:sub>
              </m:sSub>
              <m:r>
                <m:rPr>
                  <m:sty m:val="p"/>
                </m:rPr>
                <w:rPr>
                  <w:rFonts w:ascii="Cambria Math" w:hAnsi="Cambria Math"/>
                </w:rPr>
                <m:t xml:space="preserve">(i) − t(ij).</m:t>
              </m:r>
            </m:oMath>
          </w:p>
        </w:tc>
        <w:tc>
          <w:tcPr>
            <w:tcW w:type="dxa" w:w="1020"/>
            <w:vAlign w:val="center"/>
          </w:tcPr>
          <w:p>
            <w:pPr>
              <w:pStyle w:val="Formula"/>
              <w:jc w:val="right"/>
            </w:pPr>
            <w:r>
              <w:t>(4.12)</w:t>
            </w:r>
          </w:p>
        </w:tc>
      </w:tr>
    </w:tbl>
    <w:p>
      <w:r>
        <w:t>Основные параметры сетевого графика приведены в таблице 4.9, сетевой график — на рисунке 4.2.</w:t>
      </w:r>
    </w:p>
    <w:p>
      <w:pPr>
        <w:pStyle w:val="TableCaption"/>
        <w:ind w:firstLine="0"/>
      </w:pPr>
      <w:r>
        <w:t>Таблица 4.9 – Определение основных параметров сетевого графика, раб. дн.</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17"/>
        <w:gridCol w:w="1700"/>
        <w:gridCol w:w="1247"/>
        <w:gridCol w:w="1247"/>
        <w:gridCol w:w="1247"/>
        <w:gridCol w:w="1247"/>
        <w:gridCol w:w="1247"/>
      </w:tblGrid>
      <w:tr>
        <w:trPr>
          <w:cantSplit/>
          <w:tblHeader w:val="true"/>
        </w:trPr>
        <w:tc>
          <w:tcPr>
            <w:tcW w:type="dxa" w:w="1417"/>
            <w:vAlign w:val="center"/>
          </w:tcPr>
          <w:p>
            <w:pPr>
              <w:pStyle w:val="TableText"/>
              <w:jc w:val="center"/>
            </w:pPr>
            <w:r>
              <w:rPr>
                <w:b/>
                <w:sz w:val="20"/>
              </w:rPr>
              <w:t>Шифр работы (ij)</w:t>
            </w:r>
          </w:p>
        </w:tc>
        <w:tc>
          <w:tcPr>
            <w:tcW w:type="dxa" w:w="1701"/>
            <w:vAlign w:val="center"/>
          </w:tcPr>
          <w:p>
            <w:pPr>
              <w:pStyle w:val="TableText"/>
              <w:jc w:val="center"/>
            </w:pPr>
            <w:r>
              <w:rPr>
                <w:b/>
                <w:sz w:val="20"/>
              </w:rPr>
              <w:t>Продолжи-</w:t>
            </w:r>
          </w:p>
          <w:p>
            <w:pPr>
              <w:pStyle w:val="TableText"/>
              <w:jc w:val="center"/>
            </w:pPr>
            <w:r>
              <w:rPr>
                <w:b/>
                <w:sz w:val="20"/>
              </w:rPr>
              <w:t>тельность работы t(ij)</w:t>
            </w:r>
          </w:p>
        </w:tc>
        <w:tc>
          <w:tcPr>
            <w:tcW w:type="dxa" w:w="1247"/>
            <w:vAlign w:val="center"/>
          </w:tcPr>
          <w:p>
            <w:pPr>
              <w:pStyle w:val="TableText"/>
              <w:jc w:val="center"/>
            </w:pPr>
            <w:r>
              <w:rPr>
                <w:b/>
                <w:sz w:val="20"/>
              </w:rPr>
              <w:t>t РН(ij)</w:t>
            </w:r>
          </w:p>
        </w:tc>
        <w:tc>
          <w:tcPr>
            <w:tcW w:type="dxa" w:w="1247"/>
            <w:vAlign w:val="center"/>
          </w:tcPr>
          <w:p>
            <w:pPr>
              <w:pStyle w:val="TableText"/>
              <w:jc w:val="center"/>
            </w:pPr>
            <w:r>
              <w:rPr>
                <w:b/>
                <w:sz w:val="20"/>
              </w:rPr>
              <w:t>t ПН(ij)</w:t>
            </w:r>
          </w:p>
        </w:tc>
        <w:tc>
          <w:tcPr>
            <w:tcW w:type="dxa" w:w="1247"/>
            <w:vAlign w:val="center"/>
          </w:tcPr>
          <w:p>
            <w:pPr>
              <w:pStyle w:val="TableText"/>
              <w:jc w:val="center"/>
            </w:pPr>
            <w:r>
              <w:rPr>
                <w:b/>
                <w:sz w:val="20"/>
              </w:rPr>
              <w:t>t РО(ij)</w:t>
            </w:r>
          </w:p>
        </w:tc>
        <w:tc>
          <w:tcPr>
            <w:tcW w:type="dxa" w:w="1247"/>
            <w:vAlign w:val="center"/>
          </w:tcPr>
          <w:p>
            <w:pPr>
              <w:pStyle w:val="TableText"/>
              <w:jc w:val="center"/>
            </w:pPr>
            <w:r>
              <w:rPr>
                <w:b/>
                <w:sz w:val="20"/>
              </w:rPr>
              <w:t>t ПО(ij)</w:t>
            </w:r>
          </w:p>
        </w:tc>
        <w:tc>
          <w:tcPr>
            <w:tcW w:type="dxa" w:w="1247"/>
            <w:vAlign w:val="center"/>
          </w:tcPr>
          <w:p>
            <w:pPr>
              <w:pStyle w:val="TableText"/>
              <w:jc w:val="center"/>
            </w:pPr>
            <w:r>
              <w:rPr>
                <w:b/>
                <w:sz w:val="20"/>
              </w:rPr>
              <w:t>R(ij)</w:t>
            </w:r>
          </w:p>
        </w:tc>
      </w:tr>
      <w:tr>
        <w:trPr>
          <w:cantSplit/>
        </w:trPr>
        <w:tc>
          <w:tcPr>
            <w:tcW w:type="dxa" w:w="1417"/>
            <w:vAlign w:val="center"/>
          </w:tcPr>
          <w:p>
            <w:pPr>
              <w:pStyle w:val="TableText"/>
              <w:jc w:val="center"/>
            </w:pPr>
            <w:r>
              <w:rPr>
                <w:sz w:val="22"/>
              </w:rPr>
              <w:t>1–2</w:t>
            </w:r>
          </w:p>
        </w:tc>
        <w:tc>
          <w:tcPr>
            <w:tcW w:type="dxa" w:w="1701"/>
            <w:vAlign w:val="center"/>
          </w:tcPr>
          <w:p>
            <w:pPr>
              <w:pStyle w:val="TableText"/>
              <w:jc w:val="center"/>
            </w:pPr>
            <w:r>
              <w:rPr>
                <w:sz w:val="22"/>
              </w:rPr>
              <w:t>3</w:t>
            </w:r>
          </w:p>
        </w:tc>
        <w:tc>
          <w:tcPr>
            <w:tcW w:type="dxa" w:w="1247"/>
            <w:vAlign w:val="center"/>
          </w:tcPr>
          <w:p>
            <w:pPr>
              <w:pStyle w:val="TableText"/>
              <w:jc w:val="center"/>
            </w:pPr>
            <w:r>
              <w:rPr>
                <w:sz w:val="22"/>
              </w:rPr>
              <w:t>0</w:t>
            </w:r>
          </w:p>
        </w:tc>
        <w:tc>
          <w:tcPr>
            <w:tcW w:type="dxa" w:w="1247"/>
            <w:vAlign w:val="center"/>
          </w:tcPr>
          <w:p>
            <w:pPr>
              <w:pStyle w:val="TableText"/>
              <w:jc w:val="center"/>
            </w:pPr>
            <w:r>
              <w:rPr>
                <w:sz w:val="22"/>
              </w:rPr>
              <w:t>0</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2–3</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3</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3–4</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8</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4–5</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9</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5–6</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11</w:t>
            </w:r>
          </w:p>
        </w:tc>
        <w:tc>
          <w:tcPr>
            <w:tcW w:type="dxa" w:w="1247"/>
            <w:vAlign w:val="center"/>
          </w:tcPr>
          <w:p>
            <w:pPr>
              <w:pStyle w:val="TableText"/>
              <w:jc w:val="center"/>
            </w:pPr>
            <w:r>
              <w:rPr>
                <w:sz w:val="22"/>
              </w:rPr>
              <w:t>15</w:t>
            </w:r>
          </w:p>
        </w:tc>
        <w:tc>
          <w:tcPr>
            <w:tcW w:type="dxa" w:w="1247"/>
            <w:vAlign w:val="center"/>
          </w:tcPr>
          <w:p>
            <w:pPr>
              <w:pStyle w:val="TableText"/>
              <w:jc w:val="center"/>
            </w:pPr>
            <w:r>
              <w:rPr>
                <w:sz w:val="22"/>
              </w:rPr>
              <w:t>16</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6–7</w:t>
            </w:r>
          </w:p>
        </w:tc>
        <w:tc>
          <w:tcPr>
            <w:tcW w:type="dxa" w:w="1701"/>
            <w:vAlign w:val="center"/>
          </w:tcPr>
          <w:p>
            <w:pPr>
              <w:pStyle w:val="TableText"/>
              <w:jc w:val="center"/>
            </w:pPr>
            <w:r>
              <w:rPr>
                <w:sz w:val="22"/>
              </w:rPr>
              <w:t>6</w:t>
            </w:r>
          </w:p>
        </w:tc>
        <w:tc>
          <w:tcPr>
            <w:tcW w:type="dxa" w:w="1247"/>
            <w:vAlign w:val="center"/>
          </w:tcPr>
          <w:p>
            <w:pPr>
              <w:pStyle w:val="TableText"/>
              <w:jc w:val="center"/>
            </w:pPr>
            <w:r>
              <w:rPr>
                <w:sz w:val="22"/>
              </w:rPr>
              <w:t>15</w:t>
            </w:r>
          </w:p>
        </w:tc>
        <w:tc>
          <w:tcPr>
            <w:tcW w:type="dxa" w:w="1247"/>
            <w:vAlign w:val="center"/>
          </w:tcPr>
          <w:p>
            <w:pPr>
              <w:pStyle w:val="TableText"/>
              <w:jc w:val="center"/>
            </w:pPr>
            <w:r>
              <w:rPr>
                <w:sz w:val="22"/>
              </w:rPr>
              <w:t>16</w:t>
            </w:r>
          </w:p>
        </w:tc>
        <w:tc>
          <w:tcPr>
            <w:tcW w:type="dxa" w:w="1247"/>
            <w:vAlign w:val="center"/>
          </w:tcPr>
          <w:p>
            <w:pPr>
              <w:pStyle w:val="TableText"/>
              <w:jc w:val="center"/>
            </w:pPr>
            <w:r>
              <w:rPr>
                <w:sz w:val="22"/>
              </w:rPr>
              <w:t>21</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7–9</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21</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22</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1</w:t>
            </w:r>
          </w:p>
        </w:tc>
      </w:tr>
      <w:tr>
        <w:trPr>
          <w:cantSplit/>
        </w:trPr>
        <w:tc>
          <w:tcPr>
            <w:tcW w:type="dxa" w:w="1417"/>
            <w:vAlign w:val="center"/>
          </w:tcPr>
          <w:p>
            <w:pPr>
              <w:pStyle w:val="TableText"/>
              <w:jc w:val="center"/>
            </w:pPr>
            <w:r>
              <w:rPr>
                <w:sz w:val="22"/>
              </w:rPr>
              <w:t>5–8</w:t>
            </w:r>
          </w:p>
        </w:tc>
        <w:tc>
          <w:tcPr>
            <w:tcW w:type="dxa" w:w="1701"/>
            <w:vAlign w:val="center"/>
          </w:tcPr>
          <w:p>
            <w:pPr>
              <w:pStyle w:val="TableText"/>
              <w:jc w:val="center"/>
            </w:pPr>
            <w:r>
              <w:rPr>
                <w:sz w:val="22"/>
              </w:rPr>
              <w:t>4</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10</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8–9</w:t>
            </w:r>
          </w:p>
        </w:tc>
        <w:tc>
          <w:tcPr>
            <w:tcW w:type="dxa" w:w="1701"/>
            <w:vAlign w:val="center"/>
          </w:tcPr>
          <w:p>
            <w:pPr>
              <w:pStyle w:val="TableText"/>
              <w:jc w:val="center"/>
            </w:pPr>
            <w:r>
              <w:rPr>
                <w:sz w:val="22"/>
              </w:rPr>
              <w:t>9</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14</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9–10</w:t>
            </w:r>
          </w:p>
        </w:tc>
        <w:tc>
          <w:tcPr>
            <w:tcW w:type="dxa" w:w="1701"/>
            <w:vAlign w:val="center"/>
          </w:tcPr>
          <w:p>
            <w:pPr>
              <w:pStyle w:val="TableText"/>
              <w:jc w:val="center"/>
            </w:pPr>
            <w:r>
              <w:rPr>
                <w:sz w:val="22"/>
              </w:rPr>
              <w:t>2</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23</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10–11</w:t>
            </w:r>
          </w:p>
        </w:tc>
        <w:tc>
          <w:tcPr>
            <w:tcW w:type="dxa" w:w="1701"/>
            <w:vAlign w:val="center"/>
          </w:tcPr>
          <w:p>
            <w:pPr>
              <w:pStyle w:val="TableText"/>
              <w:jc w:val="center"/>
            </w:pPr>
            <w:r>
              <w:rPr>
                <w:sz w:val="22"/>
              </w:rPr>
              <w:t>2</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25</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11–12</w:t>
            </w:r>
          </w:p>
        </w:tc>
        <w:tc>
          <w:tcPr>
            <w:tcW w:type="dxa" w:w="1701"/>
            <w:vAlign w:val="center"/>
          </w:tcPr>
          <w:p>
            <w:pPr>
              <w:pStyle w:val="TableText"/>
              <w:jc w:val="center"/>
            </w:pPr>
            <w:r>
              <w:rPr>
                <w:sz w:val="22"/>
              </w:rPr>
              <w:t>9</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27</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12–13</w:t>
            </w:r>
          </w:p>
        </w:tc>
        <w:tc>
          <w:tcPr>
            <w:tcW w:type="dxa" w:w="1701"/>
            <w:vAlign w:val="center"/>
          </w:tcPr>
          <w:p>
            <w:pPr>
              <w:pStyle w:val="TableText"/>
              <w:jc w:val="center"/>
            </w:pPr>
            <w:r>
              <w:rPr>
                <w:sz w:val="22"/>
              </w:rPr>
              <w:t>5</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36</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13–14</w:t>
            </w:r>
          </w:p>
        </w:tc>
        <w:tc>
          <w:tcPr>
            <w:tcW w:type="dxa" w:w="1701"/>
            <w:vAlign w:val="center"/>
          </w:tcPr>
          <w:p>
            <w:pPr>
              <w:pStyle w:val="TableText"/>
              <w:jc w:val="center"/>
            </w:pPr>
            <w:r>
              <w:rPr>
                <w:sz w:val="22"/>
              </w:rPr>
              <w:t>4</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41</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14–15</w:t>
            </w:r>
          </w:p>
        </w:tc>
        <w:tc>
          <w:tcPr>
            <w:tcW w:type="dxa" w:w="1701"/>
            <w:vAlign w:val="center"/>
          </w:tcPr>
          <w:p>
            <w:pPr>
              <w:pStyle w:val="TableText"/>
              <w:jc w:val="center"/>
            </w:pPr>
            <w:r>
              <w:rPr>
                <w:sz w:val="22"/>
              </w:rPr>
              <w:t>8</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45</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15–16</w:t>
            </w:r>
          </w:p>
        </w:tc>
        <w:tc>
          <w:tcPr>
            <w:tcW w:type="dxa" w:w="1701"/>
            <w:vAlign w:val="center"/>
          </w:tcPr>
          <w:p>
            <w:pPr>
              <w:pStyle w:val="TableText"/>
              <w:jc w:val="center"/>
            </w:pPr>
            <w:r>
              <w:rPr>
                <w:sz w:val="22"/>
              </w:rPr>
              <w:t>8</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53</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16–17</w:t>
            </w:r>
          </w:p>
        </w:tc>
        <w:tc>
          <w:tcPr>
            <w:tcW w:type="dxa" w:w="1701"/>
            <w:vAlign w:val="center"/>
          </w:tcPr>
          <w:p>
            <w:pPr>
              <w:pStyle w:val="TableText"/>
              <w:jc w:val="center"/>
            </w:pPr>
            <w:r>
              <w:rPr>
                <w:sz w:val="22"/>
              </w:rPr>
              <w:t>3</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61</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0</w:t>
            </w:r>
          </w:p>
        </w:tc>
      </w:tr>
      <w:tr>
        <w:trPr>
          <w:cantSplit/>
        </w:trPr>
        <w:tc>
          <w:tcPr>
            <w:tcW w:type="dxa" w:w="1417"/>
            <w:vAlign w:val="center"/>
          </w:tcPr>
          <w:p>
            <w:pPr>
              <w:pStyle w:val="TableText"/>
              <w:jc w:val="center"/>
            </w:pPr>
            <w:r>
              <w:rPr>
                <w:sz w:val="22"/>
              </w:rPr>
              <w:t>17–18</w:t>
            </w:r>
          </w:p>
        </w:tc>
        <w:tc>
          <w:tcPr>
            <w:tcW w:type="dxa" w:w="1701"/>
            <w:vAlign w:val="center"/>
          </w:tcPr>
          <w:p>
            <w:pPr>
              <w:pStyle w:val="TableText"/>
              <w:jc w:val="center"/>
            </w:pPr>
            <w:r>
              <w:rPr>
                <w:sz w:val="22"/>
              </w:rPr>
              <w:t>1</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64</w:t>
            </w:r>
          </w:p>
        </w:tc>
        <w:tc>
          <w:tcPr>
            <w:tcW w:type="dxa" w:w="1247"/>
            <w:vAlign w:val="center"/>
          </w:tcPr>
          <w:p>
            <w:pPr>
              <w:pStyle w:val="TableText"/>
              <w:jc w:val="center"/>
            </w:pPr>
            <w:r>
              <w:rPr>
                <w:sz w:val="22"/>
              </w:rPr>
              <w:t>65</w:t>
            </w:r>
          </w:p>
        </w:tc>
        <w:tc>
          <w:tcPr>
            <w:tcW w:type="dxa" w:w="1247"/>
            <w:vAlign w:val="center"/>
          </w:tcPr>
          <w:p>
            <w:pPr>
              <w:pStyle w:val="TableText"/>
              <w:jc w:val="center"/>
            </w:pPr>
            <w:r>
              <w:rPr>
                <w:sz w:val="22"/>
              </w:rPr>
              <w:t>65</w:t>
            </w:r>
          </w:p>
        </w:tc>
        <w:tc>
          <w:tcPr>
            <w:tcW w:type="dxa" w:w="1247"/>
            <w:vAlign w:val="center"/>
          </w:tcPr>
          <w:p>
            <w:pPr>
              <w:pStyle w:val="TableText"/>
              <w:jc w:val="center"/>
            </w:pPr>
            <w:r>
              <w:rPr>
                <w:sz w:val="22"/>
              </w:rPr>
              <w:t>0</w:t>
            </w:r>
          </w:p>
        </w:tc>
      </w:tr>
    </w:tbl>
    <w:p>
      <w:pPr>
        <w:spacing w:line="240" w:lineRule="auto"/>
      </w:pPr>
    </w:p>
    <w:p>
      <w:pPr>
        <w:keepNext/>
        <w:ind w:firstLine="0"/>
        <w:jc w:val="center"/>
      </w:pPr>
      <w:r>
        <w:drawing>
          <wp:inline xmlns:a="http://schemas.openxmlformats.org/drawingml/2006/main" xmlns:pic="http://schemas.openxmlformats.org/drawingml/2006/picture">
            <wp:extent cx="5940000" cy="3150000"/>
            <wp:docPr id="2" name="Picture 2"/>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150000"/>
                    </a:xfrm>
                    <a:prstGeom prst="rect"/>
                  </pic:spPr>
                </pic:pic>
              </a:graphicData>
            </a:graphic>
          </wp:inline>
        </w:drawing>
      </w:r>
    </w:p>
    <w:p>
      <w:pPr>
        <w:ind w:firstLine="0"/>
        <w:jc w:val="center"/>
      </w:pPr>
      <w:r>
        <w:t>Рисунок 4.2 – Сетевой график НИР (над стрелкой — продолжительность работы, раб. дн.; под стрелкой — исполнители)</w:t>
      </w:r>
    </w:p>
    <w:p>
      <w:r>
        <w:t xml:space="preserve">Критический путь проходит через события 1–2–3–4–5–8–9–10–11–12–13–14–15–16–17–18. Его продолжительность </w:t>
      </w:r>
      <m:oMath>
        <m:sSub>
          <m:e>
            <m:r>
              <w:rPr>
                <w:rFonts w:ascii="Cambria Math" w:hAnsi="Cambria Math"/>
              </w:rPr>
              <m:t xml:space="preserve">t</m:t>
            </m:r>
          </m:e>
          <m:sub>
            <m:r>
              <m:rPr>
                <m:sty m:val="p"/>
              </m:rPr>
              <w:rPr>
                <w:rFonts w:ascii="Cambria Math" w:hAnsi="Cambria Math"/>
              </w:rPr>
              <m:t xml:space="preserve">кр</m:t>
            </m:r>
          </m:sub>
        </m:sSub>
        <m:r>
          <m:rPr>
            <m:sty m:val="p"/>
          </m:rPr>
          <w:rPr>
            <w:rFonts w:ascii="Cambria Math" w:hAnsi="Cambria Math"/>
          </w:rPr>
          <m:t xml:space="preserve"> = 65</m:t>
        </m:r>
      </m:oMath>
      <w:r>
        <w:t xml:space="preserve"> раб. дн. совпадает с суммарной продолжительностью стадий календарного плана (таблица 4.7). Работы 5–6, 6–7, 7–9 (теоретическая оценка канала, разработка и утверждение программы и методики экспериментов) выполняются параллельно с настройкой стенда и имеют полный резерв 1 раб. дн., который можно использовать для корректировки методики без сдвига срока окончания НИР.</w:t>
      </w:r>
    </w:p>
    <w:p>
      <w:pPr>
        <w:pStyle w:val="Heading3"/>
      </w:pPr>
      <w:r>
        <w:t>4.3.4 Календарный график</w:t>
      </w:r>
    </w:p>
    <w:p>
      <w:r>
        <w:t>Календарный график построен по ранним срокам начала работ сетевого графика; рабочие дни внутри каждой стадии переведены в календарные пропорционально её длительности в календарном плане (таблица 4.7). Для каждой работы указаны исполнители, сроки выполнения и заработная плата по тарифным ставкам, рассчитанная по часовым ставкам исполнителей (п. 4.4.1) по формуле</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ij</m:t>
                  </m:r>
                </m:sub>
              </m:sSub>
              <m:r>
                <m:rPr>
                  <m:sty m:val="p"/>
                </m:rPr>
                <w:rPr>
                  <w:rFonts w:ascii="Cambria Math" w:hAnsi="Cambria Math"/>
                </w:rPr>
                <m:t xml:space="preserve"> = </m:t>
              </m:r>
              <m:nary>
                <m:naryPr>
                  <m:chr m:val="∑"/>
                  <m:limLoc m:val="undOvr"/>
                  <m:supHide m:val="1"/>
                </m:naryPr>
                <m:sub>
                  <m:r>
                    <w:rPr>
                      <w:rFonts w:ascii="Cambria Math" w:hAnsi="Cambria Math"/>
                    </w:rPr>
                    <m:t xml:space="preserve">k</m:t>
                  </m:r>
                </m:sub>
                <m:sup/>
                <m:e>
                  <m:sSub>
                    <m:e>
                      <m:r>
                        <w:rPr>
                          <w:rFonts w:ascii="Cambria Math" w:hAnsi="Cambria Math"/>
                        </w:rPr>
                        <m:t xml:space="preserve">T</m:t>
                      </m:r>
                    </m:e>
                    <m:sub>
                      <m:r>
                        <m:rPr>
                          <m:sty m:val="p"/>
                        </m:rPr>
                        <w:rPr>
                          <w:rFonts w:ascii="Cambria Math" w:hAnsi="Cambria Math"/>
                        </w:rPr>
                        <m:t xml:space="preserve">ijk</m:t>
                      </m:r>
                    </m:sub>
                  </m:sSub>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k</m:t>
                      </m:r>
                    </m:sub>
                  </m:sSub>
                </m:e>
              </m:nary>
              <m:r>
                <m:rPr>
                  <m:sty m:val="p"/>
                </m:rPr>
                <w:rPr>
                  <w:rFonts w:ascii="Cambria Math" w:hAnsi="Cambria Math"/>
                </w:rPr>
                <m:t xml:space="preserve">,</m:t>
              </m:r>
            </m:oMath>
          </w:p>
        </w:tc>
        <w:tc>
          <w:tcPr>
            <w:tcW w:type="dxa" w:w="1020"/>
            <w:vAlign w:val="center"/>
          </w:tcPr>
          <w:p>
            <w:pPr>
              <w:pStyle w:val="Formula"/>
              <w:jc w:val="right"/>
            </w:pPr>
            <w:r>
              <w:t>(4.13)</w:t>
            </w:r>
          </w:p>
        </w:tc>
      </w:tr>
    </w:tbl>
    <w:p>
      <w:pPr>
        <w:ind w:firstLine="0"/>
      </w:pPr>
      <w:r>
        <w:t xml:space="preserve">где </w:t>
      </w:r>
      <m:oMath>
        <m:sSub>
          <m:e>
            <m:r>
              <w:rPr>
                <w:rFonts w:ascii="Cambria Math" w:hAnsi="Cambria Math"/>
              </w:rPr>
              <m:t xml:space="preserve">τ</m:t>
            </m:r>
          </m:e>
          <m:sub>
            <m:r>
              <m:rPr>
                <m:sty m:val="p"/>
              </m:rPr>
              <w:rPr>
                <w:rFonts w:ascii="Cambria Math" w:hAnsi="Cambria Math"/>
              </w:rPr>
              <m:t xml:space="preserve">k</m:t>
            </m:r>
          </m:sub>
        </m:sSub>
      </m:oMath>
      <w:r>
        <w:t xml:space="preserve"> – часовая ставка k-го исполнителя, руб./ч.</w:t>
      </w:r>
    </w:p>
    <w:p>
      <w:r>
        <w:t>Календарный график приведён в таблице 4.10 и на рисунке 4.3.</w:t>
      </w:r>
    </w:p>
    <w:p>
      <w:pPr>
        <w:pStyle w:val="TableCaption"/>
        <w:ind w:firstLine="0"/>
      </w:pPr>
      <w:r>
        <w:t>Таблица 4.10 – Календарный график выполнения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963"/>
        <w:gridCol w:w="3514"/>
        <w:gridCol w:w="1133"/>
        <w:gridCol w:w="850"/>
        <w:gridCol w:w="1530"/>
        <w:gridCol w:w="1360"/>
      </w:tblGrid>
      <w:tr>
        <w:trPr>
          <w:cantSplit/>
          <w:tblHeader w:val="true"/>
        </w:trPr>
        <w:tc>
          <w:tcPr>
            <w:tcW w:type="dxa" w:w="964"/>
            <w:vAlign w:val="center"/>
          </w:tcPr>
          <w:p>
            <w:pPr>
              <w:pStyle w:val="TableText"/>
              <w:jc w:val="center"/>
            </w:pPr>
            <w:r>
              <w:rPr>
                <w:b/>
                <w:sz w:val="20"/>
              </w:rPr>
              <w:t>Код работы</w:t>
            </w:r>
          </w:p>
        </w:tc>
        <w:tc>
          <w:tcPr>
            <w:tcW w:type="dxa" w:w="3515"/>
            <w:vAlign w:val="center"/>
          </w:tcPr>
          <w:p>
            <w:pPr>
              <w:pStyle w:val="TableText"/>
              <w:jc w:val="center"/>
            </w:pPr>
            <w:r>
              <w:rPr>
                <w:b/>
                <w:sz w:val="20"/>
              </w:rPr>
              <w:t>Наименование работы</w:t>
            </w:r>
          </w:p>
        </w:tc>
        <w:tc>
          <w:tcPr>
            <w:tcW w:type="dxa" w:w="1134"/>
            <w:vAlign w:val="center"/>
          </w:tcPr>
          <w:p>
            <w:pPr>
              <w:pStyle w:val="TableText"/>
              <w:jc w:val="center"/>
            </w:pPr>
            <w:r>
              <w:rPr>
                <w:b/>
                <w:sz w:val="20"/>
              </w:rPr>
              <w:t>Исполни-</w:t>
            </w:r>
          </w:p>
          <w:p>
            <w:pPr>
              <w:pStyle w:val="TableText"/>
              <w:jc w:val="center"/>
            </w:pPr>
            <w:r>
              <w:rPr>
                <w:b/>
                <w:sz w:val="20"/>
              </w:rPr>
              <w:t>тели</w:t>
            </w:r>
          </w:p>
        </w:tc>
        <w:tc>
          <w:tcPr>
            <w:tcW w:type="dxa" w:w="850"/>
            <w:vAlign w:val="center"/>
          </w:tcPr>
          <w:p>
            <w:pPr>
              <w:pStyle w:val="TableText"/>
              <w:jc w:val="center"/>
            </w:pPr>
            <w:r>
              <w:rPr>
                <w:b/>
                <w:sz w:val="20"/>
              </w:rPr>
              <w:t>t, раб. дн.</w:t>
            </w:r>
          </w:p>
        </w:tc>
        <w:tc>
          <w:tcPr>
            <w:tcW w:type="dxa" w:w="1531"/>
            <w:vAlign w:val="center"/>
          </w:tcPr>
          <w:p>
            <w:pPr>
              <w:pStyle w:val="TableText"/>
              <w:jc w:val="center"/>
            </w:pPr>
            <w:r>
              <w:rPr>
                <w:b/>
                <w:sz w:val="20"/>
              </w:rPr>
              <w:t>Сроки выполнения</w:t>
            </w:r>
          </w:p>
        </w:tc>
        <w:tc>
          <w:tcPr>
            <w:tcW w:type="dxa" w:w="1361"/>
            <w:vAlign w:val="center"/>
          </w:tcPr>
          <w:p>
            <w:pPr>
              <w:pStyle w:val="TableText"/>
              <w:jc w:val="center"/>
            </w:pPr>
            <w:r>
              <w:rPr>
                <w:b/>
                <w:sz w:val="20"/>
              </w:rPr>
              <w:t>Заработ-</w:t>
            </w:r>
          </w:p>
          <w:p>
            <w:pPr>
              <w:pStyle w:val="TableText"/>
              <w:jc w:val="center"/>
            </w:pPr>
            <w:r>
              <w:rPr>
                <w:b/>
                <w:sz w:val="20"/>
              </w:rPr>
              <w:t>ная плата, руб.</w:t>
            </w:r>
          </w:p>
        </w:tc>
      </w:tr>
      <w:tr>
        <w:trPr>
          <w:cantSplit/>
        </w:trPr>
        <w:tc>
          <w:tcPr>
            <w:tcW w:type="dxa" w:w="5613"/>
            <w:gridSpan w:val="3"/>
            <w:vAlign w:val="center"/>
          </w:tcPr>
          <w:p>
            <w:pPr>
              <w:pStyle w:val="TableText"/>
              <w:jc w:val="center"/>
            </w:pPr>
            <w:r>
              <w:rPr>
                <w:b/>
                <w:sz w:val="22"/>
              </w:rPr>
              <w:t>Стадия 1 (срок по заданию — 15.10)</w:t>
            </w:r>
          </w:p>
        </w:tc>
        <w:tc>
          <w:tcPr>
            <w:tcW w:type="dxa" w:w="850"/>
            <w:vAlign w:val="center"/>
          </w:tcPr>
          <w:p>
            <w:pPr>
              <w:pStyle w:val="TableText"/>
              <w:jc w:val="center"/>
            </w:pPr>
            <w:r>
              <w:rPr>
                <w:b/>
                <w:sz w:val="22"/>
              </w:rPr>
              <w:t>10</w:t>
            </w:r>
          </w:p>
        </w:tc>
        <w:tc>
          <w:tcPr>
            <w:tcW w:type="dxa" w:w="1531"/>
            <w:vAlign w:val="center"/>
          </w:tcPr>
          <w:p>
            <w:pPr>
              <w:pStyle w:val="TableText"/>
              <w:jc w:val="center"/>
            </w:pPr>
            <w:r>
              <w:rPr>
                <w:b/>
                <w:sz w:val="22"/>
              </w:rPr>
              <w:t>22.09–05.10</w:t>
            </w:r>
          </w:p>
        </w:tc>
        <w:tc>
          <w:tcPr>
            <w:tcW w:type="dxa" w:w="1361"/>
            <w:vAlign w:val="center"/>
          </w:tcPr>
          <w:p>
            <w:pPr>
              <w:pStyle w:val="TableText"/>
              <w:jc w:val="right"/>
            </w:pPr>
            <w:r>
              <w:rPr>
                <w:b/>
                <w:sz w:val="22"/>
              </w:rPr>
              <w:t>53 592</w:t>
            </w:r>
          </w:p>
        </w:tc>
      </w:tr>
      <w:tr>
        <w:trPr>
          <w:cantSplit/>
        </w:trPr>
        <w:tc>
          <w:tcPr>
            <w:tcW w:type="dxa" w:w="964"/>
            <w:vAlign w:val="center"/>
          </w:tcPr>
          <w:p>
            <w:pPr>
              <w:pStyle w:val="TableText"/>
              <w:jc w:val="center"/>
            </w:pPr>
            <w:r>
              <w:rPr>
                <w:sz w:val="22"/>
              </w:rPr>
              <w:t>1–2</w:t>
            </w:r>
          </w:p>
        </w:tc>
        <w:tc>
          <w:tcPr>
            <w:tcW w:type="dxa" w:w="3515"/>
            <w:vAlign w:val="center"/>
          </w:tcPr>
          <w:p>
            <w:pPr>
              <w:pStyle w:val="TableText"/>
              <w:jc w:val="left"/>
            </w:pPr>
            <w:r>
              <w:rPr>
                <w:sz w:val="22"/>
              </w:rPr>
              <w:t>Анализ задач БПЛА и каналов связи</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3</w:t>
            </w:r>
          </w:p>
        </w:tc>
        <w:tc>
          <w:tcPr>
            <w:tcW w:type="dxa" w:w="1531"/>
            <w:vAlign w:val="center"/>
          </w:tcPr>
          <w:p>
            <w:pPr>
              <w:pStyle w:val="TableText"/>
              <w:jc w:val="center"/>
            </w:pPr>
            <w:r>
              <w:rPr>
                <w:sz w:val="22"/>
              </w:rPr>
              <w:t>22.09–25.09</w:t>
            </w:r>
          </w:p>
        </w:tc>
        <w:tc>
          <w:tcPr>
            <w:tcW w:type="dxa" w:w="1361"/>
            <w:vAlign w:val="center"/>
          </w:tcPr>
          <w:p>
            <w:pPr>
              <w:pStyle w:val="TableText"/>
              <w:jc w:val="right"/>
            </w:pPr>
            <w:r>
              <w:rPr>
                <w:sz w:val="22"/>
              </w:rPr>
              <w:t>15 024</w:t>
            </w:r>
          </w:p>
        </w:tc>
      </w:tr>
      <w:tr>
        <w:trPr>
          <w:cantSplit/>
        </w:trPr>
        <w:tc>
          <w:tcPr>
            <w:tcW w:type="dxa" w:w="964"/>
            <w:vAlign w:val="center"/>
          </w:tcPr>
          <w:p>
            <w:pPr>
              <w:pStyle w:val="TableText"/>
              <w:jc w:val="center"/>
            </w:pPr>
            <w:r>
              <w:rPr>
                <w:sz w:val="22"/>
              </w:rPr>
              <w:t>2–3</w:t>
            </w:r>
          </w:p>
        </w:tc>
        <w:tc>
          <w:tcPr>
            <w:tcW w:type="dxa" w:w="3515"/>
            <w:vAlign w:val="center"/>
          </w:tcPr>
          <w:p>
            <w:pPr>
              <w:pStyle w:val="TableText"/>
              <w:jc w:val="left"/>
            </w:pPr>
            <w:r>
              <w:rPr>
                <w:sz w:val="22"/>
              </w:rPr>
              <w:t>Сравнение HaLow, IEEE 802.11, LoRa</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26.09–02.10</w:t>
            </w:r>
          </w:p>
        </w:tc>
        <w:tc>
          <w:tcPr>
            <w:tcW w:type="dxa" w:w="1361"/>
            <w:vAlign w:val="center"/>
          </w:tcPr>
          <w:p>
            <w:pPr>
              <w:pStyle w:val="TableText"/>
              <w:jc w:val="right"/>
            </w:pPr>
            <w:r>
              <w:rPr>
                <w:sz w:val="22"/>
              </w:rPr>
              <w:t>25 040</w:t>
            </w:r>
          </w:p>
        </w:tc>
      </w:tr>
      <w:tr>
        <w:trPr>
          <w:cantSplit/>
        </w:trPr>
        <w:tc>
          <w:tcPr>
            <w:tcW w:type="dxa" w:w="964"/>
            <w:vAlign w:val="center"/>
          </w:tcPr>
          <w:p>
            <w:pPr>
              <w:pStyle w:val="TableText"/>
              <w:jc w:val="center"/>
            </w:pPr>
            <w:r>
              <w:rPr>
                <w:sz w:val="22"/>
              </w:rPr>
              <w:t>3–4</w:t>
            </w:r>
          </w:p>
        </w:tc>
        <w:tc>
          <w:tcPr>
            <w:tcW w:type="dxa" w:w="3515"/>
            <w:vAlign w:val="center"/>
          </w:tcPr>
          <w:p>
            <w:pPr>
              <w:pStyle w:val="TableText"/>
              <w:jc w:val="left"/>
            </w:pPr>
            <w:r>
              <w:rPr>
                <w:sz w:val="22"/>
              </w:rPr>
              <w:t>Круг задач, проект задания</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03.10–04.10</w:t>
            </w:r>
          </w:p>
        </w:tc>
        <w:tc>
          <w:tcPr>
            <w:tcW w:type="dxa" w:w="1361"/>
            <w:vAlign w:val="center"/>
          </w:tcPr>
          <w:p>
            <w:pPr>
              <w:pStyle w:val="TableText"/>
              <w:jc w:val="right"/>
            </w:pPr>
            <w:r>
              <w:rPr>
                <w:sz w:val="22"/>
              </w:rPr>
              <w:t>5 008</w:t>
            </w:r>
          </w:p>
        </w:tc>
      </w:tr>
      <w:tr>
        <w:trPr>
          <w:cantSplit/>
        </w:trPr>
        <w:tc>
          <w:tcPr>
            <w:tcW w:type="dxa" w:w="964"/>
            <w:vAlign w:val="center"/>
          </w:tcPr>
          <w:p>
            <w:pPr>
              <w:pStyle w:val="TableText"/>
              <w:jc w:val="center"/>
            </w:pPr>
            <w:r>
              <w:rPr>
                <w:sz w:val="22"/>
              </w:rPr>
              <w:t>4–5</w:t>
            </w:r>
          </w:p>
        </w:tc>
        <w:tc>
          <w:tcPr>
            <w:tcW w:type="dxa" w:w="3515"/>
            <w:vAlign w:val="center"/>
          </w:tcPr>
          <w:p>
            <w:pPr>
              <w:pStyle w:val="TableText"/>
              <w:jc w:val="left"/>
            </w:pPr>
            <w:r>
              <w:rPr>
                <w:sz w:val="22"/>
              </w:rPr>
              <w:t>Утверждение задания</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05.10–05.10</w:t>
            </w:r>
          </w:p>
        </w:tc>
        <w:tc>
          <w:tcPr>
            <w:tcW w:type="dxa" w:w="1361"/>
            <w:vAlign w:val="center"/>
          </w:tcPr>
          <w:p>
            <w:pPr>
              <w:pStyle w:val="TableText"/>
              <w:jc w:val="right"/>
            </w:pPr>
            <w:r>
              <w:rPr>
                <w:sz w:val="22"/>
              </w:rPr>
              <w:t>8 520</w:t>
            </w:r>
          </w:p>
        </w:tc>
      </w:tr>
      <w:tr>
        <w:trPr>
          <w:cantSplit/>
        </w:trPr>
        <w:tc>
          <w:tcPr>
            <w:tcW w:type="dxa" w:w="5613"/>
            <w:gridSpan w:val="3"/>
            <w:vAlign w:val="center"/>
          </w:tcPr>
          <w:p>
            <w:pPr>
              <w:pStyle w:val="TableText"/>
              <w:jc w:val="center"/>
            </w:pPr>
            <w:r>
              <w:rPr>
                <w:b/>
                <w:sz w:val="22"/>
              </w:rPr>
              <w:t>Стадия 2 (срок по заданию — 16.11)</w:t>
            </w:r>
          </w:p>
        </w:tc>
        <w:tc>
          <w:tcPr>
            <w:tcW w:type="dxa" w:w="850"/>
            <w:vAlign w:val="center"/>
          </w:tcPr>
          <w:p>
            <w:pPr>
              <w:pStyle w:val="TableText"/>
              <w:jc w:val="center"/>
            </w:pPr>
            <w:r>
              <w:rPr>
                <w:b/>
                <w:sz w:val="22"/>
              </w:rPr>
              <w:t>15</w:t>
            </w:r>
          </w:p>
        </w:tc>
        <w:tc>
          <w:tcPr>
            <w:tcW w:type="dxa" w:w="1531"/>
            <w:vAlign w:val="center"/>
          </w:tcPr>
          <w:p>
            <w:pPr>
              <w:pStyle w:val="TableText"/>
              <w:jc w:val="center"/>
            </w:pPr>
            <w:r>
              <w:rPr>
                <w:b/>
                <w:sz w:val="22"/>
              </w:rPr>
              <w:t>06.10–26.10</w:t>
            </w:r>
          </w:p>
        </w:tc>
        <w:tc>
          <w:tcPr>
            <w:tcW w:type="dxa" w:w="1361"/>
            <w:vAlign w:val="center"/>
          </w:tcPr>
          <w:p>
            <w:pPr>
              <w:pStyle w:val="TableText"/>
              <w:jc w:val="right"/>
            </w:pPr>
            <w:r>
              <w:rPr>
                <w:b/>
                <w:sz w:val="22"/>
              </w:rPr>
              <w:t>157 264</w:t>
            </w:r>
          </w:p>
        </w:tc>
      </w:tr>
      <w:tr>
        <w:trPr>
          <w:cantSplit/>
        </w:trPr>
        <w:tc>
          <w:tcPr>
            <w:tcW w:type="dxa" w:w="964"/>
            <w:vAlign w:val="center"/>
          </w:tcPr>
          <w:p>
            <w:pPr>
              <w:pStyle w:val="TableText"/>
              <w:jc w:val="center"/>
            </w:pPr>
            <w:r>
              <w:rPr>
                <w:sz w:val="22"/>
              </w:rPr>
              <w:t>5–6</w:t>
            </w:r>
          </w:p>
        </w:tc>
        <w:tc>
          <w:tcPr>
            <w:tcW w:type="dxa" w:w="3515"/>
            <w:vAlign w:val="center"/>
          </w:tcPr>
          <w:p>
            <w:pPr>
              <w:pStyle w:val="TableText"/>
              <w:jc w:val="left"/>
            </w:pPr>
            <w:r>
              <w:rPr>
                <w:sz w:val="22"/>
              </w:rPr>
              <w:t>Теоретическая оценка канала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06.10–12.10</w:t>
            </w:r>
          </w:p>
        </w:tc>
        <w:tc>
          <w:tcPr>
            <w:tcW w:type="dxa" w:w="1361"/>
            <w:vAlign w:val="center"/>
          </w:tcPr>
          <w:p>
            <w:pPr>
              <w:pStyle w:val="TableText"/>
              <w:jc w:val="right"/>
            </w:pPr>
            <w:r>
              <w:rPr>
                <w:sz w:val="22"/>
              </w:rPr>
              <w:t>25 040</w:t>
            </w:r>
          </w:p>
        </w:tc>
      </w:tr>
      <w:tr>
        <w:trPr>
          <w:cantSplit/>
        </w:trPr>
        <w:tc>
          <w:tcPr>
            <w:tcW w:type="dxa" w:w="964"/>
            <w:vAlign w:val="center"/>
          </w:tcPr>
          <w:p>
            <w:pPr>
              <w:pStyle w:val="TableText"/>
              <w:jc w:val="center"/>
            </w:pPr>
            <w:r>
              <w:rPr>
                <w:sz w:val="22"/>
              </w:rPr>
              <w:t>6–7</w:t>
            </w:r>
          </w:p>
        </w:tc>
        <w:tc>
          <w:tcPr>
            <w:tcW w:type="dxa" w:w="3515"/>
            <w:vAlign w:val="center"/>
          </w:tcPr>
          <w:p>
            <w:pPr>
              <w:pStyle w:val="TableText"/>
              <w:jc w:val="left"/>
            </w:pPr>
            <w:r>
              <w:rPr>
                <w:sz w:val="22"/>
              </w:rPr>
              <w:t>Программа и методика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6</w:t>
            </w:r>
          </w:p>
        </w:tc>
        <w:tc>
          <w:tcPr>
            <w:tcW w:type="dxa" w:w="1531"/>
            <w:vAlign w:val="center"/>
          </w:tcPr>
          <w:p>
            <w:pPr>
              <w:pStyle w:val="TableText"/>
              <w:jc w:val="center"/>
            </w:pPr>
            <w:r>
              <w:rPr>
                <w:sz w:val="22"/>
              </w:rPr>
              <w:t>13.10–20.10</w:t>
            </w:r>
          </w:p>
        </w:tc>
        <w:tc>
          <w:tcPr>
            <w:tcW w:type="dxa" w:w="1361"/>
            <w:vAlign w:val="center"/>
          </w:tcPr>
          <w:p>
            <w:pPr>
              <w:pStyle w:val="TableText"/>
              <w:jc w:val="right"/>
            </w:pPr>
            <w:r>
              <w:rPr>
                <w:sz w:val="22"/>
              </w:rPr>
              <w:t>30 048</w:t>
            </w:r>
          </w:p>
        </w:tc>
      </w:tr>
      <w:tr>
        <w:trPr>
          <w:cantSplit/>
        </w:trPr>
        <w:tc>
          <w:tcPr>
            <w:tcW w:type="dxa" w:w="964"/>
            <w:vAlign w:val="center"/>
          </w:tcPr>
          <w:p>
            <w:pPr>
              <w:pStyle w:val="TableText"/>
              <w:jc w:val="center"/>
            </w:pPr>
            <w:r>
              <w:rPr>
                <w:sz w:val="22"/>
              </w:rPr>
              <w:t>7–9</w:t>
            </w:r>
          </w:p>
        </w:tc>
        <w:tc>
          <w:tcPr>
            <w:tcW w:type="dxa" w:w="3515"/>
            <w:vAlign w:val="center"/>
          </w:tcPr>
          <w:p>
            <w:pPr>
              <w:pStyle w:val="TableText"/>
              <w:jc w:val="left"/>
            </w:pPr>
            <w:r>
              <w:rPr>
                <w:sz w:val="22"/>
              </w:rPr>
              <w:t>Утверждение методики</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21.10–22.10</w:t>
            </w:r>
          </w:p>
        </w:tc>
        <w:tc>
          <w:tcPr>
            <w:tcW w:type="dxa" w:w="1361"/>
            <w:vAlign w:val="center"/>
          </w:tcPr>
          <w:p>
            <w:pPr>
              <w:pStyle w:val="TableText"/>
              <w:jc w:val="right"/>
            </w:pPr>
            <w:r>
              <w:rPr>
                <w:sz w:val="22"/>
              </w:rPr>
              <w:t>8 520</w:t>
            </w:r>
          </w:p>
        </w:tc>
      </w:tr>
      <w:tr>
        <w:trPr>
          <w:cantSplit/>
        </w:trPr>
        <w:tc>
          <w:tcPr>
            <w:tcW w:type="dxa" w:w="964"/>
            <w:vAlign w:val="center"/>
          </w:tcPr>
          <w:p>
            <w:pPr>
              <w:pStyle w:val="TableText"/>
              <w:jc w:val="center"/>
            </w:pPr>
            <w:r>
              <w:rPr>
                <w:sz w:val="22"/>
              </w:rPr>
              <w:t>5–8</w:t>
            </w:r>
          </w:p>
        </w:tc>
        <w:tc>
          <w:tcPr>
            <w:tcW w:type="dxa" w:w="3515"/>
            <w:vAlign w:val="center"/>
          </w:tcPr>
          <w:p>
            <w:pPr>
              <w:pStyle w:val="TableText"/>
              <w:jc w:val="left"/>
            </w:pPr>
            <w:r>
              <w:rPr>
                <w:sz w:val="22"/>
              </w:rPr>
              <w:t>Обновление ПО модулей TX-AH</w:t>
            </w:r>
          </w:p>
        </w:tc>
        <w:tc>
          <w:tcPr>
            <w:tcW w:type="dxa" w:w="1134"/>
            <w:vAlign w:val="center"/>
          </w:tcPr>
          <w:p>
            <w:pPr>
              <w:pStyle w:val="TableText"/>
              <w:jc w:val="center"/>
            </w:pPr>
            <w:r>
              <w:rPr>
                <w:sz w:val="22"/>
              </w:rPr>
              <w:t>П</w:t>
            </w:r>
          </w:p>
        </w:tc>
        <w:tc>
          <w:tcPr>
            <w:tcW w:type="dxa" w:w="850"/>
            <w:vAlign w:val="center"/>
          </w:tcPr>
          <w:p>
            <w:pPr>
              <w:pStyle w:val="TableText"/>
              <w:jc w:val="center"/>
            </w:pPr>
            <w:r>
              <w:rPr>
                <w:sz w:val="22"/>
              </w:rPr>
              <w:t>4</w:t>
            </w:r>
          </w:p>
        </w:tc>
        <w:tc>
          <w:tcPr>
            <w:tcW w:type="dxa" w:w="1531"/>
            <w:vAlign w:val="center"/>
          </w:tcPr>
          <w:p>
            <w:pPr>
              <w:pStyle w:val="TableText"/>
              <w:jc w:val="center"/>
            </w:pPr>
            <w:r>
              <w:rPr>
                <w:sz w:val="22"/>
              </w:rPr>
              <w:t>06.10–11.10</w:t>
            </w:r>
          </w:p>
        </w:tc>
        <w:tc>
          <w:tcPr>
            <w:tcW w:type="dxa" w:w="1361"/>
            <w:vAlign w:val="center"/>
          </w:tcPr>
          <w:p>
            <w:pPr>
              <w:pStyle w:val="TableText"/>
              <w:jc w:val="right"/>
            </w:pPr>
            <w:r>
              <w:rPr>
                <w:sz w:val="22"/>
              </w:rPr>
              <w:t>20 032</w:t>
            </w:r>
          </w:p>
        </w:tc>
      </w:tr>
      <w:tr>
        <w:trPr>
          <w:cantSplit/>
        </w:trPr>
        <w:tc>
          <w:tcPr>
            <w:tcW w:type="dxa" w:w="964"/>
            <w:vAlign w:val="center"/>
          </w:tcPr>
          <w:p>
            <w:pPr>
              <w:pStyle w:val="TableText"/>
              <w:jc w:val="center"/>
            </w:pPr>
            <w:r>
              <w:rPr>
                <w:sz w:val="22"/>
              </w:rPr>
              <w:t>8–9</w:t>
            </w:r>
          </w:p>
        </w:tc>
        <w:tc>
          <w:tcPr>
            <w:tcW w:type="dxa" w:w="3515"/>
            <w:vAlign w:val="center"/>
          </w:tcPr>
          <w:p>
            <w:pPr>
              <w:pStyle w:val="TableText"/>
              <w:jc w:val="left"/>
            </w:pPr>
            <w:r>
              <w:rPr>
                <w:sz w:val="22"/>
              </w:rPr>
              <w:t>ПО передатчика и приёмника</w:t>
            </w:r>
          </w:p>
        </w:tc>
        <w:tc>
          <w:tcPr>
            <w:tcW w:type="dxa" w:w="1134"/>
            <w:vAlign w:val="center"/>
          </w:tcPr>
          <w:p>
            <w:pPr>
              <w:pStyle w:val="TableText"/>
              <w:jc w:val="center"/>
            </w:pPr>
            <w:r>
              <w:rPr>
                <w:sz w:val="22"/>
              </w:rPr>
              <w:t>П</w:t>
            </w:r>
          </w:p>
        </w:tc>
        <w:tc>
          <w:tcPr>
            <w:tcW w:type="dxa" w:w="850"/>
            <w:vAlign w:val="center"/>
          </w:tcPr>
          <w:p>
            <w:pPr>
              <w:pStyle w:val="TableText"/>
              <w:jc w:val="center"/>
            </w:pPr>
            <w:r>
              <w:rPr>
                <w:sz w:val="22"/>
              </w:rPr>
              <w:t>9</w:t>
            </w:r>
          </w:p>
        </w:tc>
        <w:tc>
          <w:tcPr>
            <w:tcW w:type="dxa" w:w="1531"/>
            <w:vAlign w:val="center"/>
          </w:tcPr>
          <w:p>
            <w:pPr>
              <w:pStyle w:val="TableText"/>
              <w:jc w:val="center"/>
            </w:pPr>
            <w:r>
              <w:rPr>
                <w:sz w:val="22"/>
              </w:rPr>
              <w:t>12.10–23.10</w:t>
            </w:r>
          </w:p>
        </w:tc>
        <w:tc>
          <w:tcPr>
            <w:tcW w:type="dxa" w:w="1361"/>
            <w:vAlign w:val="center"/>
          </w:tcPr>
          <w:p>
            <w:pPr>
              <w:pStyle w:val="TableText"/>
              <w:jc w:val="right"/>
            </w:pPr>
            <w:r>
              <w:rPr>
                <w:sz w:val="22"/>
              </w:rPr>
              <w:t>45 072</w:t>
            </w:r>
          </w:p>
        </w:tc>
      </w:tr>
      <w:tr>
        <w:trPr>
          <w:cantSplit/>
        </w:trPr>
        <w:tc>
          <w:tcPr>
            <w:tcW w:type="dxa" w:w="964"/>
            <w:vAlign w:val="center"/>
          </w:tcPr>
          <w:p>
            <w:pPr>
              <w:pStyle w:val="TableText"/>
              <w:jc w:val="center"/>
            </w:pPr>
            <w:r>
              <w:rPr>
                <w:sz w:val="22"/>
              </w:rPr>
              <w:t>9–10</w:t>
            </w:r>
          </w:p>
        </w:tc>
        <w:tc>
          <w:tcPr>
            <w:tcW w:type="dxa" w:w="3515"/>
            <w:vAlign w:val="center"/>
          </w:tcPr>
          <w:p>
            <w:pPr>
              <w:pStyle w:val="TableText"/>
              <w:jc w:val="left"/>
            </w:pPr>
            <w:r>
              <w:rPr>
                <w:sz w:val="22"/>
              </w:rPr>
              <w:t>Отладка и приёмка стенда</w:t>
            </w:r>
          </w:p>
        </w:tc>
        <w:tc>
          <w:tcPr>
            <w:tcW w:type="dxa" w:w="1134"/>
            <w:vAlign w:val="center"/>
          </w:tcPr>
          <w:p>
            <w:pPr>
              <w:pStyle w:val="TableText"/>
              <w:jc w:val="center"/>
            </w:pPr>
            <w:r>
              <w:rPr>
                <w:sz w:val="22"/>
              </w:rPr>
              <w:t>П, И, Р</w:t>
            </w:r>
          </w:p>
        </w:tc>
        <w:tc>
          <w:tcPr>
            <w:tcW w:type="dxa" w:w="850"/>
            <w:vAlign w:val="center"/>
          </w:tcPr>
          <w:p>
            <w:pPr>
              <w:pStyle w:val="TableText"/>
              <w:jc w:val="center"/>
            </w:pPr>
            <w:r>
              <w:rPr>
                <w:sz w:val="22"/>
              </w:rPr>
              <w:t>2</w:t>
            </w:r>
          </w:p>
        </w:tc>
        <w:tc>
          <w:tcPr>
            <w:tcW w:type="dxa" w:w="1531"/>
            <w:vAlign w:val="center"/>
          </w:tcPr>
          <w:p>
            <w:pPr>
              <w:pStyle w:val="TableText"/>
              <w:jc w:val="center"/>
            </w:pPr>
            <w:r>
              <w:rPr>
                <w:sz w:val="22"/>
              </w:rPr>
              <w:t>24.10–26.10</w:t>
            </w:r>
          </w:p>
        </w:tc>
        <w:tc>
          <w:tcPr>
            <w:tcW w:type="dxa" w:w="1361"/>
            <w:vAlign w:val="center"/>
          </w:tcPr>
          <w:p>
            <w:pPr>
              <w:pStyle w:val="TableText"/>
              <w:jc w:val="right"/>
            </w:pPr>
            <w:r>
              <w:rPr>
                <w:sz w:val="22"/>
              </w:rPr>
              <w:t>28 552</w:t>
            </w:r>
          </w:p>
        </w:tc>
      </w:tr>
      <w:tr>
        <w:trPr>
          <w:cantSplit/>
        </w:trPr>
        <w:tc>
          <w:tcPr>
            <w:tcW w:type="dxa" w:w="5613"/>
            <w:gridSpan w:val="3"/>
            <w:vAlign w:val="center"/>
          </w:tcPr>
          <w:p>
            <w:pPr>
              <w:pStyle w:val="TableText"/>
              <w:jc w:val="center"/>
            </w:pPr>
            <w:r>
              <w:rPr>
                <w:b/>
                <w:sz w:val="22"/>
              </w:rPr>
              <w:t>Стадия 3 (срок по заданию — 08.12)</w:t>
            </w:r>
          </w:p>
        </w:tc>
        <w:tc>
          <w:tcPr>
            <w:tcW w:type="dxa" w:w="850"/>
            <w:vAlign w:val="center"/>
          </w:tcPr>
          <w:p>
            <w:pPr>
              <w:pStyle w:val="TableText"/>
              <w:jc w:val="center"/>
            </w:pPr>
            <w:r>
              <w:rPr>
                <w:b/>
                <w:sz w:val="22"/>
              </w:rPr>
              <w:t>20</w:t>
            </w:r>
          </w:p>
        </w:tc>
        <w:tc>
          <w:tcPr>
            <w:tcW w:type="dxa" w:w="1531"/>
            <w:vAlign w:val="center"/>
          </w:tcPr>
          <w:p>
            <w:pPr>
              <w:pStyle w:val="TableText"/>
              <w:jc w:val="center"/>
            </w:pPr>
            <w:r>
              <w:rPr>
                <w:b/>
                <w:sz w:val="22"/>
              </w:rPr>
              <w:t>27.10–23.11</w:t>
            </w:r>
          </w:p>
        </w:tc>
        <w:tc>
          <w:tcPr>
            <w:tcW w:type="dxa" w:w="1361"/>
            <w:vAlign w:val="center"/>
          </w:tcPr>
          <w:p>
            <w:pPr>
              <w:pStyle w:val="TableText"/>
              <w:jc w:val="right"/>
            </w:pPr>
            <w:r>
              <w:rPr>
                <w:b/>
                <w:sz w:val="22"/>
              </w:rPr>
              <w:t>187 840</w:t>
            </w:r>
          </w:p>
        </w:tc>
      </w:tr>
      <w:tr>
        <w:trPr>
          <w:cantSplit/>
        </w:trPr>
        <w:tc>
          <w:tcPr>
            <w:tcW w:type="dxa" w:w="964"/>
            <w:vAlign w:val="center"/>
          </w:tcPr>
          <w:p>
            <w:pPr>
              <w:pStyle w:val="TableText"/>
              <w:jc w:val="center"/>
            </w:pPr>
            <w:r>
              <w:rPr>
                <w:sz w:val="22"/>
              </w:rPr>
              <w:t>10–11</w:t>
            </w:r>
          </w:p>
        </w:tc>
        <w:tc>
          <w:tcPr>
            <w:tcW w:type="dxa" w:w="3515"/>
            <w:vAlign w:val="center"/>
          </w:tcPr>
          <w:p>
            <w:pPr>
              <w:pStyle w:val="TableText"/>
              <w:jc w:val="left"/>
            </w:pPr>
            <w:r>
              <w:rPr>
                <w:sz w:val="22"/>
              </w:rPr>
              <w:t>Подготовка к измерениям</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2</w:t>
            </w:r>
          </w:p>
        </w:tc>
        <w:tc>
          <w:tcPr>
            <w:tcW w:type="dxa" w:w="1531"/>
            <w:vAlign w:val="center"/>
          </w:tcPr>
          <w:p>
            <w:pPr>
              <w:pStyle w:val="TableText"/>
              <w:jc w:val="center"/>
            </w:pPr>
            <w:r>
              <w:rPr>
                <w:sz w:val="22"/>
              </w:rPr>
              <w:t>27.10–29.10</w:t>
            </w:r>
          </w:p>
        </w:tc>
        <w:tc>
          <w:tcPr>
            <w:tcW w:type="dxa" w:w="1361"/>
            <w:vAlign w:val="center"/>
          </w:tcPr>
          <w:p>
            <w:pPr>
              <w:pStyle w:val="TableText"/>
              <w:jc w:val="right"/>
            </w:pPr>
            <w:r>
              <w:rPr>
                <w:sz w:val="22"/>
              </w:rPr>
              <w:t>18 784</w:t>
            </w:r>
          </w:p>
        </w:tc>
      </w:tr>
      <w:tr>
        <w:trPr>
          <w:cantSplit/>
        </w:trPr>
        <w:tc>
          <w:tcPr>
            <w:tcW w:type="dxa" w:w="964"/>
            <w:vAlign w:val="center"/>
          </w:tcPr>
          <w:p>
            <w:pPr>
              <w:pStyle w:val="TableText"/>
              <w:jc w:val="center"/>
            </w:pPr>
            <w:r>
              <w:rPr>
                <w:sz w:val="22"/>
              </w:rPr>
              <w:t>11–12</w:t>
            </w:r>
          </w:p>
        </w:tc>
        <w:tc>
          <w:tcPr>
            <w:tcW w:type="dxa" w:w="3515"/>
            <w:vAlign w:val="center"/>
          </w:tcPr>
          <w:p>
            <w:pPr>
              <w:pStyle w:val="TableText"/>
              <w:jc w:val="left"/>
            </w:pPr>
            <w:r>
              <w:rPr>
                <w:sz w:val="22"/>
              </w:rPr>
              <w:t>Измерения Wi-Fi HaLow</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9</w:t>
            </w:r>
          </w:p>
        </w:tc>
        <w:tc>
          <w:tcPr>
            <w:tcW w:type="dxa" w:w="1531"/>
            <w:vAlign w:val="center"/>
          </w:tcPr>
          <w:p>
            <w:pPr>
              <w:pStyle w:val="TableText"/>
              <w:jc w:val="center"/>
            </w:pPr>
            <w:r>
              <w:rPr>
                <w:sz w:val="22"/>
              </w:rPr>
              <w:t>30.10–10.11</w:t>
            </w:r>
          </w:p>
        </w:tc>
        <w:tc>
          <w:tcPr>
            <w:tcW w:type="dxa" w:w="1361"/>
            <w:vAlign w:val="center"/>
          </w:tcPr>
          <w:p>
            <w:pPr>
              <w:pStyle w:val="TableText"/>
              <w:jc w:val="right"/>
            </w:pPr>
            <w:r>
              <w:rPr>
                <w:sz w:val="22"/>
              </w:rPr>
              <w:t>84 528</w:t>
            </w:r>
          </w:p>
        </w:tc>
      </w:tr>
      <w:tr>
        <w:trPr>
          <w:cantSplit/>
        </w:trPr>
        <w:tc>
          <w:tcPr>
            <w:tcW w:type="dxa" w:w="964"/>
            <w:vAlign w:val="center"/>
          </w:tcPr>
          <w:p>
            <w:pPr>
              <w:pStyle w:val="TableText"/>
              <w:jc w:val="center"/>
            </w:pPr>
            <w:r>
              <w:rPr>
                <w:sz w:val="22"/>
              </w:rPr>
              <w:t>12–13</w:t>
            </w:r>
          </w:p>
        </w:tc>
        <w:tc>
          <w:tcPr>
            <w:tcW w:type="dxa" w:w="3515"/>
            <w:vAlign w:val="center"/>
          </w:tcPr>
          <w:p>
            <w:pPr>
              <w:pStyle w:val="TableText"/>
              <w:jc w:val="left"/>
            </w:pPr>
            <w:r>
              <w:rPr>
                <w:sz w:val="22"/>
              </w:rPr>
              <w:t>Измерения IEEE 802.11</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5</w:t>
            </w:r>
          </w:p>
        </w:tc>
        <w:tc>
          <w:tcPr>
            <w:tcW w:type="dxa" w:w="1531"/>
            <w:vAlign w:val="center"/>
          </w:tcPr>
          <w:p>
            <w:pPr>
              <w:pStyle w:val="TableText"/>
              <w:jc w:val="center"/>
            </w:pPr>
            <w:r>
              <w:rPr>
                <w:sz w:val="22"/>
              </w:rPr>
              <w:t>11.11–17.11</w:t>
            </w:r>
          </w:p>
        </w:tc>
        <w:tc>
          <w:tcPr>
            <w:tcW w:type="dxa" w:w="1361"/>
            <w:vAlign w:val="center"/>
          </w:tcPr>
          <w:p>
            <w:pPr>
              <w:pStyle w:val="TableText"/>
              <w:jc w:val="right"/>
            </w:pPr>
            <w:r>
              <w:rPr>
                <w:sz w:val="22"/>
              </w:rPr>
              <w:t>46 960</w:t>
            </w:r>
          </w:p>
        </w:tc>
      </w:tr>
      <w:tr>
        <w:trPr>
          <w:cantSplit/>
        </w:trPr>
        <w:tc>
          <w:tcPr>
            <w:tcW w:type="dxa" w:w="964"/>
            <w:vAlign w:val="center"/>
          </w:tcPr>
          <w:p>
            <w:pPr>
              <w:pStyle w:val="TableText"/>
              <w:jc w:val="center"/>
            </w:pPr>
            <w:r>
              <w:rPr>
                <w:sz w:val="22"/>
              </w:rPr>
              <w:t>13–14</w:t>
            </w:r>
          </w:p>
        </w:tc>
        <w:tc>
          <w:tcPr>
            <w:tcW w:type="dxa" w:w="3515"/>
            <w:vAlign w:val="center"/>
          </w:tcPr>
          <w:p>
            <w:pPr>
              <w:pStyle w:val="TableText"/>
              <w:jc w:val="left"/>
            </w:pPr>
            <w:r>
              <w:rPr>
                <w:sz w:val="22"/>
              </w:rPr>
              <w:t>Обработка результатов</w:t>
            </w:r>
          </w:p>
        </w:tc>
        <w:tc>
          <w:tcPr>
            <w:tcW w:type="dxa" w:w="1134"/>
            <w:vAlign w:val="center"/>
          </w:tcPr>
          <w:p>
            <w:pPr>
              <w:pStyle w:val="TableText"/>
              <w:jc w:val="center"/>
            </w:pPr>
            <w:r>
              <w:rPr>
                <w:sz w:val="22"/>
              </w:rPr>
              <w:t>И, Т</w:t>
            </w:r>
          </w:p>
        </w:tc>
        <w:tc>
          <w:tcPr>
            <w:tcW w:type="dxa" w:w="850"/>
            <w:vAlign w:val="center"/>
          </w:tcPr>
          <w:p>
            <w:pPr>
              <w:pStyle w:val="TableText"/>
              <w:jc w:val="center"/>
            </w:pPr>
            <w:r>
              <w:rPr>
                <w:sz w:val="22"/>
              </w:rPr>
              <w:t>4</w:t>
            </w:r>
          </w:p>
        </w:tc>
        <w:tc>
          <w:tcPr>
            <w:tcW w:type="dxa" w:w="1531"/>
            <w:vAlign w:val="center"/>
          </w:tcPr>
          <w:p>
            <w:pPr>
              <w:pStyle w:val="TableText"/>
              <w:jc w:val="center"/>
            </w:pPr>
            <w:r>
              <w:rPr>
                <w:sz w:val="22"/>
              </w:rPr>
              <w:t>18.11–23.11</w:t>
            </w:r>
          </w:p>
        </w:tc>
        <w:tc>
          <w:tcPr>
            <w:tcW w:type="dxa" w:w="1361"/>
            <w:vAlign w:val="center"/>
          </w:tcPr>
          <w:p>
            <w:pPr>
              <w:pStyle w:val="TableText"/>
              <w:jc w:val="right"/>
            </w:pPr>
            <w:r>
              <w:rPr>
                <w:sz w:val="22"/>
              </w:rPr>
              <w:t>37 568</w:t>
            </w:r>
          </w:p>
        </w:tc>
      </w:tr>
      <w:tr>
        <w:trPr>
          <w:cantSplit/>
        </w:trPr>
        <w:tc>
          <w:tcPr>
            <w:tcW w:type="dxa" w:w="5613"/>
            <w:gridSpan w:val="3"/>
            <w:vAlign w:val="center"/>
          </w:tcPr>
          <w:p>
            <w:pPr>
              <w:pStyle w:val="TableText"/>
              <w:jc w:val="center"/>
            </w:pPr>
            <w:r>
              <w:rPr>
                <w:b/>
                <w:sz w:val="22"/>
              </w:rPr>
              <w:t>Стадия 4 (срок по заданию — 11.12)</w:t>
            </w:r>
          </w:p>
        </w:tc>
        <w:tc>
          <w:tcPr>
            <w:tcW w:type="dxa" w:w="850"/>
            <w:vAlign w:val="center"/>
          </w:tcPr>
          <w:p>
            <w:pPr>
              <w:pStyle w:val="TableText"/>
              <w:jc w:val="center"/>
            </w:pPr>
            <w:r>
              <w:rPr>
                <w:b/>
                <w:sz w:val="22"/>
              </w:rPr>
              <w:t>8</w:t>
            </w:r>
          </w:p>
        </w:tc>
        <w:tc>
          <w:tcPr>
            <w:tcW w:type="dxa" w:w="1531"/>
            <w:vAlign w:val="center"/>
          </w:tcPr>
          <w:p>
            <w:pPr>
              <w:pStyle w:val="TableText"/>
              <w:jc w:val="center"/>
            </w:pPr>
            <w:r>
              <w:rPr>
                <w:b/>
                <w:sz w:val="22"/>
              </w:rPr>
              <w:t>24.11–04.12</w:t>
            </w:r>
          </w:p>
        </w:tc>
        <w:tc>
          <w:tcPr>
            <w:tcW w:type="dxa" w:w="1361"/>
            <w:vAlign w:val="center"/>
          </w:tcPr>
          <w:p>
            <w:pPr>
              <w:pStyle w:val="TableText"/>
              <w:jc w:val="right"/>
            </w:pPr>
            <w:r>
              <w:rPr>
                <w:b/>
                <w:sz w:val="22"/>
              </w:rPr>
              <w:t>40 064</w:t>
            </w:r>
          </w:p>
        </w:tc>
      </w:tr>
      <w:tr>
        <w:trPr>
          <w:cantSplit/>
        </w:trPr>
        <w:tc>
          <w:tcPr>
            <w:tcW w:type="dxa" w:w="964"/>
            <w:vAlign w:val="center"/>
          </w:tcPr>
          <w:p>
            <w:pPr>
              <w:pStyle w:val="TableText"/>
              <w:jc w:val="center"/>
            </w:pPr>
            <w:r>
              <w:rPr>
                <w:sz w:val="22"/>
              </w:rPr>
              <w:t>14–15</w:t>
            </w:r>
          </w:p>
        </w:tc>
        <w:tc>
          <w:tcPr>
            <w:tcW w:type="dxa" w:w="3515"/>
            <w:vAlign w:val="center"/>
          </w:tcPr>
          <w:p>
            <w:pPr>
              <w:pStyle w:val="TableText"/>
              <w:jc w:val="left"/>
            </w:pPr>
            <w:r>
              <w:rPr>
                <w:sz w:val="22"/>
              </w:rPr>
              <w:t>Экономическая часть</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8</w:t>
            </w:r>
          </w:p>
        </w:tc>
        <w:tc>
          <w:tcPr>
            <w:tcW w:type="dxa" w:w="1531"/>
            <w:vAlign w:val="center"/>
          </w:tcPr>
          <w:p>
            <w:pPr>
              <w:pStyle w:val="TableText"/>
              <w:jc w:val="center"/>
            </w:pPr>
            <w:r>
              <w:rPr>
                <w:sz w:val="22"/>
              </w:rPr>
              <w:t>24.11–04.12</w:t>
            </w:r>
          </w:p>
        </w:tc>
        <w:tc>
          <w:tcPr>
            <w:tcW w:type="dxa" w:w="1361"/>
            <w:vAlign w:val="center"/>
          </w:tcPr>
          <w:p>
            <w:pPr>
              <w:pStyle w:val="TableText"/>
              <w:jc w:val="right"/>
            </w:pPr>
            <w:r>
              <w:rPr>
                <w:sz w:val="22"/>
              </w:rPr>
              <w:t>40 064</w:t>
            </w:r>
          </w:p>
        </w:tc>
      </w:tr>
      <w:tr>
        <w:trPr>
          <w:cantSplit/>
        </w:trPr>
        <w:tc>
          <w:tcPr>
            <w:tcW w:type="dxa" w:w="5613"/>
            <w:gridSpan w:val="3"/>
            <w:vAlign w:val="center"/>
          </w:tcPr>
          <w:p>
            <w:pPr>
              <w:pStyle w:val="TableText"/>
              <w:jc w:val="center"/>
            </w:pPr>
            <w:r>
              <w:rPr>
                <w:b/>
                <w:sz w:val="22"/>
              </w:rPr>
              <w:t>Стадия 5 (срок по заданию — 18.12)</w:t>
            </w:r>
          </w:p>
        </w:tc>
        <w:tc>
          <w:tcPr>
            <w:tcW w:type="dxa" w:w="850"/>
            <w:vAlign w:val="center"/>
          </w:tcPr>
          <w:p>
            <w:pPr>
              <w:pStyle w:val="TableText"/>
              <w:jc w:val="center"/>
            </w:pPr>
            <w:r>
              <w:rPr>
                <w:b/>
                <w:sz w:val="22"/>
              </w:rPr>
              <w:t>8</w:t>
            </w:r>
          </w:p>
        </w:tc>
        <w:tc>
          <w:tcPr>
            <w:tcW w:type="dxa" w:w="1531"/>
            <w:vAlign w:val="center"/>
          </w:tcPr>
          <w:p>
            <w:pPr>
              <w:pStyle w:val="TableText"/>
              <w:jc w:val="center"/>
            </w:pPr>
            <w:r>
              <w:rPr>
                <w:b/>
                <w:sz w:val="22"/>
              </w:rPr>
              <w:t>05.12–15.12</w:t>
            </w:r>
          </w:p>
        </w:tc>
        <w:tc>
          <w:tcPr>
            <w:tcW w:type="dxa" w:w="1361"/>
            <w:vAlign w:val="center"/>
          </w:tcPr>
          <w:p>
            <w:pPr>
              <w:pStyle w:val="TableText"/>
              <w:jc w:val="right"/>
            </w:pPr>
            <w:r>
              <w:rPr>
                <w:b/>
                <w:sz w:val="22"/>
              </w:rPr>
              <w:t>40 064</w:t>
            </w:r>
          </w:p>
        </w:tc>
      </w:tr>
      <w:tr>
        <w:trPr>
          <w:cantSplit/>
        </w:trPr>
        <w:tc>
          <w:tcPr>
            <w:tcW w:type="dxa" w:w="964"/>
            <w:vAlign w:val="center"/>
          </w:tcPr>
          <w:p>
            <w:pPr>
              <w:pStyle w:val="TableText"/>
              <w:jc w:val="center"/>
            </w:pPr>
            <w:r>
              <w:rPr>
                <w:sz w:val="22"/>
              </w:rPr>
              <w:t>15–16</w:t>
            </w:r>
          </w:p>
        </w:tc>
        <w:tc>
          <w:tcPr>
            <w:tcW w:type="dxa" w:w="3515"/>
            <w:vAlign w:val="center"/>
          </w:tcPr>
          <w:p>
            <w:pPr>
              <w:pStyle w:val="TableText"/>
              <w:jc w:val="left"/>
            </w:pPr>
            <w:r>
              <w:rPr>
                <w:sz w:val="22"/>
              </w:rPr>
              <w:t>Охрана труда</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8</w:t>
            </w:r>
          </w:p>
        </w:tc>
        <w:tc>
          <w:tcPr>
            <w:tcW w:type="dxa" w:w="1531"/>
            <w:vAlign w:val="center"/>
          </w:tcPr>
          <w:p>
            <w:pPr>
              <w:pStyle w:val="TableText"/>
              <w:jc w:val="center"/>
            </w:pPr>
            <w:r>
              <w:rPr>
                <w:sz w:val="22"/>
              </w:rPr>
              <w:t>05.12–15.12</w:t>
            </w:r>
          </w:p>
        </w:tc>
        <w:tc>
          <w:tcPr>
            <w:tcW w:type="dxa" w:w="1361"/>
            <w:vAlign w:val="center"/>
          </w:tcPr>
          <w:p>
            <w:pPr>
              <w:pStyle w:val="TableText"/>
              <w:jc w:val="right"/>
            </w:pPr>
            <w:r>
              <w:rPr>
                <w:sz w:val="22"/>
              </w:rPr>
              <w:t>40 064</w:t>
            </w:r>
          </w:p>
        </w:tc>
      </w:tr>
      <w:tr>
        <w:trPr>
          <w:cantSplit/>
        </w:trPr>
        <w:tc>
          <w:tcPr>
            <w:tcW w:type="dxa" w:w="5613"/>
            <w:gridSpan w:val="3"/>
            <w:vAlign w:val="center"/>
          </w:tcPr>
          <w:p>
            <w:pPr>
              <w:pStyle w:val="TableText"/>
              <w:jc w:val="center"/>
            </w:pPr>
            <w:r>
              <w:rPr>
                <w:b/>
                <w:sz w:val="22"/>
              </w:rPr>
              <w:t>Стадия 6 (срок по заданию — 21.12)</w:t>
            </w:r>
          </w:p>
        </w:tc>
        <w:tc>
          <w:tcPr>
            <w:tcW w:type="dxa" w:w="850"/>
            <w:vAlign w:val="center"/>
          </w:tcPr>
          <w:p>
            <w:pPr>
              <w:pStyle w:val="TableText"/>
              <w:jc w:val="center"/>
            </w:pPr>
            <w:r>
              <w:rPr>
                <w:b/>
                <w:sz w:val="22"/>
              </w:rPr>
              <w:t>4</w:t>
            </w:r>
          </w:p>
        </w:tc>
        <w:tc>
          <w:tcPr>
            <w:tcW w:type="dxa" w:w="1531"/>
            <w:vAlign w:val="center"/>
          </w:tcPr>
          <w:p>
            <w:pPr>
              <w:pStyle w:val="TableText"/>
              <w:jc w:val="center"/>
            </w:pPr>
            <w:r>
              <w:rPr>
                <w:b/>
                <w:sz w:val="22"/>
              </w:rPr>
              <w:t>16.12–21.12</w:t>
            </w:r>
          </w:p>
        </w:tc>
        <w:tc>
          <w:tcPr>
            <w:tcW w:type="dxa" w:w="1361"/>
            <w:vAlign w:val="center"/>
          </w:tcPr>
          <w:p>
            <w:pPr>
              <w:pStyle w:val="TableText"/>
              <w:jc w:val="right"/>
            </w:pPr>
            <w:r>
              <w:rPr>
                <w:b/>
                <w:sz w:val="22"/>
              </w:rPr>
              <w:t>23 544</w:t>
            </w:r>
          </w:p>
        </w:tc>
      </w:tr>
      <w:tr>
        <w:trPr>
          <w:cantSplit/>
        </w:trPr>
        <w:tc>
          <w:tcPr>
            <w:tcW w:type="dxa" w:w="964"/>
            <w:vAlign w:val="center"/>
          </w:tcPr>
          <w:p>
            <w:pPr>
              <w:pStyle w:val="TableText"/>
              <w:jc w:val="center"/>
            </w:pPr>
            <w:r>
              <w:rPr>
                <w:sz w:val="22"/>
              </w:rPr>
              <w:t>16–17</w:t>
            </w:r>
          </w:p>
        </w:tc>
        <w:tc>
          <w:tcPr>
            <w:tcW w:type="dxa" w:w="3515"/>
            <w:vAlign w:val="center"/>
          </w:tcPr>
          <w:p>
            <w:pPr>
              <w:pStyle w:val="TableText"/>
              <w:jc w:val="left"/>
            </w:pPr>
            <w:r>
              <w:rPr>
                <w:sz w:val="22"/>
              </w:rPr>
              <w:t>Выводы и предложения</w:t>
            </w:r>
          </w:p>
        </w:tc>
        <w:tc>
          <w:tcPr>
            <w:tcW w:type="dxa" w:w="1134"/>
            <w:vAlign w:val="center"/>
          </w:tcPr>
          <w:p>
            <w:pPr>
              <w:pStyle w:val="TableText"/>
              <w:jc w:val="center"/>
            </w:pPr>
            <w:r>
              <w:rPr>
                <w:sz w:val="22"/>
              </w:rPr>
              <w:t>И</w:t>
            </w:r>
          </w:p>
        </w:tc>
        <w:tc>
          <w:tcPr>
            <w:tcW w:type="dxa" w:w="850"/>
            <w:vAlign w:val="center"/>
          </w:tcPr>
          <w:p>
            <w:pPr>
              <w:pStyle w:val="TableText"/>
              <w:jc w:val="center"/>
            </w:pPr>
            <w:r>
              <w:rPr>
                <w:sz w:val="22"/>
              </w:rPr>
              <w:t>3</w:t>
            </w:r>
          </w:p>
        </w:tc>
        <w:tc>
          <w:tcPr>
            <w:tcW w:type="dxa" w:w="1531"/>
            <w:vAlign w:val="center"/>
          </w:tcPr>
          <w:p>
            <w:pPr>
              <w:pStyle w:val="TableText"/>
              <w:jc w:val="center"/>
            </w:pPr>
            <w:r>
              <w:rPr>
                <w:sz w:val="22"/>
              </w:rPr>
              <w:t>16.12–20.12</w:t>
            </w:r>
          </w:p>
        </w:tc>
        <w:tc>
          <w:tcPr>
            <w:tcW w:type="dxa" w:w="1361"/>
            <w:vAlign w:val="center"/>
          </w:tcPr>
          <w:p>
            <w:pPr>
              <w:pStyle w:val="TableText"/>
              <w:jc w:val="right"/>
            </w:pPr>
            <w:r>
              <w:rPr>
                <w:sz w:val="22"/>
              </w:rPr>
              <w:t>15 024</w:t>
            </w:r>
          </w:p>
        </w:tc>
      </w:tr>
      <w:tr>
        <w:trPr>
          <w:cantSplit/>
        </w:trPr>
        <w:tc>
          <w:tcPr>
            <w:tcW w:type="dxa" w:w="964"/>
            <w:vAlign w:val="center"/>
          </w:tcPr>
          <w:p>
            <w:pPr>
              <w:pStyle w:val="TableText"/>
              <w:jc w:val="center"/>
            </w:pPr>
            <w:r>
              <w:rPr>
                <w:sz w:val="22"/>
              </w:rPr>
              <w:t>17–18</w:t>
            </w:r>
          </w:p>
        </w:tc>
        <w:tc>
          <w:tcPr>
            <w:tcW w:type="dxa" w:w="3515"/>
            <w:vAlign w:val="center"/>
          </w:tcPr>
          <w:p>
            <w:pPr>
              <w:pStyle w:val="TableText"/>
              <w:jc w:val="left"/>
            </w:pPr>
            <w:r>
              <w:rPr>
                <w:sz w:val="22"/>
              </w:rPr>
              <w:t>Утверждение результатов</w:t>
            </w:r>
          </w:p>
        </w:tc>
        <w:tc>
          <w:tcPr>
            <w:tcW w:type="dxa" w:w="1134"/>
            <w:vAlign w:val="center"/>
          </w:tcPr>
          <w:p>
            <w:pPr>
              <w:pStyle w:val="TableText"/>
              <w:jc w:val="center"/>
            </w:pPr>
            <w:r>
              <w:rPr>
                <w:sz w:val="22"/>
              </w:rPr>
              <w:t>Р</w:t>
            </w:r>
          </w:p>
        </w:tc>
        <w:tc>
          <w:tcPr>
            <w:tcW w:type="dxa" w:w="850"/>
            <w:vAlign w:val="center"/>
          </w:tcPr>
          <w:p>
            <w:pPr>
              <w:pStyle w:val="TableText"/>
              <w:jc w:val="center"/>
            </w:pPr>
            <w:r>
              <w:rPr>
                <w:sz w:val="22"/>
              </w:rPr>
              <w:t>1</w:t>
            </w:r>
          </w:p>
        </w:tc>
        <w:tc>
          <w:tcPr>
            <w:tcW w:type="dxa" w:w="1531"/>
            <w:vAlign w:val="center"/>
          </w:tcPr>
          <w:p>
            <w:pPr>
              <w:pStyle w:val="TableText"/>
              <w:jc w:val="center"/>
            </w:pPr>
            <w:r>
              <w:rPr>
                <w:sz w:val="22"/>
              </w:rPr>
              <w:t>21.12–21.12</w:t>
            </w:r>
          </w:p>
        </w:tc>
        <w:tc>
          <w:tcPr>
            <w:tcW w:type="dxa" w:w="1361"/>
            <w:vAlign w:val="center"/>
          </w:tcPr>
          <w:p>
            <w:pPr>
              <w:pStyle w:val="TableText"/>
              <w:jc w:val="right"/>
            </w:pPr>
            <w:r>
              <w:rPr>
                <w:sz w:val="22"/>
              </w:rPr>
              <w:t>8 520</w:t>
            </w:r>
          </w:p>
        </w:tc>
      </w:tr>
      <w:tr>
        <w:trPr>
          <w:cantSplit/>
        </w:trPr>
        <w:tc>
          <w:tcPr>
            <w:tcW w:type="dxa" w:w="5613"/>
            <w:gridSpan w:val="3"/>
            <w:vAlign w:val="center"/>
          </w:tcPr>
          <w:p>
            <w:pPr>
              <w:pStyle w:val="TableText"/>
              <w:jc w:val="center"/>
            </w:pPr>
            <w:r>
              <w:rPr>
                <w:b/>
                <w:sz w:val="22"/>
              </w:rPr>
              <w:t>Итого заработная плата по тарифным ставкам</w:t>
            </w:r>
          </w:p>
        </w:tc>
        <w:tc>
          <w:tcPr>
            <w:tcW w:type="dxa" w:w="850"/>
            <w:vAlign w:val="center"/>
          </w:tcPr>
          <w:p>
            <w:pPr>
              <w:pStyle w:val="TableText"/>
              <w:jc w:val="center"/>
            </w:pPr>
            <w:r>
              <w:rPr>
                <w:b/>
                <w:sz w:val="22"/>
              </w:rPr>
              <w:t>65</w:t>
            </w:r>
          </w:p>
        </w:tc>
        <w:tc>
          <w:tcPr>
            <w:tcW w:type="dxa" w:w="1531"/>
            <w:vAlign w:val="center"/>
          </w:tcPr>
          <w:p>
            <w:pPr>
              <w:pStyle w:val="TableText"/>
              <w:jc w:val="center"/>
            </w:pPr>
            <w:r>
              <w:rPr>
                <w:b/>
                <w:sz w:val="22"/>
              </w:rPr>
              <w:t>22.09–21.12</w:t>
            </w:r>
          </w:p>
        </w:tc>
        <w:tc>
          <w:tcPr>
            <w:tcW w:type="dxa" w:w="1361"/>
            <w:vAlign w:val="center"/>
          </w:tcPr>
          <w:p>
            <w:pPr>
              <w:pStyle w:val="TableText"/>
              <w:jc w:val="right"/>
            </w:pPr>
            <w:r>
              <w:rPr>
                <w:b/>
                <w:sz w:val="22"/>
              </w:rPr>
              <w:t>502 368</w:t>
            </w:r>
          </w:p>
        </w:tc>
      </w:tr>
    </w:tbl>
    <w:p>
      <w:pPr>
        <w:spacing w:line="240" w:lineRule="auto"/>
      </w:pPr>
    </w:p>
    <w:p>
      <w:pPr>
        <w:keepNext/>
        <w:ind w:firstLine="0"/>
        <w:jc w:val="center"/>
      </w:pPr>
      <w:r>
        <w:drawing>
          <wp:inline xmlns:a="http://schemas.openxmlformats.org/drawingml/2006/main" xmlns:pic="http://schemas.openxmlformats.org/drawingml/2006/picture">
            <wp:extent cx="5940000" cy="6408947"/>
            <wp:docPr id="3" name="Picture 3"/>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940000" cy="6408947"/>
                    </a:xfrm>
                    <a:prstGeom prst="rect"/>
                  </pic:spPr>
                </pic:pic>
              </a:graphicData>
            </a:graphic>
          </wp:inline>
        </w:drawing>
      </w:r>
    </w:p>
    <w:p>
      <w:pPr>
        <w:ind w:firstLine="0"/>
        <w:jc w:val="center"/>
      </w:pPr>
      <w:r>
        <w:t>Рисунок 4.3 – Календарный график выполнения НИР (диаграмма Ганта; заработная плата — по тарифным ставкам)</w:t>
      </w:r>
    </w:p>
    <w:p>
      <w:pPr>
        <w:pStyle w:val="Heading2"/>
      </w:pPr>
      <w:r>
        <w:t>4.4 Определение затрат, себестоимости и цены НИР</w:t>
      </w:r>
    </w:p>
    <w:p>
      <w:pPr>
        <w:pStyle w:val="Heading3"/>
      </w:pPr>
      <w:r>
        <w:t>4.4.1 Затраты на оплату труда</w:t>
      </w:r>
    </w:p>
    <w:p>
      <w:r>
        <w:t>Часовая тарифная ставка исполнителя определяется делением месячного оклада на среднемесячный фонд рабочего времени: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τ</m:t>
                  </m:r>
                </m:e>
                <m:sub>
                  <m:r>
                    <m:rPr>
                      <m:sty m:val="p"/>
                    </m:rPr>
                    <w:rPr>
                      <w:rFonts w:ascii="Cambria Math" w:hAnsi="Cambria Math"/>
                    </w:rPr>
                    <m:t xml:space="preserve">i</m:t>
                  </m:r>
                </m:sub>
              </m:sSub>
              <m:r>
                <m:rPr>
                  <m:sty m:val="p"/>
                </m:rPr>
                <w:rPr>
                  <w:rFonts w:ascii="Cambria Math" w:hAnsi="Cambria Math"/>
                </w:rPr>
                <m:t xml:space="preserve"> = </m:t>
              </m:r>
              <m:f>
                <m:num>
                  <m:sSub>
                    <m:e>
                      <m:r>
                        <w:rPr>
                          <w:rFonts w:ascii="Cambria Math" w:hAnsi="Cambria Math"/>
                        </w:rPr>
                        <m:t xml:space="preserve">О</m:t>
                      </m:r>
                    </m:e>
                    <m:sub>
                      <m:r>
                        <m:rPr>
                          <m:sty m:val="p"/>
                        </m:rPr>
                        <w:rPr>
                          <w:rFonts w:ascii="Cambria Math" w:hAnsi="Cambria Math"/>
                        </w:rPr>
                        <m:t xml:space="preserve">i</m:t>
                      </m:r>
                    </m:sub>
                  </m:sSub>
                </m:num>
                <m:den>
                  <m:sSub>
                    <m:e>
                      <m:r>
                        <w:rPr>
                          <w:rFonts w:ascii="Cambria Math" w:hAnsi="Cambria Math"/>
                        </w:rPr>
                        <m:t xml:space="preserve">F</m:t>
                      </m:r>
                    </m:e>
                    <m:sub>
                      <m:r>
                        <m:rPr>
                          <m:sty m:val="p"/>
                        </m:rPr>
                        <w:rPr>
                          <w:rFonts w:ascii="Cambria Math" w:hAnsi="Cambria Math"/>
                        </w:rPr>
                        <m:t xml:space="preserve">м</m:t>
                      </m:r>
                    </m:sub>
                  </m:sSub>
                </m:den>
              </m:f>
              <m:r>
                <m:rPr>
                  <m:sty m:val="p"/>
                </m:rPr>
                <w:rPr>
                  <w:rFonts w:ascii="Cambria Math" w:hAnsi="Cambria Math"/>
                </w:rPr>
                <m:t xml:space="preserve">,</m:t>
              </m:r>
            </m:oMath>
          </w:p>
        </w:tc>
        <w:tc>
          <w:tcPr>
            <w:tcW w:type="dxa" w:w="1020"/>
            <w:vAlign w:val="center"/>
          </w:tcPr>
          <w:p>
            <w:pPr>
              <w:pStyle w:val="Formula"/>
              <w:jc w:val="right"/>
            </w:pPr>
            <w:r>
              <w:t>(4.14)</w:t>
            </w:r>
          </w:p>
        </w:tc>
      </w:tr>
    </w:tbl>
    <w:p>
      <w:pPr>
        <w:ind w:firstLine="0"/>
      </w:pPr>
      <w:r>
        <w:t xml:space="preserve">где </w:t>
      </w:r>
      <m:oMath>
        <m:sSub>
          <m:e>
            <m:r>
              <w:rPr>
                <w:rFonts w:ascii="Cambria Math" w:hAnsi="Cambria Math"/>
              </w:rPr>
              <m:t xml:space="preserve">О</m:t>
            </m:r>
          </m:e>
          <m:sub>
            <m:r>
              <m:rPr>
                <m:sty m:val="p"/>
              </m:rPr>
              <w:rPr>
                <w:rFonts w:ascii="Cambria Math" w:hAnsi="Cambria Math"/>
              </w:rPr>
              <m:t xml:space="preserve">i</m:t>
            </m:r>
          </m:sub>
        </m:sSub>
      </m:oMath>
      <w:r>
        <w:t xml:space="preserve"> – месячный оклад исполнителя i-й должности, руб.;</w:t>
      </w:r>
    </w:p>
    <w:p>
      <m:oMath>
        <m:sSub>
          <m:e>
            <m:r>
              <w:rPr>
                <w:rFonts w:ascii="Cambria Math" w:hAnsi="Cambria Math"/>
              </w:rPr>
              <m:t xml:space="preserve">F</m:t>
            </m:r>
          </m:e>
          <m:sub>
            <m:r>
              <m:rPr>
                <m:sty m:val="p"/>
              </m:rPr>
              <w:rPr>
                <w:rFonts w:ascii="Cambria Math" w:hAnsi="Cambria Math"/>
              </w:rPr>
              <m:t xml:space="preserve">м</m:t>
            </m:r>
          </m:sub>
        </m:sSub>
      </m:oMath>
      <w:r>
        <w:t xml:space="preserve"> – среднемесячный фонд рабочего времени; при 40-часовой рабочей неделе норма рабочего времени в 2026 г. составляет 1 972 ч [Э10], откуда </w:t>
      </w:r>
      <m:oMath>
        <m:sSub>
          <m:e>
            <m:r>
              <w:rPr>
                <w:rFonts w:ascii="Cambria Math" w:hAnsi="Cambria Math"/>
              </w:rPr>
              <m:t xml:space="preserve">F</m:t>
            </m:r>
          </m:e>
          <m:sub>
            <m:r>
              <m:rPr>
                <m:sty m:val="p"/>
              </m:rPr>
              <w:rPr>
                <w:rFonts w:ascii="Cambria Math" w:hAnsi="Cambria Math"/>
              </w:rPr>
              <m:t xml:space="preserve">м</m:t>
            </m:r>
          </m:sub>
        </m:sSub>
        <m:r>
          <m:rPr>
            <m:sty m:val="p"/>
          </m:rPr>
          <w:rPr>
            <w:rFonts w:ascii="Cambria Math" w:hAnsi="Cambria Math"/>
          </w:rPr>
          <m:t xml:space="preserve"> = 1 972/12 = 164,33</m:t>
        </m:r>
      </m:oMath>
      <w:r>
        <w:t xml:space="preserve"> ч.</w:t>
      </w:r>
    </w:p>
    <w:p>
      <w:r>
        <w:t>Месячные оклады определены по предложениям работодателей г. Москвы, опубликованным на портале hh.ru [Э11] (таблица 4.11). Инженеры, выполняющие основной объём работ, и техник — начинающие специалисты, поэтому их оклады приняты по медиане предложений для соискателей без опыта работы; оклад руководителя НИР — по медиане предложений для специалистов с опытом работы 3–6 лет. Суммы, указанные «на руки», пересчитаны в начисленные делением на 0,87 (налог на доходы физических лиц 13 % [Э12]); для диапазона принята его середина, для предложений «от» и «до» — указанная граница.</w:t>
      </w:r>
    </w:p>
    <w:p>
      <w:pPr>
        <w:pStyle w:val="TableCaption"/>
        <w:ind w:firstLine="0"/>
      </w:pPr>
      <w:r>
        <w:t>Таблица 4.11 – Предложения работодателей г. Москвы по вакансиям радиотехнического профиля (hh.ru, 24.09.2026)</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510"/>
        <w:gridCol w:w="5329"/>
        <w:gridCol w:w="2040"/>
        <w:gridCol w:w="1474"/>
      </w:tblGrid>
      <w:tr>
        <w:trPr>
          <w:cantSplit/>
          <w:tblHeader w:val="true"/>
        </w:trPr>
        <w:tc>
          <w:tcPr>
            <w:tcW w:type="dxa" w:w="510"/>
            <w:vAlign w:val="center"/>
          </w:tcPr>
          <w:p>
            <w:pPr>
              <w:pStyle w:val="TableText"/>
              <w:jc w:val="center"/>
            </w:pPr>
            <w:r>
              <w:rPr>
                <w:b/>
                <w:sz w:val="22"/>
              </w:rPr>
              <w:t>№</w:t>
            </w:r>
          </w:p>
        </w:tc>
        <w:tc>
          <w:tcPr>
            <w:tcW w:type="dxa" w:w="5329"/>
            <w:vAlign w:val="center"/>
          </w:tcPr>
          <w:p>
            <w:pPr>
              <w:pStyle w:val="TableText"/>
              <w:jc w:val="center"/>
            </w:pPr>
            <w:r>
              <w:rPr>
                <w:b/>
                <w:sz w:val="22"/>
              </w:rPr>
              <w:t>Должность (работодатель)</w:t>
            </w:r>
          </w:p>
        </w:tc>
        <w:tc>
          <w:tcPr>
            <w:tcW w:type="dxa" w:w="2041"/>
            <w:vAlign w:val="center"/>
          </w:tcPr>
          <w:p>
            <w:pPr>
              <w:pStyle w:val="TableText"/>
              <w:jc w:val="center"/>
            </w:pPr>
            <w:r>
              <w:rPr>
                <w:b/>
                <w:sz w:val="22"/>
              </w:rPr>
              <w:t>Предложение, руб./мес.</w:t>
            </w:r>
          </w:p>
        </w:tc>
        <w:tc>
          <w:tcPr>
            <w:tcW w:type="dxa" w:w="1474"/>
            <w:vAlign w:val="center"/>
          </w:tcPr>
          <w:p>
            <w:pPr>
              <w:pStyle w:val="TableText"/>
              <w:jc w:val="center"/>
            </w:pPr>
            <w:r>
              <w:rPr>
                <w:b/>
                <w:sz w:val="22"/>
              </w:rPr>
              <w:t>Начислено, руб./мес.</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Инженеры без опыта работы — медиана 102 874 руб.</w:t>
            </w:r>
          </w:p>
        </w:tc>
      </w:tr>
      <w:tr>
        <w:trPr>
          <w:cantSplit/>
        </w:trPr>
        <w:tc>
          <w:tcPr>
            <w:tcW w:type="dxa" w:w="510"/>
            <w:vAlign w:val="center"/>
          </w:tcPr>
          <w:p>
            <w:pPr>
              <w:pStyle w:val="TableText"/>
              <w:jc w:val="left"/>
            </w:pPr>
            <w:r>
              <w:rPr>
                <w:sz w:val="20"/>
              </w:rPr>
              <w:t>1</w:t>
            </w:r>
          </w:p>
        </w:tc>
        <w:tc>
          <w:tcPr>
            <w:tcW w:type="dxa" w:w="5329"/>
            <w:vAlign w:val="center"/>
          </w:tcPr>
          <w:p>
            <w:pPr>
              <w:pStyle w:val="TableText"/>
              <w:jc w:val="left"/>
            </w:pPr>
            <w:r>
              <w:rPr>
                <w:sz w:val="20"/>
              </w:rPr>
              <w:t>Младший инженер ЦОД (Рунити)</w:t>
            </w:r>
          </w:p>
        </w:tc>
        <w:tc>
          <w:tcPr>
            <w:tcW w:type="dxa" w:w="2041"/>
            <w:vAlign w:val="center"/>
          </w:tcPr>
          <w:p>
            <w:pPr>
              <w:pStyle w:val="TableText"/>
              <w:jc w:val="center"/>
            </w:pPr>
            <w:r>
              <w:rPr>
                <w:sz w:val="20"/>
              </w:rPr>
              <w:t>до 90 200</w:t>
            </w:r>
          </w:p>
        </w:tc>
        <w:tc>
          <w:tcPr>
            <w:tcW w:type="dxa" w:w="1474"/>
            <w:vAlign w:val="center"/>
          </w:tcPr>
          <w:p>
            <w:pPr>
              <w:pStyle w:val="TableText"/>
              <w:jc w:val="right"/>
            </w:pPr>
            <w:r>
              <w:rPr>
                <w:sz w:val="20"/>
              </w:rPr>
              <w:t>90 200</w:t>
            </w:r>
          </w:p>
        </w:tc>
      </w:tr>
      <w:tr>
        <w:trPr>
          <w:cantSplit/>
        </w:trPr>
        <w:tc>
          <w:tcPr>
            <w:tcW w:type="dxa" w:w="510"/>
            <w:vAlign w:val="center"/>
          </w:tcPr>
          <w:p>
            <w:pPr>
              <w:pStyle w:val="TableText"/>
              <w:jc w:val="left"/>
            </w:pPr>
            <w:r>
              <w:rPr>
                <w:sz w:val="20"/>
              </w:rPr>
              <w:t>2</w:t>
            </w:r>
          </w:p>
        </w:tc>
        <w:tc>
          <w:tcPr>
            <w:tcW w:type="dxa" w:w="5329"/>
            <w:vAlign w:val="center"/>
          </w:tcPr>
          <w:p>
            <w:pPr>
              <w:pStyle w:val="TableText"/>
              <w:jc w:val="left"/>
            </w:pPr>
            <w:r>
              <w:rPr>
                <w:sz w:val="20"/>
              </w:rPr>
              <w:t>Инженер-техник по обслуживанию базовых станций (СМАРТКОМСЕРВИС)</w:t>
            </w:r>
          </w:p>
        </w:tc>
        <w:tc>
          <w:tcPr>
            <w:tcW w:type="dxa" w:w="2041"/>
            <w:vAlign w:val="center"/>
          </w:tcPr>
          <w:p>
            <w:pPr>
              <w:pStyle w:val="TableText"/>
              <w:jc w:val="center"/>
            </w:pPr>
            <w:r>
              <w:rPr>
                <w:sz w:val="20"/>
              </w:rPr>
              <w:t>от 150 000, на руки</w:t>
            </w:r>
          </w:p>
        </w:tc>
        <w:tc>
          <w:tcPr>
            <w:tcW w:type="dxa" w:w="1474"/>
            <w:vAlign w:val="center"/>
          </w:tcPr>
          <w:p>
            <w:pPr>
              <w:pStyle w:val="TableText"/>
              <w:jc w:val="right"/>
            </w:pPr>
            <w:r>
              <w:rPr>
                <w:sz w:val="20"/>
              </w:rPr>
              <w:t>172 414</w:t>
            </w:r>
          </w:p>
        </w:tc>
      </w:tr>
      <w:tr>
        <w:trPr>
          <w:cantSplit/>
        </w:trPr>
        <w:tc>
          <w:tcPr>
            <w:tcW w:type="dxa" w:w="510"/>
            <w:vAlign w:val="center"/>
          </w:tcPr>
          <w:p>
            <w:pPr>
              <w:pStyle w:val="TableText"/>
              <w:jc w:val="left"/>
            </w:pPr>
            <w:r>
              <w:rPr>
                <w:sz w:val="20"/>
              </w:rPr>
              <w:t>3</w:t>
            </w:r>
          </w:p>
        </w:tc>
        <w:tc>
          <w:tcPr>
            <w:tcW w:type="dxa" w:w="5329"/>
            <w:vAlign w:val="center"/>
          </w:tcPr>
          <w:p>
            <w:pPr>
              <w:pStyle w:val="TableText"/>
              <w:jc w:val="left"/>
            </w:pPr>
            <w:r>
              <w:rPr>
                <w:sz w:val="20"/>
              </w:rPr>
              <w:t>Инженер (АО «ВНИИРТ»)</w:t>
            </w:r>
          </w:p>
        </w:tc>
        <w:tc>
          <w:tcPr>
            <w:tcW w:type="dxa" w:w="2041"/>
            <w:vAlign w:val="center"/>
          </w:tcPr>
          <w:p>
            <w:pPr>
              <w:pStyle w:val="TableText"/>
              <w:jc w:val="center"/>
            </w:pPr>
            <w:r>
              <w:rPr>
                <w:sz w:val="20"/>
              </w:rPr>
              <w:t>80 000–100 000</w:t>
            </w:r>
          </w:p>
        </w:tc>
        <w:tc>
          <w:tcPr>
            <w:tcW w:type="dxa" w:w="1474"/>
            <w:vAlign w:val="center"/>
          </w:tcPr>
          <w:p>
            <w:pPr>
              <w:pStyle w:val="TableText"/>
              <w:jc w:val="right"/>
            </w:pPr>
            <w:r>
              <w:rPr>
                <w:sz w:val="20"/>
              </w:rPr>
              <w:t>90 000</w:t>
            </w:r>
          </w:p>
        </w:tc>
      </w:tr>
      <w:tr>
        <w:trPr>
          <w:cantSplit/>
        </w:trPr>
        <w:tc>
          <w:tcPr>
            <w:tcW w:type="dxa" w:w="510"/>
            <w:vAlign w:val="center"/>
          </w:tcPr>
          <w:p>
            <w:pPr>
              <w:pStyle w:val="TableText"/>
              <w:jc w:val="left"/>
            </w:pPr>
            <w:r>
              <w:rPr>
                <w:sz w:val="20"/>
              </w:rPr>
              <w:t>4</w:t>
            </w:r>
          </w:p>
        </w:tc>
        <w:tc>
          <w:tcPr>
            <w:tcW w:type="dxa" w:w="5329"/>
            <w:vAlign w:val="center"/>
          </w:tcPr>
          <w:p>
            <w:pPr>
              <w:pStyle w:val="TableText"/>
              <w:jc w:val="left"/>
            </w:pPr>
            <w:r>
              <w:rPr>
                <w:sz w:val="20"/>
              </w:rPr>
              <w:t>Инженер (АО «Корпорация «Фазотрон-НИИР»)</w:t>
            </w:r>
          </w:p>
        </w:tc>
        <w:tc>
          <w:tcPr>
            <w:tcW w:type="dxa" w:w="2041"/>
            <w:vAlign w:val="center"/>
          </w:tcPr>
          <w:p>
            <w:pPr>
              <w:pStyle w:val="TableText"/>
              <w:jc w:val="center"/>
            </w:pPr>
            <w:r>
              <w:rPr>
                <w:sz w:val="20"/>
              </w:rPr>
              <w:t>90 000</w:t>
            </w:r>
          </w:p>
        </w:tc>
        <w:tc>
          <w:tcPr>
            <w:tcW w:type="dxa" w:w="1474"/>
            <w:vAlign w:val="center"/>
          </w:tcPr>
          <w:p>
            <w:pPr>
              <w:pStyle w:val="TableText"/>
              <w:jc w:val="right"/>
            </w:pPr>
            <w:r>
              <w:rPr>
                <w:sz w:val="20"/>
              </w:rPr>
              <w:t>90 000</w:t>
            </w:r>
          </w:p>
        </w:tc>
      </w:tr>
      <w:tr>
        <w:trPr>
          <w:cantSplit/>
        </w:trPr>
        <w:tc>
          <w:tcPr>
            <w:tcW w:type="dxa" w:w="510"/>
            <w:vAlign w:val="center"/>
          </w:tcPr>
          <w:p>
            <w:pPr>
              <w:pStyle w:val="TableText"/>
              <w:jc w:val="left"/>
            </w:pPr>
            <w:r>
              <w:rPr>
                <w:sz w:val="20"/>
              </w:rPr>
              <w:t>5</w:t>
            </w:r>
          </w:p>
        </w:tc>
        <w:tc>
          <w:tcPr>
            <w:tcW w:type="dxa" w:w="5329"/>
            <w:vAlign w:val="center"/>
          </w:tcPr>
          <w:p>
            <w:pPr>
              <w:pStyle w:val="TableText"/>
              <w:jc w:val="left"/>
            </w:pPr>
            <w:r>
              <w:rPr>
                <w:sz w:val="20"/>
              </w:rPr>
              <w:t>Инженер-технолог, микроэлектроника (АО «Российские космические системы»)</w:t>
            </w:r>
          </w:p>
        </w:tc>
        <w:tc>
          <w:tcPr>
            <w:tcW w:type="dxa" w:w="2041"/>
            <w:vAlign w:val="center"/>
          </w:tcPr>
          <w:p>
            <w:pPr>
              <w:pStyle w:val="TableText"/>
              <w:jc w:val="center"/>
            </w:pPr>
            <w:r>
              <w:rPr>
                <w:sz w:val="20"/>
              </w:rPr>
              <w:t>от 95 000, на руки</w:t>
            </w:r>
          </w:p>
        </w:tc>
        <w:tc>
          <w:tcPr>
            <w:tcW w:type="dxa" w:w="1474"/>
            <w:vAlign w:val="center"/>
          </w:tcPr>
          <w:p>
            <w:pPr>
              <w:pStyle w:val="TableText"/>
              <w:jc w:val="right"/>
            </w:pPr>
            <w:r>
              <w:rPr>
                <w:sz w:val="20"/>
              </w:rPr>
              <w:t>109 195</w:t>
            </w:r>
          </w:p>
        </w:tc>
      </w:tr>
      <w:tr>
        <w:trPr>
          <w:cantSplit/>
        </w:trPr>
        <w:tc>
          <w:tcPr>
            <w:tcW w:type="dxa" w:w="510"/>
            <w:vAlign w:val="center"/>
          </w:tcPr>
          <w:p>
            <w:pPr>
              <w:pStyle w:val="TableText"/>
              <w:jc w:val="left"/>
            </w:pPr>
            <w:r>
              <w:rPr>
                <w:sz w:val="20"/>
              </w:rPr>
              <w:t>6</w:t>
            </w:r>
          </w:p>
        </w:tc>
        <w:tc>
          <w:tcPr>
            <w:tcW w:type="dxa" w:w="5329"/>
            <w:vAlign w:val="center"/>
          </w:tcPr>
          <w:p>
            <w:pPr>
              <w:pStyle w:val="TableText"/>
              <w:jc w:val="left"/>
            </w:pPr>
            <w:r>
              <w:rPr>
                <w:sz w:val="20"/>
              </w:rPr>
              <w:t>Начинающий инженер по базовым станциям (ПАО «МегаФон»)</w:t>
            </w:r>
          </w:p>
        </w:tc>
        <w:tc>
          <w:tcPr>
            <w:tcW w:type="dxa" w:w="2041"/>
            <w:vAlign w:val="center"/>
          </w:tcPr>
          <w:p>
            <w:pPr>
              <w:pStyle w:val="TableText"/>
              <w:jc w:val="center"/>
            </w:pPr>
            <w:r>
              <w:rPr>
                <w:sz w:val="20"/>
              </w:rPr>
              <w:t>от 115 000</w:t>
            </w:r>
          </w:p>
        </w:tc>
        <w:tc>
          <w:tcPr>
            <w:tcW w:type="dxa" w:w="1474"/>
            <w:vAlign w:val="center"/>
          </w:tcPr>
          <w:p>
            <w:pPr>
              <w:pStyle w:val="TableText"/>
              <w:jc w:val="right"/>
            </w:pPr>
            <w:r>
              <w:rPr>
                <w:sz w:val="20"/>
              </w:rPr>
              <w:t>115 000</w:t>
            </w:r>
          </w:p>
        </w:tc>
      </w:tr>
      <w:tr>
        <w:trPr>
          <w:cantSplit/>
        </w:trPr>
        <w:tc>
          <w:tcPr>
            <w:tcW w:type="dxa" w:w="510"/>
            <w:vAlign w:val="center"/>
          </w:tcPr>
          <w:p>
            <w:pPr>
              <w:pStyle w:val="TableText"/>
              <w:jc w:val="left"/>
            </w:pPr>
            <w:r>
              <w:rPr>
                <w:sz w:val="20"/>
              </w:rPr>
              <w:t>7</w:t>
            </w:r>
          </w:p>
        </w:tc>
        <w:tc>
          <w:tcPr>
            <w:tcW w:type="dxa" w:w="5329"/>
            <w:vAlign w:val="center"/>
          </w:tcPr>
          <w:p>
            <w:pPr>
              <w:pStyle w:val="TableText"/>
              <w:jc w:val="left"/>
            </w:pPr>
            <w:r>
              <w:rPr>
                <w:sz w:val="20"/>
              </w:rPr>
              <w:t>Инженер-разработчик электронных схем (АО «Российские космические системы»)</w:t>
            </w:r>
          </w:p>
        </w:tc>
        <w:tc>
          <w:tcPr>
            <w:tcW w:type="dxa" w:w="2041"/>
            <w:vAlign w:val="center"/>
          </w:tcPr>
          <w:p>
            <w:pPr>
              <w:pStyle w:val="TableText"/>
              <w:jc w:val="center"/>
            </w:pPr>
            <w:r>
              <w:rPr>
                <w:sz w:val="20"/>
              </w:rPr>
              <w:t>70 000–80 000, на руки</w:t>
            </w:r>
          </w:p>
        </w:tc>
        <w:tc>
          <w:tcPr>
            <w:tcW w:type="dxa" w:w="1474"/>
            <w:vAlign w:val="center"/>
          </w:tcPr>
          <w:p>
            <w:pPr>
              <w:pStyle w:val="TableText"/>
              <w:jc w:val="right"/>
            </w:pPr>
            <w:r>
              <w:rPr>
                <w:sz w:val="20"/>
              </w:rPr>
              <w:t>86 207</w:t>
            </w:r>
          </w:p>
        </w:tc>
      </w:tr>
      <w:tr>
        <w:trPr>
          <w:cantSplit/>
        </w:trPr>
        <w:tc>
          <w:tcPr>
            <w:tcW w:type="dxa" w:w="510"/>
            <w:vAlign w:val="center"/>
          </w:tcPr>
          <w:p>
            <w:pPr>
              <w:pStyle w:val="TableText"/>
              <w:jc w:val="left"/>
            </w:pPr>
            <w:r>
              <w:rPr>
                <w:sz w:val="20"/>
              </w:rPr>
              <w:t>8</w:t>
            </w:r>
          </w:p>
        </w:tc>
        <w:tc>
          <w:tcPr>
            <w:tcW w:type="dxa" w:w="5329"/>
            <w:vAlign w:val="center"/>
          </w:tcPr>
          <w:p>
            <w:pPr>
              <w:pStyle w:val="TableText"/>
              <w:jc w:val="left"/>
            </w:pPr>
            <w:r>
              <w:rPr>
                <w:sz w:val="20"/>
              </w:rPr>
              <w:t>Инженер-разработчик бортовых радиокомплексов (АО «Российские космические системы»)</w:t>
            </w:r>
          </w:p>
        </w:tc>
        <w:tc>
          <w:tcPr>
            <w:tcW w:type="dxa" w:w="2041"/>
            <w:vAlign w:val="center"/>
          </w:tcPr>
          <w:p>
            <w:pPr>
              <w:pStyle w:val="TableText"/>
              <w:jc w:val="center"/>
            </w:pPr>
            <w:r>
              <w:rPr>
                <w:sz w:val="20"/>
              </w:rPr>
              <w:t>от 90 000, на руки</w:t>
            </w:r>
          </w:p>
        </w:tc>
        <w:tc>
          <w:tcPr>
            <w:tcW w:type="dxa" w:w="1474"/>
            <w:vAlign w:val="center"/>
          </w:tcPr>
          <w:p>
            <w:pPr>
              <w:pStyle w:val="TableText"/>
              <w:jc w:val="right"/>
            </w:pPr>
            <w:r>
              <w:rPr>
                <w:sz w:val="20"/>
              </w:rPr>
              <w:t>103 448</w:t>
            </w:r>
          </w:p>
        </w:tc>
      </w:tr>
      <w:tr>
        <w:trPr>
          <w:cantSplit/>
        </w:trPr>
        <w:tc>
          <w:tcPr>
            <w:tcW w:type="dxa" w:w="510"/>
            <w:vAlign w:val="center"/>
          </w:tcPr>
          <w:p>
            <w:pPr>
              <w:pStyle w:val="TableText"/>
              <w:jc w:val="left"/>
            </w:pPr>
            <w:r>
              <w:rPr>
                <w:sz w:val="20"/>
              </w:rPr>
              <w:t>9</w:t>
            </w:r>
          </w:p>
        </w:tc>
        <w:tc>
          <w:tcPr>
            <w:tcW w:type="dxa" w:w="5329"/>
            <w:vAlign w:val="center"/>
          </w:tcPr>
          <w:p>
            <w:pPr>
              <w:pStyle w:val="TableText"/>
              <w:jc w:val="left"/>
            </w:pPr>
            <w:r>
              <w:rPr>
                <w:sz w:val="20"/>
              </w:rPr>
              <w:t>Инженер-технолог по нормированию материалов (АО «Российские космические системы»)</w:t>
            </w:r>
          </w:p>
        </w:tc>
        <w:tc>
          <w:tcPr>
            <w:tcW w:type="dxa" w:w="2041"/>
            <w:vAlign w:val="center"/>
          </w:tcPr>
          <w:p>
            <w:pPr>
              <w:pStyle w:val="TableText"/>
              <w:jc w:val="center"/>
            </w:pPr>
            <w:r>
              <w:rPr>
                <w:sz w:val="20"/>
              </w:rPr>
              <w:t>до 89 500, на руки</w:t>
            </w:r>
          </w:p>
        </w:tc>
        <w:tc>
          <w:tcPr>
            <w:tcW w:type="dxa" w:w="1474"/>
            <w:vAlign w:val="center"/>
          </w:tcPr>
          <w:p>
            <w:pPr>
              <w:pStyle w:val="TableText"/>
              <w:jc w:val="right"/>
            </w:pPr>
            <w:r>
              <w:rPr>
                <w:sz w:val="20"/>
              </w:rPr>
              <w:t>102 874</w:t>
            </w:r>
          </w:p>
        </w:tc>
      </w:tr>
      <w:tr>
        <w:trPr>
          <w:cantSplit/>
        </w:trPr>
        <w:tc>
          <w:tcPr>
            <w:tcW w:type="dxa" w:w="510"/>
            <w:vAlign w:val="center"/>
          </w:tcPr>
          <w:p>
            <w:pPr>
              <w:pStyle w:val="TableText"/>
              <w:jc w:val="left"/>
            </w:pPr>
            <w:r>
              <w:rPr>
                <w:sz w:val="20"/>
              </w:rPr>
              <w:t>10</w:t>
            </w:r>
          </w:p>
        </w:tc>
        <w:tc>
          <w:tcPr>
            <w:tcW w:type="dxa" w:w="5329"/>
            <w:vAlign w:val="center"/>
          </w:tcPr>
          <w:p>
            <w:pPr>
              <w:pStyle w:val="TableText"/>
              <w:jc w:val="left"/>
            </w:pPr>
            <w:r>
              <w:rPr>
                <w:sz w:val="20"/>
              </w:rPr>
              <w:t>Государственный эксперт, радиотехник (ФГБУ ФИПС)</w:t>
            </w:r>
          </w:p>
        </w:tc>
        <w:tc>
          <w:tcPr>
            <w:tcW w:type="dxa" w:w="2041"/>
            <w:vAlign w:val="center"/>
          </w:tcPr>
          <w:p>
            <w:pPr>
              <w:pStyle w:val="TableText"/>
              <w:jc w:val="center"/>
            </w:pPr>
            <w:r>
              <w:rPr>
                <w:sz w:val="20"/>
              </w:rPr>
              <w:t>80 000</w:t>
            </w:r>
          </w:p>
        </w:tc>
        <w:tc>
          <w:tcPr>
            <w:tcW w:type="dxa" w:w="1474"/>
            <w:vAlign w:val="center"/>
          </w:tcPr>
          <w:p>
            <w:pPr>
              <w:pStyle w:val="TableText"/>
              <w:jc w:val="right"/>
            </w:pPr>
            <w:r>
              <w:rPr>
                <w:sz w:val="20"/>
              </w:rPr>
              <w:t>80 000</w:t>
            </w:r>
          </w:p>
        </w:tc>
      </w:tr>
      <w:tr>
        <w:trPr>
          <w:cantSplit/>
        </w:trPr>
        <w:tc>
          <w:tcPr>
            <w:tcW w:type="dxa" w:w="510"/>
            <w:vAlign w:val="center"/>
          </w:tcPr>
          <w:p>
            <w:pPr>
              <w:pStyle w:val="TableText"/>
              <w:jc w:val="left"/>
            </w:pPr>
            <w:r>
              <w:rPr>
                <w:sz w:val="20"/>
              </w:rPr>
              <w:t>11</w:t>
            </w:r>
          </w:p>
        </w:tc>
        <w:tc>
          <w:tcPr>
            <w:tcW w:type="dxa" w:w="5329"/>
            <w:vAlign w:val="center"/>
          </w:tcPr>
          <w:p>
            <w:pPr>
              <w:pStyle w:val="TableText"/>
              <w:jc w:val="left"/>
            </w:pPr>
            <w:r>
              <w:rPr>
                <w:sz w:val="20"/>
              </w:rPr>
              <w:t>Инженер-технолог 2 категории, СВЧ (АО «Российские космические системы»)</w:t>
            </w:r>
          </w:p>
        </w:tc>
        <w:tc>
          <w:tcPr>
            <w:tcW w:type="dxa" w:w="2041"/>
            <w:vAlign w:val="center"/>
          </w:tcPr>
          <w:p>
            <w:pPr>
              <w:pStyle w:val="TableText"/>
              <w:jc w:val="center"/>
            </w:pPr>
            <w:r>
              <w:rPr>
                <w:sz w:val="20"/>
              </w:rPr>
              <w:t>90 000, на руки</w:t>
            </w:r>
          </w:p>
        </w:tc>
        <w:tc>
          <w:tcPr>
            <w:tcW w:type="dxa" w:w="1474"/>
            <w:vAlign w:val="center"/>
          </w:tcPr>
          <w:p>
            <w:pPr>
              <w:pStyle w:val="TableText"/>
              <w:jc w:val="right"/>
            </w:pPr>
            <w:r>
              <w:rPr>
                <w:sz w:val="20"/>
              </w:rPr>
              <w:t>103 448</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Техники без опыта работы — медиана 89 973 руб.</w:t>
            </w:r>
          </w:p>
        </w:tc>
      </w:tr>
      <w:tr>
        <w:trPr>
          <w:cantSplit/>
        </w:trPr>
        <w:tc>
          <w:tcPr>
            <w:tcW w:type="dxa" w:w="510"/>
            <w:vAlign w:val="center"/>
          </w:tcPr>
          <w:p>
            <w:pPr>
              <w:pStyle w:val="TableText"/>
              <w:jc w:val="left"/>
            </w:pPr>
            <w:r>
              <w:rPr>
                <w:sz w:val="20"/>
              </w:rPr>
              <w:t>12</w:t>
            </w:r>
          </w:p>
        </w:tc>
        <w:tc>
          <w:tcPr>
            <w:tcW w:type="dxa" w:w="5329"/>
            <w:vAlign w:val="center"/>
          </w:tcPr>
          <w:p>
            <w:pPr>
              <w:pStyle w:val="TableText"/>
              <w:jc w:val="left"/>
            </w:pPr>
            <w:r>
              <w:rPr>
                <w:sz w:val="20"/>
              </w:rPr>
              <w:t>Техник (МГИМО)</w:t>
            </w:r>
          </w:p>
        </w:tc>
        <w:tc>
          <w:tcPr>
            <w:tcW w:type="dxa" w:w="2041"/>
            <w:vAlign w:val="center"/>
          </w:tcPr>
          <w:p>
            <w:pPr>
              <w:pStyle w:val="TableText"/>
              <w:jc w:val="center"/>
            </w:pPr>
            <w:r>
              <w:rPr>
                <w:sz w:val="20"/>
              </w:rPr>
              <w:t>70 750</w:t>
            </w:r>
          </w:p>
        </w:tc>
        <w:tc>
          <w:tcPr>
            <w:tcW w:type="dxa" w:w="1474"/>
            <w:vAlign w:val="center"/>
          </w:tcPr>
          <w:p>
            <w:pPr>
              <w:pStyle w:val="TableText"/>
              <w:jc w:val="right"/>
            </w:pPr>
            <w:r>
              <w:rPr>
                <w:sz w:val="20"/>
              </w:rPr>
              <w:t>70 750</w:t>
            </w:r>
          </w:p>
        </w:tc>
      </w:tr>
      <w:tr>
        <w:trPr>
          <w:cantSplit/>
        </w:trPr>
        <w:tc>
          <w:tcPr>
            <w:tcW w:type="dxa" w:w="510"/>
            <w:vAlign w:val="center"/>
          </w:tcPr>
          <w:p>
            <w:pPr>
              <w:pStyle w:val="TableText"/>
              <w:jc w:val="left"/>
            </w:pPr>
            <w:r>
              <w:rPr>
                <w:sz w:val="20"/>
              </w:rPr>
              <w:t>13</w:t>
            </w:r>
          </w:p>
        </w:tc>
        <w:tc>
          <w:tcPr>
            <w:tcW w:type="dxa" w:w="5329"/>
            <w:vAlign w:val="center"/>
          </w:tcPr>
          <w:p>
            <w:pPr>
              <w:pStyle w:val="TableText"/>
              <w:jc w:val="left"/>
            </w:pPr>
            <w:r>
              <w:rPr>
                <w:sz w:val="20"/>
              </w:rPr>
              <w:t>Радиомеханик по испытанию и ремонту РЭО (АО «Лазерсервис»)</w:t>
            </w:r>
          </w:p>
        </w:tc>
        <w:tc>
          <w:tcPr>
            <w:tcW w:type="dxa" w:w="2041"/>
            <w:vAlign w:val="center"/>
          </w:tcPr>
          <w:p>
            <w:pPr>
              <w:pStyle w:val="TableText"/>
              <w:jc w:val="center"/>
            </w:pPr>
            <w:r>
              <w:rPr>
                <w:sz w:val="20"/>
              </w:rPr>
              <w:t>100 000–135 000, на руки</w:t>
            </w:r>
          </w:p>
        </w:tc>
        <w:tc>
          <w:tcPr>
            <w:tcW w:type="dxa" w:w="1474"/>
            <w:vAlign w:val="center"/>
          </w:tcPr>
          <w:p>
            <w:pPr>
              <w:pStyle w:val="TableText"/>
              <w:jc w:val="right"/>
            </w:pPr>
            <w:r>
              <w:rPr>
                <w:sz w:val="20"/>
              </w:rPr>
              <w:t>135 057</w:t>
            </w:r>
          </w:p>
        </w:tc>
      </w:tr>
      <w:tr>
        <w:trPr>
          <w:cantSplit/>
        </w:trPr>
        <w:tc>
          <w:tcPr>
            <w:tcW w:type="dxa" w:w="510"/>
            <w:vAlign w:val="center"/>
          </w:tcPr>
          <w:p>
            <w:pPr>
              <w:pStyle w:val="TableText"/>
              <w:jc w:val="left"/>
            </w:pPr>
            <w:r>
              <w:rPr>
                <w:sz w:val="20"/>
              </w:rPr>
              <w:t>14</w:t>
            </w:r>
          </w:p>
        </w:tc>
        <w:tc>
          <w:tcPr>
            <w:tcW w:type="dxa" w:w="5329"/>
            <w:vAlign w:val="center"/>
          </w:tcPr>
          <w:p>
            <w:pPr>
              <w:pStyle w:val="TableText"/>
              <w:jc w:val="left"/>
            </w:pPr>
            <w:r>
              <w:rPr>
                <w:sz w:val="20"/>
              </w:rPr>
              <w:t>Регулировщик РЭА и П (АО «Российские космические системы»)</w:t>
            </w:r>
          </w:p>
        </w:tc>
        <w:tc>
          <w:tcPr>
            <w:tcW w:type="dxa" w:w="2041"/>
            <w:vAlign w:val="center"/>
          </w:tcPr>
          <w:p>
            <w:pPr>
              <w:pStyle w:val="TableText"/>
              <w:jc w:val="center"/>
            </w:pPr>
            <w:r>
              <w:rPr>
                <w:sz w:val="20"/>
              </w:rPr>
              <w:t>от 95 000, на руки</w:t>
            </w:r>
          </w:p>
        </w:tc>
        <w:tc>
          <w:tcPr>
            <w:tcW w:type="dxa" w:w="1474"/>
            <w:vAlign w:val="center"/>
          </w:tcPr>
          <w:p>
            <w:pPr>
              <w:pStyle w:val="TableText"/>
              <w:jc w:val="right"/>
            </w:pPr>
            <w:r>
              <w:rPr>
                <w:sz w:val="20"/>
              </w:rPr>
              <w:t>109 195</w:t>
            </w:r>
          </w:p>
        </w:tc>
      </w:tr>
      <w:tr>
        <w:trPr>
          <w:cantSplit/>
        </w:trPr>
        <w:tc>
          <w:tcPr>
            <w:tcW w:type="dxa" w:w="510"/>
            <w:vAlign w:val="center"/>
          </w:tcPr>
          <w:p>
            <w:pPr>
              <w:pStyle w:val="TableText"/>
              <w:jc w:val="left"/>
            </w:pPr>
            <w:r>
              <w:rPr>
                <w:sz w:val="20"/>
              </w:rPr>
              <w:t>15</w:t>
            </w:r>
          </w:p>
        </w:tc>
        <w:tc>
          <w:tcPr>
            <w:tcW w:type="dxa" w:w="5329"/>
            <w:vAlign w:val="center"/>
          </w:tcPr>
          <w:p>
            <w:pPr>
              <w:pStyle w:val="TableText"/>
              <w:jc w:val="left"/>
            </w:pPr>
            <w:r>
              <w:rPr>
                <w:sz w:val="20"/>
              </w:rPr>
              <w:t>Электромеханик (ОАО «РЖД»)</w:t>
            </w:r>
          </w:p>
        </w:tc>
        <w:tc>
          <w:tcPr>
            <w:tcW w:type="dxa" w:w="2041"/>
            <w:vAlign w:val="center"/>
          </w:tcPr>
          <w:p>
            <w:pPr>
              <w:pStyle w:val="TableText"/>
              <w:jc w:val="center"/>
            </w:pPr>
            <w:r>
              <w:rPr>
                <w:sz w:val="20"/>
              </w:rPr>
              <w:t>62 000</w:t>
            </w:r>
          </w:p>
        </w:tc>
        <w:tc>
          <w:tcPr>
            <w:tcW w:type="dxa" w:w="1474"/>
            <w:vAlign w:val="center"/>
          </w:tcPr>
          <w:p>
            <w:pPr>
              <w:pStyle w:val="TableText"/>
              <w:jc w:val="right"/>
            </w:pPr>
            <w:r>
              <w:rPr>
                <w:sz w:val="20"/>
              </w:rPr>
              <w:t>62 000</w:t>
            </w:r>
          </w:p>
        </w:tc>
      </w:tr>
      <w:tr>
        <w:trPr>
          <w:cantSplit/>
        </w:trPr>
        <w:tc>
          <w:tcPr>
            <w:tcW w:type="dxa" w:w="510"/>
            <w:vAlign w:val="center"/>
          </w:tcPr>
          <w:p>
            <w:pPr>
              <w:pStyle w:val="TableText"/>
              <w:jc w:val="left"/>
            </w:pPr>
            <w:r>
              <w:rPr>
                <w:b/>
                <w:sz w:val="20"/>
              </w:rPr>
            </w:r>
          </w:p>
        </w:tc>
        <w:tc>
          <w:tcPr>
            <w:tcW w:type="dxa" w:w="8844"/>
            <w:gridSpan w:val="3"/>
            <w:vAlign w:val="center"/>
          </w:tcPr>
          <w:p>
            <w:pPr>
              <w:pStyle w:val="TableText"/>
              <w:jc w:val="left"/>
            </w:pPr>
            <w:r>
              <w:rPr>
                <w:b/>
                <w:sz w:val="20"/>
              </w:rPr>
              <w:t>Специалисты с опытом работы 3–6 лет — медиана 175 000 руб.</w:t>
            </w:r>
          </w:p>
        </w:tc>
      </w:tr>
      <w:tr>
        <w:trPr>
          <w:cantSplit/>
        </w:trPr>
        <w:tc>
          <w:tcPr>
            <w:tcW w:type="dxa" w:w="510"/>
            <w:vAlign w:val="center"/>
          </w:tcPr>
          <w:p>
            <w:pPr>
              <w:pStyle w:val="TableText"/>
              <w:jc w:val="left"/>
            </w:pPr>
            <w:r>
              <w:rPr>
                <w:sz w:val="20"/>
              </w:rPr>
              <w:t>16</w:t>
            </w:r>
          </w:p>
        </w:tc>
        <w:tc>
          <w:tcPr>
            <w:tcW w:type="dxa" w:w="5329"/>
            <w:vAlign w:val="center"/>
          </w:tcPr>
          <w:p>
            <w:pPr>
              <w:pStyle w:val="TableText"/>
              <w:jc w:val="left"/>
            </w:pPr>
            <w:r>
              <w:rPr>
                <w:sz w:val="20"/>
              </w:rPr>
              <w:t>Ведущий радиоинженер (ООО «Рейнольдс»)</w:t>
            </w:r>
          </w:p>
        </w:tc>
        <w:tc>
          <w:tcPr>
            <w:tcW w:type="dxa" w:w="2041"/>
            <w:vAlign w:val="center"/>
          </w:tcPr>
          <w:p>
            <w:pPr>
              <w:pStyle w:val="TableText"/>
              <w:jc w:val="center"/>
            </w:pPr>
            <w:r>
              <w:rPr>
                <w:sz w:val="20"/>
              </w:rPr>
              <w:t>180 000–250 000</w:t>
            </w:r>
          </w:p>
        </w:tc>
        <w:tc>
          <w:tcPr>
            <w:tcW w:type="dxa" w:w="1474"/>
            <w:vAlign w:val="center"/>
          </w:tcPr>
          <w:p>
            <w:pPr>
              <w:pStyle w:val="TableText"/>
              <w:jc w:val="right"/>
            </w:pPr>
            <w:r>
              <w:rPr>
                <w:sz w:val="20"/>
              </w:rPr>
              <w:t>215 000</w:t>
            </w:r>
          </w:p>
        </w:tc>
      </w:tr>
      <w:tr>
        <w:trPr>
          <w:cantSplit/>
        </w:trPr>
        <w:tc>
          <w:tcPr>
            <w:tcW w:type="dxa" w:w="510"/>
            <w:vAlign w:val="center"/>
          </w:tcPr>
          <w:p>
            <w:pPr>
              <w:pStyle w:val="TableText"/>
              <w:jc w:val="left"/>
            </w:pPr>
            <w:r>
              <w:rPr>
                <w:sz w:val="20"/>
              </w:rPr>
              <w:t>17</w:t>
            </w:r>
          </w:p>
        </w:tc>
        <w:tc>
          <w:tcPr>
            <w:tcW w:type="dxa" w:w="5329"/>
            <w:vAlign w:val="center"/>
          </w:tcPr>
          <w:p>
            <w:pPr>
              <w:pStyle w:val="TableText"/>
              <w:jc w:val="left"/>
            </w:pPr>
            <w:r>
              <w:rPr>
                <w:sz w:val="20"/>
              </w:rPr>
              <w:t>Ведущий инженер по испытаниям радиопередающих устройств (Роскосмос)</w:t>
            </w:r>
          </w:p>
        </w:tc>
        <w:tc>
          <w:tcPr>
            <w:tcW w:type="dxa" w:w="2041"/>
            <w:vAlign w:val="center"/>
          </w:tcPr>
          <w:p>
            <w:pPr>
              <w:pStyle w:val="TableText"/>
              <w:jc w:val="center"/>
            </w:pPr>
            <w:r>
              <w:rPr>
                <w:sz w:val="20"/>
              </w:rPr>
              <w:t>от 150 000</w:t>
            </w:r>
          </w:p>
        </w:tc>
        <w:tc>
          <w:tcPr>
            <w:tcW w:type="dxa" w:w="1474"/>
            <w:vAlign w:val="center"/>
          </w:tcPr>
          <w:p>
            <w:pPr>
              <w:pStyle w:val="TableText"/>
              <w:jc w:val="right"/>
            </w:pPr>
            <w:r>
              <w:rPr>
                <w:sz w:val="20"/>
              </w:rPr>
              <w:t>150 000</w:t>
            </w:r>
          </w:p>
        </w:tc>
      </w:tr>
      <w:tr>
        <w:trPr>
          <w:cantSplit/>
        </w:trPr>
        <w:tc>
          <w:tcPr>
            <w:tcW w:type="dxa" w:w="510"/>
            <w:vAlign w:val="center"/>
          </w:tcPr>
          <w:p>
            <w:pPr>
              <w:pStyle w:val="TableText"/>
              <w:jc w:val="left"/>
            </w:pPr>
            <w:r>
              <w:rPr>
                <w:sz w:val="20"/>
              </w:rPr>
              <w:t>18</w:t>
            </w:r>
          </w:p>
        </w:tc>
        <w:tc>
          <w:tcPr>
            <w:tcW w:type="dxa" w:w="5329"/>
            <w:vAlign w:val="center"/>
          </w:tcPr>
          <w:p>
            <w:pPr>
              <w:pStyle w:val="TableText"/>
              <w:jc w:val="left"/>
            </w:pPr>
            <w:r>
              <w:rPr>
                <w:sz w:val="20"/>
              </w:rPr>
              <w:t>Инженер-радиотехник DMR/PoC (ООО «Радио-Дуплекс»)</w:t>
            </w:r>
          </w:p>
        </w:tc>
        <w:tc>
          <w:tcPr>
            <w:tcW w:type="dxa" w:w="2041"/>
            <w:vAlign w:val="center"/>
          </w:tcPr>
          <w:p>
            <w:pPr>
              <w:pStyle w:val="TableText"/>
              <w:jc w:val="center"/>
            </w:pPr>
            <w:r>
              <w:rPr>
                <w:sz w:val="20"/>
              </w:rPr>
              <w:t>150 000–200 000</w:t>
            </w:r>
          </w:p>
        </w:tc>
        <w:tc>
          <w:tcPr>
            <w:tcW w:type="dxa" w:w="1474"/>
            <w:vAlign w:val="center"/>
          </w:tcPr>
          <w:p>
            <w:pPr>
              <w:pStyle w:val="TableText"/>
              <w:jc w:val="right"/>
            </w:pPr>
            <w:r>
              <w:rPr>
                <w:sz w:val="20"/>
              </w:rPr>
              <w:t>175 000</w:t>
            </w:r>
          </w:p>
        </w:tc>
      </w:tr>
      <w:tr>
        <w:trPr>
          <w:cantSplit/>
        </w:trPr>
        <w:tc>
          <w:tcPr>
            <w:tcW w:type="dxa" w:w="510"/>
            <w:vAlign w:val="center"/>
          </w:tcPr>
          <w:p>
            <w:pPr>
              <w:pStyle w:val="TableText"/>
              <w:jc w:val="left"/>
            </w:pPr>
            <w:r>
              <w:rPr>
                <w:sz w:val="20"/>
              </w:rPr>
              <w:t>19</w:t>
            </w:r>
          </w:p>
        </w:tc>
        <w:tc>
          <w:tcPr>
            <w:tcW w:type="dxa" w:w="5329"/>
            <w:vAlign w:val="center"/>
          </w:tcPr>
          <w:p>
            <w:pPr>
              <w:pStyle w:val="TableText"/>
              <w:jc w:val="left"/>
            </w:pPr>
            <w:r>
              <w:rPr>
                <w:sz w:val="20"/>
              </w:rPr>
              <w:t>Радиоинженер (ООО «Компания Сайрус»)</w:t>
            </w:r>
          </w:p>
        </w:tc>
        <w:tc>
          <w:tcPr>
            <w:tcW w:type="dxa" w:w="2041"/>
            <w:vAlign w:val="center"/>
          </w:tcPr>
          <w:p>
            <w:pPr>
              <w:pStyle w:val="TableText"/>
              <w:jc w:val="center"/>
            </w:pPr>
            <w:r>
              <w:rPr>
                <w:sz w:val="20"/>
              </w:rPr>
              <w:t>от 100 000, на руки</w:t>
            </w:r>
          </w:p>
        </w:tc>
        <w:tc>
          <w:tcPr>
            <w:tcW w:type="dxa" w:w="1474"/>
            <w:vAlign w:val="center"/>
          </w:tcPr>
          <w:p>
            <w:pPr>
              <w:pStyle w:val="TableText"/>
              <w:jc w:val="right"/>
            </w:pPr>
            <w:r>
              <w:rPr>
                <w:sz w:val="20"/>
              </w:rPr>
              <w:t>114 943</w:t>
            </w:r>
          </w:p>
        </w:tc>
      </w:tr>
      <w:tr>
        <w:trPr>
          <w:cantSplit/>
        </w:trPr>
        <w:tc>
          <w:tcPr>
            <w:tcW w:type="dxa" w:w="510"/>
            <w:vAlign w:val="center"/>
          </w:tcPr>
          <w:p>
            <w:pPr>
              <w:pStyle w:val="TableText"/>
              <w:jc w:val="left"/>
            </w:pPr>
            <w:r>
              <w:rPr>
                <w:sz w:val="20"/>
              </w:rPr>
              <w:t>20</w:t>
            </w:r>
          </w:p>
        </w:tc>
        <w:tc>
          <w:tcPr>
            <w:tcW w:type="dxa" w:w="5329"/>
            <w:vAlign w:val="center"/>
          </w:tcPr>
          <w:p>
            <w:pPr>
              <w:pStyle w:val="TableText"/>
              <w:jc w:val="left"/>
            </w:pPr>
            <w:r>
              <w:rPr>
                <w:sz w:val="20"/>
              </w:rPr>
              <w:t>Начальник отдела радиоконтроля (ФГУП ГРЧЦ)</w:t>
            </w:r>
          </w:p>
        </w:tc>
        <w:tc>
          <w:tcPr>
            <w:tcW w:type="dxa" w:w="2041"/>
            <w:vAlign w:val="center"/>
          </w:tcPr>
          <w:p>
            <w:pPr>
              <w:pStyle w:val="TableText"/>
              <w:jc w:val="center"/>
            </w:pPr>
            <w:r>
              <w:rPr>
                <w:sz w:val="20"/>
              </w:rPr>
              <w:t>110 000–115 000</w:t>
            </w:r>
          </w:p>
        </w:tc>
        <w:tc>
          <w:tcPr>
            <w:tcW w:type="dxa" w:w="1474"/>
            <w:vAlign w:val="center"/>
          </w:tcPr>
          <w:p>
            <w:pPr>
              <w:pStyle w:val="TableText"/>
              <w:jc w:val="right"/>
            </w:pPr>
            <w:r>
              <w:rPr>
                <w:sz w:val="20"/>
              </w:rPr>
              <w:t>112 500</w:t>
            </w:r>
          </w:p>
        </w:tc>
      </w:tr>
      <w:tr>
        <w:trPr>
          <w:cantSplit/>
        </w:trPr>
        <w:tc>
          <w:tcPr>
            <w:tcW w:type="dxa" w:w="510"/>
            <w:vAlign w:val="center"/>
          </w:tcPr>
          <w:p>
            <w:pPr>
              <w:pStyle w:val="TableText"/>
              <w:jc w:val="left"/>
            </w:pPr>
            <w:r>
              <w:rPr>
                <w:sz w:val="20"/>
              </w:rPr>
              <w:t>21</w:t>
            </w:r>
          </w:p>
        </w:tc>
        <w:tc>
          <w:tcPr>
            <w:tcW w:type="dxa" w:w="5329"/>
            <w:vAlign w:val="center"/>
          </w:tcPr>
          <w:p>
            <w:pPr>
              <w:pStyle w:val="TableText"/>
              <w:jc w:val="left"/>
            </w:pPr>
            <w:r>
              <w:rPr>
                <w:sz w:val="20"/>
              </w:rPr>
              <w:t>Инженер-электроник по ремонту промышленной электроники (НПО «Техноинтеграция»)</w:t>
            </w:r>
          </w:p>
        </w:tc>
        <w:tc>
          <w:tcPr>
            <w:tcW w:type="dxa" w:w="2041"/>
            <w:vAlign w:val="center"/>
          </w:tcPr>
          <w:p>
            <w:pPr>
              <w:pStyle w:val="TableText"/>
              <w:jc w:val="center"/>
            </w:pPr>
            <w:r>
              <w:rPr>
                <w:sz w:val="20"/>
              </w:rPr>
              <w:t>150 000–230 000, на руки</w:t>
            </w:r>
          </w:p>
        </w:tc>
        <w:tc>
          <w:tcPr>
            <w:tcW w:type="dxa" w:w="1474"/>
            <w:vAlign w:val="center"/>
          </w:tcPr>
          <w:p>
            <w:pPr>
              <w:pStyle w:val="TableText"/>
              <w:jc w:val="right"/>
            </w:pPr>
            <w:r>
              <w:rPr>
                <w:sz w:val="20"/>
              </w:rPr>
              <w:t>218 391</w:t>
            </w:r>
          </w:p>
        </w:tc>
      </w:tr>
      <w:tr>
        <w:trPr>
          <w:cantSplit/>
        </w:trPr>
        <w:tc>
          <w:tcPr>
            <w:tcW w:type="dxa" w:w="510"/>
            <w:vAlign w:val="center"/>
          </w:tcPr>
          <w:p>
            <w:pPr>
              <w:pStyle w:val="TableText"/>
              <w:jc w:val="left"/>
            </w:pPr>
            <w:r>
              <w:rPr>
                <w:sz w:val="20"/>
              </w:rPr>
              <w:t>22</w:t>
            </w:r>
          </w:p>
        </w:tc>
        <w:tc>
          <w:tcPr>
            <w:tcW w:type="dxa" w:w="5329"/>
            <w:vAlign w:val="center"/>
          </w:tcPr>
          <w:p>
            <w:pPr>
              <w:pStyle w:val="TableText"/>
              <w:jc w:val="left"/>
            </w:pPr>
            <w:r>
              <w:rPr>
                <w:sz w:val="20"/>
              </w:rPr>
              <w:t>Инженер по автоматизации (ООО «Морена»)</w:t>
            </w:r>
          </w:p>
        </w:tc>
        <w:tc>
          <w:tcPr>
            <w:tcW w:type="dxa" w:w="2041"/>
            <w:vAlign w:val="center"/>
          </w:tcPr>
          <w:p>
            <w:pPr>
              <w:pStyle w:val="TableText"/>
              <w:jc w:val="center"/>
            </w:pPr>
            <w:r>
              <w:rPr>
                <w:sz w:val="20"/>
              </w:rPr>
              <w:t>150 000, на руки</w:t>
            </w:r>
          </w:p>
        </w:tc>
        <w:tc>
          <w:tcPr>
            <w:tcW w:type="dxa" w:w="1474"/>
            <w:vAlign w:val="center"/>
          </w:tcPr>
          <w:p>
            <w:pPr>
              <w:pStyle w:val="TableText"/>
              <w:jc w:val="right"/>
            </w:pPr>
            <w:r>
              <w:rPr>
                <w:sz w:val="20"/>
              </w:rPr>
              <w:t>172 414</w:t>
            </w:r>
          </w:p>
        </w:tc>
      </w:tr>
      <w:tr>
        <w:trPr>
          <w:cantSplit/>
        </w:trPr>
        <w:tc>
          <w:tcPr>
            <w:tcW w:type="dxa" w:w="510"/>
            <w:vAlign w:val="center"/>
          </w:tcPr>
          <w:p>
            <w:pPr>
              <w:pStyle w:val="TableText"/>
              <w:jc w:val="left"/>
            </w:pPr>
            <w:r>
              <w:rPr>
                <w:sz w:val="20"/>
              </w:rPr>
              <w:t>23</w:t>
            </w:r>
          </w:p>
        </w:tc>
        <w:tc>
          <w:tcPr>
            <w:tcW w:type="dxa" w:w="5329"/>
            <w:vAlign w:val="center"/>
          </w:tcPr>
          <w:p>
            <w:pPr>
              <w:pStyle w:val="TableText"/>
              <w:jc w:val="left"/>
            </w:pPr>
            <w:r>
              <w:rPr>
                <w:sz w:val="20"/>
              </w:rPr>
              <w:t>Инженер-разработчик проектов БПЛА (кадровое агентство)</w:t>
            </w:r>
          </w:p>
        </w:tc>
        <w:tc>
          <w:tcPr>
            <w:tcW w:type="dxa" w:w="2041"/>
            <w:vAlign w:val="center"/>
          </w:tcPr>
          <w:p>
            <w:pPr>
              <w:pStyle w:val="TableText"/>
              <w:jc w:val="center"/>
            </w:pPr>
            <w:r>
              <w:rPr>
                <w:sz w:val="20"/>
              </w:rPr>
              <w:t>350 000, на руки</w:t>
            </w:r>
          </w:p>
        </w:tc>
        <w:tc>
          <w:tcPr>
            <w:tcW w:type="dxa" w:w="1474"/>
            <w:vAlign w:val="center"/>
          </w:tcPr>
          <w:p>
            <w:pPr>
              <w:pStyle w:val="TableText"/>
              <w:jc w:val="right"/>
            </w:pPr>
            <w:r>
              <w:rPr>
                <w:sz w:val="20"/>
              </w:rPr>
              <w:t>402 299</w:t>
            </w:r>
          </w:p>
        </w:tc>
      </w:tr>
      <w:tr>
        <w:trPr>
          <w:cantSplit/>
        </w:trPr>
        <w:tc>
          <w:tcPr>
            <w:tcW w:type="dxa" w:w="510"/>
            <w:vAlign w:val="center"/>
          </w:tcPr>
          <w:p>
            <w:pPr>
              <w:pStyle w:val="TableText"/>
              <w:jc w:val="left"/>
            </w:pPr>
            <w:r>
              <w:rPr>
                <w:sz w:val="20"/>
              </w:rPr>
              <w:t>24</w:t>
            </w:r>
          </w:p>
        </w:tc>
        <w:tc>
          <w:tcPr>
            <w:tcW w:type="dxa" w:w="5329"/>
            <w:vAlign w:val="center"/>
          </w:tcPr>
          <w:p>
            <w:pPr>
              <w:pStyle w:val="TableText"/>
              <w:jc w:val="left"/>
            </w:pPr>
            <w:r>
              <w:rPr>
                <w:sz w:val="20"/>
              </w:rPr>
              <w:t>Ведущий инженер по интеграции и обслуживанию БПЛА (кадровое агентство)</w:t>
            </w:r>
          </w:p>
        </w:tc>
        <w:tc>
          <w:tcPr>
            <w:tcW w:type="dxa" w:w="2041"/>
            <w:vAlign w:val="center"/>
          </w:tcPr>
          <w:p>
            <w:pPr>
              <w:pStyle w:val="TableText"/>
              <w:jc w:val="center"/>
            </w:pPr>
            <w:r>
              <w:rPr>
                <w:sz w:val="20"/>
              </w:rPr>
              <w:t>350 000, на руки</w:t>
            </w:r>
          </w:p>
        </w:tc>
        <w:tc>
          <w:tcPr>
            <w:tcW w:type="dxa" w:w="1474"/>
            <w:vAlign w:val="center"/>
          </w:tcPr>
          <w:p>
            <w:pPr>
              <w:pStyle w:val="TableText"/>
              <w:jc w:val="right"/>
            </w:pPr>
            <w:r>
              <w:rPr>
                <w:sz w:val="20"/>
              </w:rPr>
              <w:t>402 299</w:t>
            </w:r>
          </w:p>
        </w:tc>
      </w:tr>
    </w:tbl>
    <w:p>
      <w:pPr>
        <w:spacing w:line="240" w:lineRule="auto"/>
      </w:pPr>
    </w:p>
    <w:p>
      <w:pPr>
        <w:pStyle w:val="TableCaption"/>
        <w:ind w:firstLine="0"/>
      </w:pPr>
      <w:r>
        <w:t>Таблица 4.12 – Часовые ставки исполнителей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1360"/>
        <w:gridCol w:w="3741"/>
        <w:gridCol w:w="1303"/>
      </w:tblGrid>
      <w:tr>
        <w:trPr>
          <w:cantSplit/>
          <w:tblHeader w:val="true"/>
        </w:trPr>
        <w:tc>
          <w:tcPr>
            <w:tcW w:type="dxa" w:w="2948"/>
            <w:vAlign w:val="center"/>
          </w:tcPr>
          <w:p>
            <w:pPr>
              <w:pStyle w:val="TableText"/>
              <w:keepNext/>
              <w:jc w:val="center"/>
            </w:pPr>
            <w:r>
              <w:rPr>
                <w:b/>
                <w:sz w:val="24"/>
              </w:rPr>
              <w:t>Должность исполнителя</w:t>
            </w:r>
          </w:p>
        </w:tc>
        <w:tc>
          <w:tcPr>
            <w:tcW w:type="dxa" w:w="1361"/>
            <w:vAlign w:val="center"/>
          </w:tcPr>
          <w:p>
            <w:pPr>
              <w:pStyle w:val="TableText"/>
              <w:keepNext/>
              <w:jc w:val="center"/>
            </w:pPr>
            <w:r>
              <w:rPr>
                <w:b/>
                <w:sz w:val="24"/>
              </w:rPr>
              <w:t>Оклад, руб./мес.</w:t>
            </w:r>
          </w:p>
        </w:tc>
        <w:tc>
          <w:tcPr>
            <w:tcW w:type="dxa" w:w="3742"/>
            <w:vAlign w:val="center"/>
          </w:tcPr>
          <w:p>
            <w:pPr>
              <w:pStyle w:val="TableText"/>
              <w:keepNext/>
              <w:jc w:val="center"/>
            </w:pPr>
            <w:r>
              <w:rPr>
                <w:b/>
                <w:sz w:val="24"/>
              </w:rPr>
              <w:t>Обоснование</w:t>
            </w:r>
          </w:p>
        </w:tc>
        <w:tc>
          <w:tcPr>
            <w:tcW w:type="dxa" w:w="1304"/>
            <w:vAlign w:val="center"/>
          </w:tcPr>
          <w:p>
            <w:pPr>
              <w:pStyle w:val="TableText"/>
              <w:keepNext/>
              <w:jc w:val="center"/>
            </w:pPr>
            <w:r>
              <w:rPr>
                <w:b/>
                <w:sz w:val="24"/>
              </w:rPr>
              <w:t>Часовая ставка, руб./ч</w:t>
            </w:r>
          </w:p>
        </w:tc>
      </w:tr>
      <w:tr>
        <w:trPr>
          <w:cantSplit/>
        </w:trPr>
        <w:tc>
          <w:tcPr>
            <w:tcW w:type="dxa" w:w="2948"/>
            <w:vAlign w:val="center"/>
          </w:tcPr>
          <w:p>
            <w:pPr>
              <w:pStyle w:val="TableText"/>
              <w:keepNext/>
              <w:jc w:val="left"/>
            </w:pPr>
            <w:r>
              <w:rPr>
                <w:sz w:val="24"/>
              </w:rPr>
              <w:t>Руководитель НИР (к.т.н.)</w:t>
            </w:r>
          </w:p>
        </w:tc>
        <w:tc>
          <w:tcPr>
            <w:tcW w:type="dxa" w:w="1361"/>
            <w:vAlign w:val="center"/>
          </w:tcPr>
          <w:p>
            <w:pPr>
              <w:pStyle w:val="TableText"/>
              <w:keepNext/>
              <w:jc w:val="center"/>
            </w:pPr>
            <w:r>
              <w:rPr>
                <w:sz w:val="24"/>
              </w:rPr>
              <w:t>175 000</w:t>
            </w:r>
          </w:p>
        </w:tc>
        <w:tc>
          <w:tcPr>
            <w:tcW w:type="dxa" w:w="3742"/>
            <w:vAlign w:val="center"/>
          </w:tcPr>
          <w:p>
            <w:pPr>
              <w:pStyle w:val="TableText"/>
              <w:keepNext/>
              <w:jc w:val="left"/>
            </w:pPr>
            <w:r>
              <w:rPr>
                <w:sz w:val="24"/>
              </w:rPr>
              <w:t>Медиана 9 предложений для специалистов с опытом 3–6 лет (таблица 4.11)</w:t>
            </w:r>
          </w:p>
        </w:tc>
        <w:tc>
          <w:tcPr>
            <w:tcW w:type="dxa" w:w="1304"/>
            <w:vAlign w:val="center"/>
          </w:tcPr>
          <w:p>
            <w:pPr>
              <w:pStyle w:val="TableText"/>
              <w:keepNext/>
              <w:jc w:val="center"/>
            </w:pPr>
            <w:r>
              <w:rPr>
                <w:sz w:val="24"/>
              </w:rPr>
              <w:t>1 065</w:t>
            </w:r>
          </w:p>
        </w:tc>
      </w:tr>
      <w:tr>
        <w:trPr>
          <w:cantSplit/>
        </w:trPr>
        <w:tc>
          <w:tcPr>
            <w:tcW w:type="dxa" w:w="2948"/>
            <w:vAlign w:val="center"/>
          </w:tcPr>
          <w:p>
            <w:pPr>
              <w:pStyle w:val="TableText"/>
              <w:keepNext/>
              <w:jc w:val="left"/>
            </w:pPr>
            <w:r>
              <w:rPr>
                <w:sz w:val="24"/>
              </w:rPr>
              <w:t>Инженер-исследователь (без опыта работы)</w:t>
            </w:r>
          </w:p>
        </w:tc>
        <w:tc>
          <w:tcPr>
            <w:tcW w:type="dxa" w:w="1361"/>
            <w:vAlign w:val="center"/>
          </w:tcPr>
          <w:p>
            <w:pPr>
              <w:pStyle w:val="TableText"/>
              <w:keepNext/>
              <w:jc w:val="center"/>
            </w:pPr>
            <w:r>
              <w:rPr>
                <w:sz w:val="24"/>
              </w:rPr>
              <w:t>102 900</w:t>
            </w:r>
          </w:p>
        </w:tc>
        <w:tc>
          <w:tcPr>
            <w:tcW w:type="dxa" w:w="3742"/>
            <w:vAlign w:val="center"/>
          </w:tcPr>
          <w:p>
            <w:pPr>
              <w:pStyle w:val="TableText"/>
              <w:keepNext/>
              <w:jc w:val="left"/>
            </w:pPr>
            <w:r>
              <w:rPr>
                <w:sz w:val="24"/>
              </w:rPr>
              <w:t>Медиана 11 предложений для инженеров без опыта работы (таблица 4.11)</w:t>
            </w:r>
          </w:p>
        </w:tc>
        <w:tc>
          <w:tcPr>
            <w:tcW w:type="dxa" w:w="1304"/>
            <w:vAlign w:val="center"/>
          </w:tcPr>
          <w:p>
            <w:pPr>
              <w:pStyle w:val="TableText"/>
              <w:keepNext/>
              <w:jc w:val="center"/>
            </w:pPr>
            <w:r>
              <w:rPr>
                <w:sz w:val="24"/>
              </w:rPr>
              <w:t>626</w:t>
            </w:r>
          </w:p>
        </w:tc>
      </w:tr>
      <w:tr>
        <w:trPr>
          <w:cantSplit/>
        </w:trPr>
        <w:tc>
          <w:tcPr>
            <w:tcW w:type="dxa" w:w="2948"/>
            <w:vAlign w:val="center"/>
          </w:tcPr>
          <w:p>
            <w:pPr>
              <w:pStyle w:val="TableText"/>
              <w:keepNext/>
              <w:jc w:val="left"/>
            </w:pPr>
            <w:r>
              <w:rPr>
                <w:sz w:val="24"/>
              </w:rPr>
              <w:t>Инженер-программист (без опыта работы)</w:t>
            </w:r>
          </w:p>
        </w:tc>
        <w:tc>
          <w:tcPr>
            <w:tcW w:type="dxa" w:w="1361"/>
            <w:vAlign w:val="center"/>
          </w:tcPr>
          <w:p>
            <w:pPr>
              <w:pStyle w:val="TableText"/>
              <w:keepNext/>
              <w:jc w:val="center"/>
            </w:pPr>
            <w:r>
              <w:rPr>
                <w:sz w:val="24"/>
              </w:rPr>
              <w:t>102 900</w:t>
            </w:r>
          </w:p>
        </w:tc>
        <w:tc>
          <w:tcPr>
            <w:tcW w:type="dxa" w:w="3742"/>
            <w:vAlign w:val="center"/>
          </w:tcPr>
          <w:p>
            <w:pPr>
              <w:pStyle w:val="TableText"/>
              <w:keepNext/>
              <w:jc w:val="left"/>
            </w:pPr>
            <w:r>
              <w:rPr>
                <w:sz w:val="24"/>
              </w:rPr>
              <w:t>Медиана 11 предложений для инженеров без опыта работы (таблица 4.11)</w:t>
            </w:r>
          </w:p>
        </w:tc>
        <w:tc>
          <w:tcPr>
            <w:tcW w:type="dxa" w:w="1304"/>
            <w:vAlign w:val="center"/>
          </w:tcPr>
          <w:p>
            <w:pPr>
              <w:pStyle w:val="TableText"/>
              <w:keepNext/>
              <w:jc w:val="center"/>
            </w:pPr>
            <w:r>
              <w:rPr>
                <w:sz w:val="24"/>
              </w:rPr>
              <w:t>626</w:t>
            </w:r>
          </w:p>
        </w:tc>
      </w:tr>
      <w:tr>
        <w:trPr>
          <w:cantSplit/>
        </w:trPr>
        <w:tc>
          <w:tcPr>
            <w:tcW w:type="dxa" w:w="2948"/>
            <w:vAlign w:val="center"/>
          </w:tcPr>
          <w:p>
            <w:pPr>
              <w:pStyle w:val="TableText"/>
              <w:jc w:val="left"/>
            </w:pPr>
            <w:r>
              <w:rPr>
                <w:sz w:val="24"/>
              </w:rPr>
              <w:t>Техник (без опыта работы)</w:t>
            </w:r>
          </w:p>
        </w:tc>
        <w:tc>
          <w:tcPr>
            <w:tcW w:type="dxa" w:w="1361"/>
            <w:vAlign w:val="center"/>
          </w:tcPr>
          <w:p>
            <w:pPr>
              <w:pStyle w:val="TableText"/>
              <w:jc w:val="center"/>
            </w:pPr>
            <w:r>
              <w:rPr>
                <w:sz w:val="24"/>
              </w:rPr>
              <w:t>90 000</w:t>
            </w:r>
          </w:p>
        </w:tc>
        <w:tc>
          <w:tcPr>
            <w:tcW w:type="dxa" w:w="3742"/>
            <w:vAlign w:val="center"/>
          </w:tcPr>
          <w:p>
            <w:pPr>
              <w:pStyle w:val="TableText"/>
              <w:jc w:val="left"/>
            </w:pPr>
            <w:r>
              <w:rPr>
                <w:sz w:val="24"/>
              </w:rPr>
              <w:t>Медиана 4 предложений для техников без опыта работы (таблица 4.11)</w:t>
            </w:r>
          </w:p>
        </w:tc>
        <w:tc>
          <w:tcPr>
            <w:tcW w:type="dxa" w:w="1304"/>
            <w:vAlign w:val="center"/>
          </w:tcPr>
          <w:p>
            <w:pPr>
              <w:pStyle w:val="TableText"/>
              <w:jc w:val="center"/>
            </w:pPr>
            <w:r>
              <w:rPr>
                <w:sz w:val="24"/>
              </w:rPr>
              <w:t>548</w:t>
            </w:r>
          </w:p>
        </w:tc>
      </w:tr>
    </w:tbl>
    <w:p>
      <w:pPr>
        <w:spacing w:line="240" w:lineRule="auto"/>
      </w:pPr>
    </w:p>
    <w:p>
      <w:r>
        <w:t>Заработная плата персонала по стадиям работ рассчитывается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ЗП.j</m:t>
                  </m:r>
                </m:sub>
              </m:sSub>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j</m:t>
                  </m:r>
                </m:sub>
              </m:sSub>
              <m:r>
                <m:rPr>
                  <m:sty m:val="p"/>
                </m:rPr>
                <w:rPr>
                  <w:rFonts w:ascii="Cambria Math" w:hAnsi="Cambria Math"/>
                </w:rPr>
                <m:t xml:space="preserve">·</m:t>
              </m:r>
              <m:bar>
                <m:barPr>
                  <m:pos m:val="top"/>
                </m:barPr>
                <m:e>
                  <m:sSub>
                    <m:e>
                      <m:r>
                        <w:rPr>
                          <w:rFonts w:ascii="Cambria Math" w:hAnsi="Cambria Math"/>
                        </w:rPr>
                        <m:t xml:space="preserve">τ</m:t>
                      </m:r>
                    </m:e>
                    <m:sub>
                      <m:r>
                        <m:rPr>
                          <m:sty m:val="p"/>
                        </m:rPr>
                        <w:rPr>
                          <w:rFonts w:ascii="Cambria Math" w:hAnsi="Cambria Math"/>
                        </w:rPr>
                        <m:t xml:space="preserve">j</m:t>
                      </m:r>
                    </m:sub>
                  </m:sSub>
                </m:e>
              </m:bar>
              <m:r>
                <m:rPr>
                  <m:sty m:val="p"/>
                </m:rPr>
                <w:rPr>
                  <w:rFonts w:ascii="Cambria Math" w:hAnsi="Cambria Math"/>
                </w:rPr>
                <m:t xml:space="preserve">,</m:t>
              </m:r>
            </m:oMath>
          </w:p>
        </w:tc>
        <w:tc>
          <w:tcPr>
            <w:tcW w:type="dxa" w:w="1020"/>
            <w:vAlign w:val="center"/>
          </w:tcPr>
          <w:p>
            <w:pPr>
              <w:pStyle w:val="Formula"/>
              <w:jc w:val="right"/>
            </w:pPr>
            <w:r>
              <w:t>(4.15)</w:t>
            </w:r>
          </w:p>
        </w:tc>
      </w:tr>
    </w:tbl>
    <w:p>
      <w:pPr>
        <w:ind w:firstLine="0"/>
      </w:pPr>
      <w:r>
        <w:t xml:space="preserve">где </w:t>
      </w:r>
      <m:oMath>
        <m:sSub>
          <m:e>
            <m:r>
              <w:rPr>
                <w:rFonts w:ascii="Cambria Math" w:hAnsi="Cambria Math"/>
              </w:rPr>
              <m:t xml:space="preserve">T</m:t>
            </m:r>
          </m:e>
          <m:sub>
            <m:r>
              <m:rPr>
                <m:sty m:val="p"/>
              </m:rPr>
              <w:rPr>
                <w:rFonts w:ascii="Cambria Math" w:hAnsi="Cambria Math"/>
              </w:rPr>
              <m:t xml:space="preserve">j</m:t>
            </m:r>
          </m:sub>
        </m:sSub>
      </m:oMath>
      <w:r>
        <w:t xml:space="preserve"> – трудоёмкость j-й стадии, чел.-дн.;</w:t>
      </w:r>
    </w:p>
    <w:p>
      <m:oMath>
        <m:bar>
          <m:barPr>
            <m:pos m:val="top"/>
          </m:barPr>
          <m:e>
            <m:sSub>
              <m:e>
                <m:r>
                  <w:rPr>
                    <w:rFonts w:ascii="Cambria Math" w:hAnsi="Cambria Math"/>
                  </w:rPr>
                  <m:t xml:space="preserve">τ</m:t>
                </m:r>
              </m:e>
              <m:sub>
                <m:r>
                  <m:rPr>
                    <m:sty m:val="p"/>
                  </m:rPr>
                  <w:rPr>
                    <w:rFonts w:ascii="Cambria Math" w:hAnsi="Cambria Math"/>
                  </w:rPr>
                  <m:t xml:space="preserve">j</m:t>
                </m:r>
              </m:sub>
            </m:sSub>
          </m:e>
        </m:bar>
      </m:oMath>
      <w:r>
        <w:t xml:space="preserve"> – средняя дневная ставка оплаты работ j-й стадии, руб.</w:t>
      </w:r>
    </w:p>
    <w:p>
      <w:r>
        <w:t>Дневная ставка исполнителя равна часовой ставке, умноженной на продолжительность рабочего дня (8 ч). Средняя дневная ставка стадии определена как средневзвешенная; поскольку занятость исполнителей на стадиях неодинакова, весами служит их трудоёмкость (при равной занятости это совпадает с взвешиванием по численности [Э4]). Результаты расчёта приведены в таблице 4.13; итог совпадает с итогом календарного графика (таблица 4.10).</w:t>
      </w:r>
    </w:p>
    <w:p>
      <w:pPr>
        <w:pStyle w:val="TableCaption"/>
        <w:ind w:firstLine="0"/>
      </w:pPr>
      <w:r>
        <w:t>Таблица 4.13 – Расчёт заработной платы персонала при оценке затрат на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793"/>
        <w:gridCol w:w="1247"/>
        <w:gridCol w:w="2494"/>
        <w:gridCol w:w="1020"/>
        <w:gridCol w:w="1247"/>
        <w:gridCol w:w="1360"/>
        <w:gridCol w:w="1190"/>
      </w:tblGrid>
      <w:tr>
        <w:trPr>
          <w:cantSplit/>
          <w:tblHeader w:val="true"/>
        </w:trPr>
        <w:tc>
          <w:tcPr>
            <w:tcW w:type="dxa" w:w="794"/>
            <w:vAlign w:val="center"/>
          </w:tcPr>
          <w:p>
            <w:pPr>
              <w:pStyle w:val="TableText"/>
              <w:keepNext/>
              <w:jc w:val="center"/>
            </w:pPr>
            <w:r>
              <w:rPr>
                <w:b/>
                <w:sz w:val="20"/>
              </w:rPr>
              <w:t>№ стадии</w:t>
            </w:r>
          </w:p>
        </w:tc>
        <w:tc>
          <w:tcPr>
            <w:tcW w:type="dxa" w:w="1247"/>
            <w:vAlign w:val="center"/>
          </w:tcPr>
          <w:p>
            <w:pPr>
              <w:pStyle w:val="TableText"/>
              <w:keepNext/>
              <w:jc w:val="center"/>
            </w:pPr>
            <w:r>
              <w:rPr>
                <w:b/>
                <w:sz w:val="20"/>
              </w:rPr>
              <w:t>Трудо-</w:t>
            </w:r>
          </w:p>
          <w:p>
            <w:pPr>
              <w:pStyle w:val="TableText"/>
              <w:keepNext/>
              <w:jc w:val="center"/>
            </w:pPr>
            <w:r>
              <w:rPr>
                <w:b/>
                <w:sz w:val="20"/>
              </w:rPr>
              <w:t>ёмкость стадии, чел.-дн.</w:t>
            </w:r>
          </w:p>
        </w:tc>
        <w:tc>
          <w:tcPr>
            <w:tcW w:type="dxa" w:w="2494"/>
            <w:vAlign w:val="center"/>
          </w:tcPr>
          <w:p>
            <w:pPr>
              <w:pStyle w:val="TableText"/>
              <w:keepNext/>
              <w:jc w:val="center"/>
            </w:pPr>
            <w:r>
              <w:rPr>
                <w:b/>
                <w:sz w:val="20"/>
              </w:rPr>
              <w:t>Должность</w:t>
            </w:r>
          </w:p>
        </w:tc>
        <w:tc>
          <w:tcPr>
            <w:tcW w:type="dxa" w:w="1020"/>
            <w:vAlign w:val="center"/>
          </w:tcPr>
          <w:p>
            <w:pPr>
              <w:pStyle w:val="TableText"/>
              <w:keepNext/>
              <w:jc w:val="center"/>
            </w:pPr>
            <w:r>
              <w:rPr>
                <w:b/>
                <w:sz w:val="20"/>
              </w:rPr>
              <w:t>Числен-</w:t>
            </w:r>
          </w:p>
          <w:p>
            <w:pPr>
              <w:pStyle w:val="TableText"/>
              <w:keepNext/>
              <w:jc w:val="center"/>
            </w:pPr>
            <w:r>
              <w:rPr>
                <w:b/>
                <w:sz w:val="20"/>
              </w:rPr>
              <w:t>ность, чел.</w:t>
            </w:r>
          </w:p>
        </w:tc>
        <w:tc>
          <w:tcPr>
            <w:tcW w:type="dxa" w:w="1247"/>
            <w:vAlign w:val="center"/>
          </w:tcPr>
          <w:p>
            <w:pPr>
              <w:pStyle w:val="TableText"/>
              <w:keepNext/>
              <w:jc w:val="center"/>
            </w:pPr>
            <w:r>
              <w:rPr>
                <w:b/>
                <w:sz w:val="20"/>
              </w:rPr>
              <w:t>Дневная ставка, руб.</w:t>
            </w:r>
          </w:p>
        </w:tc>
        <w:tc>
          <w:tcPr>
            <w:tcW w:type="dxa" w:w="1361"/>
            <w:vAlign w:val="center"/>
          </w:tcPr>
          <w:p>
            <w:pPr>
              <w:pStyle w:val="TableText"/>
              <w:keepNext/>
              <w:jc w:val="center"/>
            </w:pPr>
            <w:r>
              <w:rPr>
                <w:b/>
                <w:sz w:val="20"/>
              </w:rPr>
              <w:t>Средняя дневная ставка, руб.</w:t>
            </w:r>
          </w:p>
        </w:tc>
        <w:tc>
          <w:tcPr>
            <w:tcW w:type="dxa" w:w="1191"/>
            <w:vAlign w:val="center"/>
          </w:tcPr>
          <w:p>
            <w:pPr>
              <w:pStyle w:val="TableText"/>
              <w:keepNext/>
              <w:jc w:val="center"/>
            </w:pPr>
            <w:r>
              <w:rPr>
                <w:b/>
                <w:sz w:val="20"/>
              </w:rPr>
              <w:t>Заработ-</w:t>
            </w:r>
          </w:p>
          <w:p>
            <w:pPr>
              <w:pStyle w:val="TableText"/>
              <w:keepNext/>
              <w:jc w:val="center"/>
            </w:pPr>
            <w:r>
              <w:rPr>
                <w:b/>
                <w:sz w:val="20"/>
              </w:rPr>
              <w:t>ная плата, руб.</w:t>
            </w:r>
          </w:p>
        </w:tc>
      </w:tr>
      <w:tr>
        <w:trPr>
          <w:cantSplit/>
        </w:trPr>
        <w:tc>
          <w:tcPr>
            <w:tcW w:type="dxa" w:w="794"/>
            <w:vMerge w:val="restart"/>
            <w:vAlign w:val="center"/>
          </w:tcPr>
          <w:p>
            <w:pPr>
              <w:pStyle w:val="TableText"/>
              <w:keepNext/>
              <w:jc w:val="center"/>
            </w:pPr>
            <w:r>
              <w:rPr>
                <w:sz w:val="22"/>
              </w:rPr>
              <w:t>1</w:t>
            </w:r>
          </w:p>
        </w:tc>
        <w:tc>
          <w:tcPr>
            <w:tcW w:type="dxa" w:w="1247"/>
            <w:vMerge w:val="restart"/>
            <w:vAlign w:val="center"/>
          </w:tcPr>
          <w:p>
            <w:pPr>
              <w:pStyle w:val="TableText"/>
              <w:keepNext/>
              <w:jc w:val="center"/>
            </w:pPr>
            <w:r>
              <w:rPr>
                <w:sz w:val="22"/>
              </w:rPr>
              <w:t>10</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5 359,2</w:t>
            </w:r>
          </w:p>
        </w:tc>
        <w:tc>
          <w:tcPr>
            <w:tcW w:type="dxa" w:w="1191"/>
            <w:vMerge w:val="restart"/>
            <w:vAlign w:val="center"/>
          </w:tcPr>
          <w:p>
            <w:pPr>
              <w:pStyle w:val="TableText"/>
              <w:keepNext/>
              <w:jc w:val="right"/>
            </w:pPr>
            <w:r>
              <w:rPr>
                <w:sz w:val="22"/>
              </w:rPr>
              <w:t>53 592</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restart"/>
            <w:vAlign w:val="center"/>
          </w:tcPr>
          <w:p>
            <w:pPr>
              <w:pStyle w:val="TableText"/>
              <w:keepNext/>
              <w:jc w:val="center"/>
            </w:pPr>
            <w:r>
              <w:rPr>
                <w:sz w:val="22"/>
              </w:rPr>
              <w:t>2</w:t>
            </w:r>
          </w:p>
        </w:tc>
        <w:tc>
          <w:tcPr>
            <w:tcW w:type="dxa" w:w="1247"/>
            <w:vMerge w:val="restart"/>
            <w:vAlign w:val="center"/>
          </w:tcPr>
          <w:p>
            <w:pPr>
              <w:pStyle w:val="TableText"/>
              <w:keepNext/>
              <w:jc w:val="center"/>
            </w:pPr>
            <w:r>
              <w:rPr>
                <w:sz w:val="22"/>
              </w:rPr>
              <w:t>30</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5 242,1</w:t>
            </w:r>
          </w:p>
        </w:tc>
        <w:tc>
          <w:tcPr>
            <w:tcW w:type="dxa" w:w="1191"/>
            <w:vMerge w:val="restart"/>
            <w:vAlign w:val="center"/>
          </w:tcPr>
          <w:p>
            <w:pPr>
              <w:pStyle w:val="TableText"/>
              <w:keepNext/>
              <w:jc w:val="right"/>
            </w:pPr>
            <w:r>
              <w:rPr>
                <w:sz w:val="22"/>
              </w:rPr>
              <w:t>157 264</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Инженер-программист</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794"/>
            <w:vMerge w:val="restart"/>
            <w:vAlign w:val="center"/>
          </w:tcPr>
          <w:p>
            <w:pPr>
              <w:pStyle w:val="TableText"/>
              <w:keepNext/>
              <w:jc w:val="center"/>
            </w:pPr>
            <w:r>
              <w:rPr>
                <w:sz w:val="22"/>
              </w:rPr>
              <w:t>3</w:t>
            </w:r>
          </w:p>
        </w:tc>
        <w:tc>
          <w:tcPr>
            <w:tcW w:type="dxa" w:w="1247"/>
            <w:vMerge w:val="restart"/>
            <w:vAlign w:val="center"/>
          </w:tcPr>
          <w:p>
            <w:pPr>
              <w:pStyle w:val="TableText"/>
              <w:keepNext/>
              <w:jc w:val="center"/>
            </w:pPr>
            <w:r>
              <w:rPr>
                <w:sz w:val="22"/>
              </w:rPr>
              <w:t>40</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restart"/>
            <w:vAlign w:val="center"/>
          </w:tcPr>
          <w:p>
            <w:pPr>
              <w:pStyle w:val="TableText"/>
              <w:keepNext/>
              <w:jc w:val="center"/>
            </w:pPr>
            <w:r>
              <w:rPr>
                <w:sz w:val="22"/>
              </w:rPr>
              <w:t>4 696,0</w:t>
            </w:r>
          </w:p>
        </w:tc>
        <w:tc>
          <w:tcPr>
            <w:tcW w:type="dxa" w:w="1191"/>
            <w:vMerge w:val="restart"/>
            <w:vAlign w:val="center"/>
          </w:tcPr>
          <w:p>
            <w:pPr>
              <w:pStyle w:val="TableText"/>
              <w:keepNext/>
              <w:jc w:val="right"/>
            </w:pPr>
            <w:r>
              <w:rPr>
                <w:sz w:val="22"/>
              </w:rPr>
              <w:t>187 840</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Техник</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4 384</w:t>
            </w:r>
          </w:p>
        </w:tc>
        <w:tc>
          <w:tcPr>
            <w:tcW w:type="dxa" w:w="1361"/>
            <w:vMerge/>
            <w:vAlign w:val="center"/>
          </w:tcPr>
          <w:p/>
        </w:tc>
        <w:tc>
          <w:tcPr>
            <w:tcW w:type="dxa" w:w="1191"/>
            <w:vMerge/>
            <w:vAlign w:val="center"/>
          </w:tcPr>
          <w:p/>
        </w:tc>
      </w:tr>
      <w:tr>
        <w:trPr>
          <w:cantSplit/>
        </w:trPr>
        <w:tc>
          <w:tcPr>
            <w:tcW w:type="dxa" w:w="794"/>
            <w:vAlign w:val="center"/>
          </w:tcPr>
          <w:p>
            <w:pPr>
              <w:pStyle w:val="TableText"/>
              <w:keepNext/>
              <w:jc w:val="center"/>
            </w:pPr>
            <w:r>
              <w:rPr>
                <w:sz w:val="22"/>
              </w:rPr>
              <w:t>4</w:t>
            </w:r>
          </w:p>
        </w:tc>
        <w:tc>
          <w:tcPr>
            <w:tcW w:type="dxa" w:w="1247"/>
            <w:vAlign w:val="center"/>
          </w:tcPr>
          <w:p>
            <w:pPr>
              <w:pStyle w:val="TableText"/>
              <w:keepNext/>
              <w:jc w:val="center"/>
            </w:pPr>
            <w:r>
              <w:rPr>
                <w:sz w:val="22"/>
              </w:rPr>
              <w:t>8</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Align w:val="center"/>
          </w:tcPr>
          <w:p>
            <w:pPr>
              <w:pStyle w:val="TableText"/>
              <w:keepNext/>
              <w:jc w:val="center"/>
            </w:pPr>
            <w:r>
              <w:rPr>
                <w:sz w:val="22"/>
              </w:rPr>
              <w:t>5 008,0</w:t>
            </w:r>
          </w:p>
        </w:tc>
        <w:tc>
          <w:tcPr>
            <w:tcW w:type="dxa" w:w="1191"/>
            <w:vAlign w:val="center"/>
          </w:tcPr>
          <w:p>
            <w:pPr>
              <w:pStyle w:val="TableText"/>
              <w:keepNext/>
              <w:jc w:val="right"/>
            </w:pPr>
            <w:r>
              <w:rPr>
                <w:sz w:val="22"/>
              </w:rPr>
              <w:t>40 064</w:t>
            </w:r>
          </w:p>
        </w:tc>
      </w:tr>
      <w:tr>
        <w:trPr>
          <w:cantSplit/>
        </w:trPr>
        <w:tc>
          <w:tcPr>
            <w:tcW w:type="dxa" w:w="794"/>
            <w:vAlign w:val="center"/>
          </w:tcPr>
          <w:p>
            <w:pPr>
              <w:pStyle w:val="TableText"/>
              <w:keepNext/>
              <w:jc w:val="center"/>
            </w:pPr>
            <w:r>
              <w:rPr>
                <w:sz w:val="22"/>
              </w:rPr>
              <w:t>5</w:t>
            </w:r>
          </w:p>
        </w:tc>
        <w:tc>
          <w:tcPr>
            <w:tcW w:type="dxa" w:w="1247"/>
            <w:vAlign w:val="center"/>
          </w:tcPr>
          <w:p>
            <w:pPr>
              <w:pStyle w:val="TableText"/>
              <w:keepNext/>
              <w:jc w:val="center"/>
            </w:pPr>
            <w:r>
              <w:rPr>
                <w:sz w:val="22"/>
              </w:rPr>
              <w:t>8</w:t>
            </w: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Align w:val="center"/>
          </w:tcPr>
          <w:p>
            <w:pPr>
              <w:pStyle w:val="TableText"/>
              <w:keepNext/>
              <w:jc w:val="center"/>
            </w:pPr>
            <w:r>
              <w:rPr>
                <w:sz w:val="22"/>
              </w:rPr>
              <w:t>5 008,0</w:t>
            </w:r>
          </w:p>
        </w:tc>
        <w:tc>
          <w:tcPr>
            <w:tcW w:type="dxa" w:w="1191"/>
            <w:vAlign w:val="center"/>
          </w:tcPr>
          <w:p>
            <w:pPr>
              <w:pStyle w:val="TableText"/>
              <w:keepNext/>
              <w:jc w:val="right"/>
            </w:pPr>
            <w:r>
              <w:rPr>
                <w:sz w:val="22"/>
              </w:rPr>
              <w:t>40 064</w:t>
            </w:r>
          </w:p>
        </w:tc>
      </w:tr>
      <w:tr>
        <w:trPr>
          <w:cantSplit/>
        </w:trPr>
        <w:tc>
          <w:tcPr>
            <w:tcW w:type="dxa" w:w="794"/>
            <w:vMerge w:val="restart"/>
            <w:vAlign w:val="center"/>
          </w:tcPr>
          <w:p>
            <w:pPr>
              <w:pStyle w:val="TableText"/>
              <w:keepNext/>
              <w:jc w:val="center"/>
            </w:pPr>
            <w:r>
              <w:rPr>
                <w:sz w:val="22"/>
              </w:rPr>
              <w:t>6</w:t>
            </w:r>
          </w:p>
        </w:tc>
        <w:tc>
          <w:tcPr>
            <w:tcW w:type="dxa" w:w="1247"/>
            <w:vMerge w:val="restart"/>
            <w:vAlign w:val="center"/>
          </w:tcPr>
          <w:p>
            <w:pPr>
              <w:pStyle w:val="TableText"/>
              <w:keepNext/>
              <w:jc w:val="center"/>
            </w:pPr>
            <w:r>
              <w:rPr>
                <w:sz w:val="22"/>
              </w:rPr>
              <w:t>4</w:t>
            </w:r>
          </w:p>
        </w:tc>
        <w:tc>
          <w:tcPr>
            <w:tcW w:type="dxa" w:w="2494"/>
            <w:vAlign w:val="center"/>
          </w:tcPr>
          <w:p>
            <w:pPr>
              <w:pStyle w:val="TableText"/>
              <w:keepNext/>
              <w:jc w:val="left"/>
            </w:pPr>
            <w:r>
              <w:rPr>
                <w:sz w:val="22"/>
              </w:rPr>
              <w:t>Руководитель НИР</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8 520</w:t>
            </w:r>
          </w:p>
        </w:tc>
        <w:tc>
          <w:tcPr>
            <w:tcW w:type="dxa" w:w="1361"/>
            <w:vMerge w:val="restart"/>
            <w:vAlign w:val="center"/>
          </w:tcPr>
          <w:p>
            <w:pPr>
              <w:pStyle w:val="TableText"/>
              <w:keepNext/>
              <w:jc w:val="center"/>
            </w:pPr>
            <w:r>
              <w:rPr>
                <w:sz w:val="22"/>
              </w:rPr>
              <w:t>5 886,0</w:t>
            </w:r>
          </w:p>
        </w:tc>
        <w:tc>
          <w:tcPr>
            <w:tcW w:type="dxa" w:w="1191"/>
            <w:vMerge w:val="restart"/>
            <w:vAlign w:val="center"/>
          </w:tcPr>
          <w:p>
            <w:pPr>
              <w:pStyle w:val="TableText"/>
              <w:keepNext/>
              <w:jc w:val="right"/>
            </w:pPr>
            <w:r>
              <w:rPr>
                <w:sz w:val="22"/>
              </w:rPr>
              <w:t>23 544</w:t>
            </w:r>
          </w:p>
        </w:tc>
      </w:tr>
      <w:tr>
        <w:trPr>
          <w:cantSplit/>
        </w:trPr>
        <w:tc>
          <w:tcPr>
            <w:tcW w:type="dxa" w:w="794"/>
            <w:vMerge/>
            <w:vAlign w:val="center"/>
          </w:tcPr>
          <w:p/>
        </w:tc>
        <w:tc>
          <w:tcPr>
            <w:tcW w:type="dxa" w:w="1247"/>
            <w:vMerge/>
            <w:vAlign w:val="center"/>
          </w:tcPr>
          <w:p/>
        </w:tc>
        <w:tc>
          <w:tcPr>
            <w:tcW w:type="dxa" w:w="2494"/>
            <w:vAlign w:val="center"/>
          </w:tcPr>
          <w:p>
            <w:pPr>
              <w:pStyle w:val="TableText"/>
              <w:keepNext/>
              <w:jc w:val="left"/>
            </w:pPr>
            <w:r>
              <w:rPr>
                <w:sz w:val="22"/>
              </w:rPr>
              <w:t>Инженер-исследователь</w:t>
            </w:r>
          </w:p>
        </w:tc>
        <w:tc>
          <w:tcPr>
            <w:tcW w:type="dxa" w:w="1020"/>
            <w:vAlign w:val="center"/>
          </w:tcPr>
          <w:p>
            <w:pPr>
              <w:pStyle w:val="TableText"/>
              <w:keepNext/>
              <w:jc w:val="center"/>
            </w:pPr>
            <w:r>
              <w:rPr>
                <w:sz w:val="22"/>
              </w:rPr>
              <w:t>1</w:t>
            </w:r>
          </w:p>
        </w:tc>
        <w:tc>
          <w:tcPr>
            <w:tcW w:type="dxa" w:w="1247"/>
            <w:vAlign w:val="center"/>
          </w:tcPr>
          <w:p>
            <w:pPr>
              <w:pStyle w:val="TableText"/>
              <w:keepNext/>
              <w:jc w:val="center"/>
            </w:pPr>
            <w:r>
              <w:rPr>
                <w:sz w:val="22"/>
              </w:rPr>
              <w:t>5 008</w:t>
            </w:r>
          </w:p>
        </w:tc>
        <w:tc>
          <w:tcPr>
            <w:tcW w:type="dxa" w:w="1361"/>
            <w:vMerge/>
            <w:vAlign w:val="center"/>
          </w:tcPr>
          <w:p/>
        </w:tc>
        <w:tc>
          <w:tcPr>
            <w:tcW w:type="dxa" w:w="1191"/>
            <w:vMerge/>
            <w:vAlign w:val="center"/>
          </w:tcPr>
          <w:p/>
        </w:tc>
      </w:tr>
      <w:tr>
        <w:trPr>
          <w:cantSplit/>
        </w:trPr>
        <w:tc>
          <w:tcPr>
            <w:tcW w:type="dxa" w:w="8163"/>
            <w:gridSpan w:val="6"/>
            <w:vAlign w:val="center"/>
          </w:tcPr>
          <w:p>
            <w:pPr>
              <w:pStyle w:val="TableText"/>
              <w:keepNext/>
              <w:jc w:val="center"/>
            </w:pPr>
            <w:r>
              <w:rPr>
                <w:sz w:val="22"/>
              </w:rPr>
              <w:t>Итого по тарифным ставкам</w:t>
            </w:r>
          </w:p>
        </w:tc>
        <w:tc>
          <w:tcPr>
            <w:tcW w:type="dxa" w:w="1191"/>
            <w:vAlign w:val="center"/>
          </w:tcPr>
          <w:p>
            <w:pPr>
              <w:pStyle w:val="TableText"/>
              <w:keepNext/>
              <w:jc w:val="right"/>
            </w:pPr>
            <w:r>
              <w:rPr>
                <w:sz w:val="22"/>
              </w:rPr>
              <w:t>502 368</w:t>
            </w:r>
          </w:p>
        </w:tc>
      </w:tr>
      <w:tr>
        <w:trPr>
          <w:cantSplit/>
        </w:trPr>
        <w:tc>
          <w:tcPr>
            <w:tcW w:type="dxa" w:w="8163"/>
            <w:gridSpan w:val="6"/>
            <w:vAlign w:val="center"/>
          </w:tcPr>
          <w:p>
            <w:pPr>
              <w:pStyle w:val="TableText"/>
              <w:keepNext/>
              <w:jc w:val="center"/>
            </w:pPr>
            <w:r>
              <w:rPr>
                <w:sz w:val="22"/>
              </w:rPr>
              <w:t>Премиальные выплаты (20 %)</w:t>
            </w:r>
          </w:p>
        </w:tc>
        <w:tc>
          <w:tcPr>
            <w:tcW w:type="dxa" w:w="1191"/>
            <w:vAlign w:val="center"/>
          </w:tcPr>
          <w:p>
            <w:pPr>
              <w:pStyle w:val="TableText"/>
              <w:keepNext/>
              <w:jc w:val="right"/>
            </w:pPr>
            <w:r>
              <w:rPr>
                <w:sz w:val="22"/>
              </w:rPr>
              <w:t>100 474</w:t>
            </w:r>
          </w:p>
        </w:tc>
      </w:tr>
      <w:tr>
        <w:trPr>
          <w:cantSplit/>
        </w:trPr>
        <w:tc>
          <w:tcPr>
            <w:tcW w:type="dxa" w:w="8163"/>
            <w:gridSpan w:val="6"/>
            <w:vAlign w:val="center"/>
          </w:tcPr>
          <w:p>
            <w:pPr>
              <w:pStyle w:val="TableText"/>
              <w:jc w:val="center"/>
            </w:pPr>
            <w:r>
              <w:rPr>
                <w:b/>
                <w:sz w:val="22"/>
              </w:rPr>
              <w:t>Основная заработная плата</w:t>
            </w:r>
          </w:p>
        </w:tc>
        <w:tc>
          <w:tcPr>
            <w:tcW w:type="dxa" w:w="1191"/>
            <w:vAlign w:val="center"/>
          </w:tcPr>
          <w:p>
            <w:pPr>
              <w:pStyle w:val="TableText"/>
              <w:jc w:val="right"/>
            </w:pPr>
            <w:r>
              <w:rPr>
                <w:b/>
                <w:sz w:val="22"/>
              </w:rPr>
              <w:t>602 842</w:t>
            </w:r>
          </w:p>
        </w:tc>
      </w:tr>
    </w:tbl>
    <w:p>
      <w:pPr>
        <w:spacing w:line="240" w:lineRule="auto"/>
      </w:pPr>
    </w:p>
    <w:p>
      <w:pPr>
        <w:keepNext/>
      </w:pPr>
      <w:r>
        <w:t>Величина основной заработной платы — итог таблицы, скорректированный на премиальные выплаты 20 %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ЗП.осн</m:t>
                  </m:r>
                </m:sub>
              </m:sSub>
              <m:r>
                <m:rPr>
                  <m:sty m:val="p"/>
                </m:rPr>
                <w:rPr>
                  <w:rFonts w:ascii="Cambria Math" w:hAnsi="Cambria Math"/>
                </w:rPr>
                <m:t xml:space="preserve"> = </m:t>
              </m:r>
              <m:d>
                <m:e>
                  <m:r>
                    <m:rPr>
                      <m:sty m:val="p"/>
                    </m:rPr>
                    <w:rPr>
                      <w:rFonts w:ascii="Cambria Math" w:hAnsi="Cambria Math"/>
                    </w:rPr>
                    <m:t xml:space="preserve">1 + </m:t>
                  </m:r>
                  <m:sSub>
                    <m:e>
                      <m:r>
                        <w:rPr>
                          <w:rFonts w:ascii="Cambria Math" w:hAnsi="Cambria Math"/>
                        </w:rPr>
                        <m:t xml:space="preserve">k</m:t>
                      </m:r>
                    </m:e>
                    <m:sub>
                      <m:r>
                        <m:rPr>
                          <m:sty m:val="p"/>
                        </m:rPr>
                        <w:rPr>
                          <w:rFonts w:ascii="Cambria Math" w:hAnsi="Cambria Math"/>
                        </w:rPr>
                        <m:t xml:space="preserve">пр</m:t>
                      </m:r>
                    </m:sub>
                  </m:sSub>
                </m:e>
              </m:d>
              <m:r>
                <m:rPr>
                  <m:sty m:val="p"/>
                </m:rPr>
                <w:rPr>
                  <w:rFonts w:ascii="Cambria Math" w:hAnsi="Cambria Math"/>
                </w:rPr>
                <m:t xml:space="preserve">·</m:t>
              </m:r>
              <m:nary>
                <m:naryPr>
                  <m:chr m:val="∑"/>
                  <m:limLoc m:val="undOvr"/>
                  <m:supHide m:val="1"/>
                </m:naryPr>
                <m:sub>
                  <m:r>
                    <w:rPr>
                      <w:rFonts w:ascii="Cambria Math" w:hAnsi="Cambria Math"/>
                    </w:rPr>
                    <m:t xml:space="preserve">j</m:t>
                  </m:r>
                </m:sub>
                <m:sup/>
                <m:e>
                  <m:sSub>
                    <m:e>
                      <m:r>
                        <w:rPr>
                          <w:rFonts w:ascii="Cambria Math" w:hAnsi="Cambria Math"/>
                        </w:rPr>
                        <m:t xml:space="preserve">З</m:t>
                      </m:r>
                    </m:e>
                    <m:sub>
                      <m:r>
                        <m:rPr>
                          <m:sty m:val="p"/>
                        </m:rPr>
                        <w:rPr>
                          <w:rFonts w:ascii="Cambria Math" w:hAnsi="Cambria Math"/>
                        </w:rPr>
                        <m:t xml:space="preserve">ЗП.j</m:t>
                      </m:r>
                    </m:sub>
                  </m:sSub>
                </m:e>
              </m:nary>
              <m:r>
                <m:rPr>
                  <m:sty m:val="p"/>
                </m:rPr>
                <w:rPr>
                  <w:rFonts w:ascii="Cambria Math" w:hAnsi="Cambria Math"/>
                </w:rPr>
                <m:t xml:space="preserve"> = 1,2·502 368 = 602 842 руб.</m:t>
              </m:r>
            </m:oMath>
          </w:p>
        </w:tc>
        <w:tc>
          <w:tcPr>
            <w:tcW w:type="dxa" w:w="1020"/>
            <w:vAlign w:val="center"/>
          </w:tcPr>
          <w:p>
            <w:pPr>
              <w:pStyle w:val="Formula"/>
              <w:jc w:val="right"/>
            </w:pPr>
            <w:r>
              <w:t>(4.16)</w:t>
            </w:r>
          </w:p>
        </w:tc>
      </w:tr>
    </w:tbl>
    <w:p>
      <w:r>
        <w:t>Дополнительная заработная плата учитывает оплату ежегодного оплачиваемого отпуска продолжительностью 28 календарных дней, что соответствует 20 рабочим дням. Коэффициент дополнительной заработной платы: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k</m:t>
                  </m:r>
                </m:e>
                <m:sub>
                  <m:r>
                    <m:rPr>
                      <m:sty m:val="p"/>
                    </m:rPr>
                    <w:rPr>
                      <w:rFonts w:ascii="Cambria Math" w:hAnsi="Cambria Math"/>
                    </w:rPr>
                    <m:t xml:space="preserve">доп</m:t>
                  </m:r>
                </m:sub>
              </m:sSub>
              <m:r>
                <m:rPr>
                  <m:sty m:val="p"/>
                </m:rPr>
                <w:rPr>
                  <w:rFonts w:ascii="Cambria Math" w:hAnsi="Cambria Math"/>
                </w:rPr>
                <m:t xml:space="preserve"> = </m:t>
              </m:r>
              <m:f>
                <m:num>
                  <m:sSub>
                    <m:e>
                      <m:r>
                        <w:rPr>
                          <w:rFonts w:ascii="Cambria Math" w:hAnsi="Cambria Math"/>
                        </w:rPr>
                        <m:t xml:space="preserve">Д</m:t>
                      </m:r>
                    </m:e>
                    <m:sub>
                      <m:r>
                        <m:rPr>
                          <m:sty m:val="p"/>
                        </m:rPr>
                        <w:rPr>
                          <w:rFonts w:ascii="Cambria Math" w:hAnsi="Cambria Math"/>
                        </w:rPr>
                        <m:t xml:space="preserve">отп</m:t>
                      </m:r>
                    </m:sub>
                  </m:sSub>
                </m:num>
                <m:den>
                  <m:sSub>
                    <m:e>
                      <m:r>
                        <w:rPr>
                          <w:rFonts w:ascii="Cambria Math" w:hAnsi="Cambria Math"/>
                        </w:rPr>
                        <m:t xml:space="preserve">Д</m:t>
                      </m:r>
                    </m:e>
                    <m:sub>
                      <m:r>
                        <m:rPr>
                          <m:sty m:val="p"/>
                        </m:rPr>
                        <w:rPr>
                          <w:rFonts w:ascii="Cambria Math" w:hAnsi="Cambria Math"/>
                        </w:rPr>
                        <m:t xml:space="preserve">р</m:t>
                      </m:r>
                    </m:sub>
                  </m:sSub>
                  <m:r>
                    <m:rPr>
                      <m:sty m:val="p"/>
                    </m:rPr>
                    <w:rPr>
                      <w:rFonts w:ascii="Cambria Math" w:hAnsi="Cambria Math"/>
                    </w:rPr>
                    <m:t xml:space="preserve"> − </m:t>
                  </m:r>
                  <m:sSub>
                    <m:e>
                      <m:r>
                        <w:rPr>
                          <w:rFonts w:ascii="Cambria Math" w:hAnsi="Cambria Math"/>
                        </w:rPr>
                        <m:t xml:space="preserve">Д</m:t>
                      </m:r>
                    </m:e>
                    <m:sub>
                      <m:r>
                        <m:rPr>
                          <m:sty m:val="p"/>
                        </m:rPr>
                        <w:rPr>
                          <w:rFonts w:ascii="Cambria Math" w:hAnsi="Cambria Math"/>
                        </w:rPr>
                        <m:t xml:space="preserve">отп</m:t>
                      </m:r>
                    </m:sub>
                  </m:sSub>
                </m:den>
              </m:f>
              <m:r>
                <m:rPr>
                  <m:sty m:val="p"/>
                </m:rPr>
                <w:rPr>
                  <w:rFonts w:ascii="Cambria Math" w:hAnsi="Cambria Math"/>
                </w:rPr>
                <m:t xml:space="preserve"> = </m:t>
              </m:r>
              <m:f>
                <m:num>
                  <m:r>
                    <m:rPr>
                      <m:sty m:val="p"/>
                    </m:rPr>
                    <w:rPr>
                      <w:rFonts w:ascii="Cambria Math" w:hAnsi="Cambria Math"/>
                    </w:rPr>
                    <m:t xml:space="preserve">20</m:t>
                  </m:r>
                </m:num>
                <m:den>
                  <m:r>
                    <m:rPr>
                      <m:sty m:val="p"/>
                    </m:rPr>
                    <w:rPr>
                      <w:rFonts w:ascii="Cambria Math" w:hAnsi="Cambria Math"/>
                    </w:rPr>
                    <m:t xml:space="preserve">247 − 20</m:t>
                  </m:r>
                </m:den>
              </m:f>
              <m:r>
                <m:rPr>
                  <m:sty m:val="p"/>
                </m:rPr>
                <w:rPr>
                  <w:rFonts w:ascii="Cambria Math" w:hAnsi="Cambria Math"/>
                </w:rPr>
                <m:t xml:space="preserve"> = 0,088,</m:t>
              </m:r>
            </m:oMath>
          </w:p>
        </w:tc>
        <w:tc>
          <w:tcPr>
            <w:tcW w:type="dxa" w:w="1020"/>
            <w:vAlign w:val="center"/>
          </w:tcPr>
          <w:p>
            <w:pPr>
              <w:pStyle w:val="Formula"/>
              <w:jc w:val="right"/>
            </w:pPr>
            <w:r>
              <w:t>(4.17)</w:t>
            </w:r>
          </w:p>
        </w:tc>
      </w:tr>
    </w:tbl>
    <w:p>
      <w:pPr>
        <w:ind w:firstLine="0"/>
      </w:pPr>
      <w:r>
        <w:t xml:space="preserve">где </w:t>
      </w:r>
      <m:oMath>
        <m:sSub>
          <m:e>
            <m:r>
              <w:rPr>
                <w:rFonts w:ascii="Cambria Math" w:hAnsi="Cambria Math"/>
              </w:rPr>
              <m:t xml:space="preserve">Д</m:t>
            </m:r>
          </m:e>
          <m:sub>
            <m:r>
              <m:rPr>
                <m:sty m:val="p"/>
              </m:rPr>
              <w:rPr>
                <w:rFonts w:ascii="Cambria Math" w:hAnsi="Cambria Math"/>
              </w:rPr>
              <m:t xml:space="preserve">отп</m:t>
            </m:r>
          </m:sub>
        </m:sSub>
      </m:oMath>
      <w:r>
        <w:t xml:space="preserve"> – продолжительность отпуска, 20 раб. дн.;</w:t>
      </w:r>
    </w:p>
    <w:p>
      <m:oMath>
        <m:sSub>
          <m:e>
            <m:r>
              <w:rPr>
                <w:rFonts w:ascii="Cambria Math" w:hAnsi="Cambria Math"/>
              </w:rPr>
              <m:t xml:space="preserve">Д</m:t>
            </m:r>
          </m:e>
          <m:sub>
            <m:r>
              <m:rPr>
                <m:sty m:val="p"/>
              </m:rPr>
              <w:rPr>
                <w:rFonts w:ascii="Cambria Math" w:hAnsi="Cambria Math"/>
              </w:rPr>
              <m:t xml:space="preserve">р</m:t>
            </m:r>
          </m:sub>
        </m:sSub>
      </m:oMath>
      <w:r>
        <w:t xml:space="preserve"> – число рабочих дней в 2026 г., 247 [Э10].</w:t>
      </w:r>
    </w:p>
    <w:p>
      <w:pPr>
        <w:pStyle w:val="Formula"/>
        <w:jc w:val="center"/>
      </w:pPr>
      <m:oMath>
        <m:sSub>
          <m:e>
            <m:r>
              <w:rPr>
                <w:rFonts w:ascii="Cambria Math" w:hAnsi="Cambria Math"/>
              </w:rPr>
              <m:t xml:space="preserve">З</m:t>
            </m:r>
          </m:e>
          <m:sub>
            <m:r>
              <m:rPr>
                <m:sty m:val="p"/>
              </m:rPr>
              <w:rPr>
                <w:rFonts w:ascii="Cambria Math" w:hAnsi="Cambria Math"/>
              </w:rPr>
              <m:t xml:space="preserve">ЗП.доп</m:t>
            </m:r>
          </m:sub>
        </m:sSub>
        <m:r>
          <m:rPr>
            <m:sty m:val="p"/>
          </m:rPr>
          <w:rPr>
            <w:rFonts w:ascii="Cambria Math" w:hAnsi="Cambria Math"/>
          </w:rPr>
          <m:t xml:space="preserve"> = 0,088·602 842 = 53 050 руб.</m:t>
        </m:r>
      </m:oMath>
    </w:p>
    <w:p>
      <w:r>
        <w:t>Фонд оплаты труда составляет 602 842 + 53 050 = 655 892 руб.</w:t>
      </w:r>
    </w:p>
    <w:p>
      <w:pPr>
        <w:pStyle w:val="Heading3"/>
      </w:pPr>
      <w:r>
        <w:t>4.4.2 Отчисления на социальные нужды (начисления на заработную плату)</w:t>
      </w:r>
    </w:p>
    <w:p>
      <w:r>
        <w:t>Отчисления на социальные нужды включают страховые взносы по единому тарифу 30 % (годовые выплаты каждому исполнителю не превышают предельной величины базы 2 979 000 руб., установленной на 2026 г. [Э12; Э13]) и взносы на страхование от несчастных случаев на производстве и профессиональных заболеваний 0,2 % (I класс профессионального риска, вид деятельности «Научные исследования и разработки»):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соц</m:t>
                  </m:r>
                </m:sub>
              </m:sSub>
              <m:r>
                <m:rPr>
                  <m:sty m:val="p"/>
                </m:rPr>
                <w:rPr>
                  <w:rFonts w:ascii="Cambria Math" w:hAnsi="Cambria Math"/>
                </w:rPr>
                <m:t xml:space="preserve"> = </m:t>
              </m:r>
              <m:sSub>
                <m:e>
                  <m:r>
                    <w:rPr>
                      <w:rFonts w:ascii="Cambria Math" w:hAnsi="Cambria Math"/>
                    </w:rPr>
                    <m:t xml:space="preserve">k</m:t>
                  </m:r>
                </m:e>
                <m:sub>
                  <m:r>
                    <m:rPr>
                      <m:sty m:val="p"/>
                    </m:rPr>
                    <w:rPr>
                      <w:rFonts w:ascii="Cambria Math" w:hAnsi="Cambria Math"/>
                    </w:rPr>
                    <m:t xml:space="preserve">соц</m:t>
                  </m:r>
                </m:sub>
              </m:sSub>
              <m:r>
                <m:rPr>
                  <m:sty m:val="p"/>
                </m:rPr>
                <w:rPr>
                  <w:rFonts w:ascii="Cambria Math" w:hAnsi="Cambria Math"/>
                </w:rPr>
                <m:t xml:space="preserve">·ФОТ = </m:t>
              </m:r>
              <m:r>
                <m:rPr>
                  <m:sty m:val="p"/>
                </m:rPr>
                <w:rPr>
                  <w:rFonts w:ascii="Cambria Math" w:hAnsi="Cambria Math"/>
                </w:rPr>
                <m:t xml:space="preserve">0,302·655 892 = 198 079 руб.</m:t>
              </m:r>
            </m:oMath>
          </w:p>
        </w:tc>
        <w:tc>
          <w:tcPr>
            <w:tcW w:type="dxa" w:w="1020"/>
            <w:vAlign w:val="center"/>
          </w:tcPr>
          <w:p>
            <w:pPr>
              <w:pStyle w:val="Formula"/>
              <w:jc w:val="right"/>
            </w:pPr>
            <w:r>
              <w:t>(4.18)</w:t>
            </w:r>
          </w:p>
        </w:tc>
      </w:tr>
    </w:tbl>
    <w:p>
      <w:r>
        <w:t>Норматив 26,2 %, приведённый в методических указаниях [Э4], соответствовал тарифам 2008 г.; в расчёте применены тарифы, действующие в 2026 г.</w:t>
      </w:r>
    </w:p>
    <w:p>
      <w:pPr>
        <w:pStyle w:val="Heading3"/>
      </w:pPr>
      <w:r>
        <w:t>4.4.3 Материальные затраты</w:t>
      </w:r>
    </w:p>
    <w:p>
      <w:r>
        <w:t>Материальные затраты включают стоимость покупных комплектующих изделий для экспериментального стенда, канцелярских товаров и электроэнергии на технологические цели. Перечень и стоимость приведены в таблице 4.14.</w:t>
      </w:r>
    </w:p>
    <w:p>
      <w:pPr>
        <w:pStyle w:val="TableCaption"/>
        <w:ind w:firstLine="0"/>
      </w:pPr>
      <w:r>
        <w:t>Таблица 4.14 – Затраты на покупные комплектующие изделия и канцелярские товары</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510"/>
        <w:gridCol w:w="4875"/>
        <w:gridCol w:w="907"/>
        <w:gridCol w:w="907"/>
        <w:gridCol w:w="1020"/>
        <w:gridCol w:w="1133"/>
      </w:tblGrid>
      <w:tr>
        <w:trPr>
          <w:cantSplit/>
          <w:tblHeader w:val="true"/>
        </w:trPr>
        <w:tc>
          <w:tcPr>
            <w:tcW w:type="dxa" w:w="510"/>
            <w:vAlign w:val="center"/>
          </w:tcPr>
          <w:p>
            <w:pPr>
              <w:pStyle w:val="TableText"/>
              <w:jc w:val="center"/>
            </w:pPr>
            <w:r>
              <w:rPr>
                <w:b/>
                <w:sz w:val="24"/>
              </w:rPr>
              <w:t>№</w:t>
            </w:r>
          </w:p>
        </w:tc>
        <w:tc>
          <w:tcPr>
            <w:tcW w:type="dxa" w:w="4876"/>
            <w:vAlign w:val="center"/>
          </w:tcPr>
          <w:p>
            <w:pPr>
              <w:pStyle w:val="TableText"/>
              <w:jc w:val="center"/>
            </w:pPr>
            <w:r>
              <w:rPr>
                <w:b/>
                <w:sz w:val="24"/>
              </w:rPr>
              <w:t>Наименование</w:t>
            </w:r>
          </w:p>
        </w:tc>
        <w:tc>
          <w:tcPr>
            <w:tcW w:type="dxa" w:w="907"/>
            <w:vAlign w:val="center"/>
          </w:tcPr>
          <w:p>
            <w:pPr>
              <w:pStyle w:val="TableText"/>
              <w:jc w:val="center"/>
            </w:pPr>
            <w:r>
              <w:rPr>
                <w:b/>
                <w:sz w:val="24"/>
              </w:rPr>
              <w:t>Ед. изм.</w:t>
            </w:r>
          </w:p>
        </w:tc>
        <w:tc>
          <w:tcPr>
            <w:tcW w:type="dxa" w:w="907"/>
            <w:vAlign w:val="center"/>
          </w:tcPr>
          <w:p>
            <w:pPr>
              <w:pStyle w:val="TableText"/>
              <w:jc w:val="center"/>
            </w:pPr>
            <w:r>
              <w:rPr>
                <w:b/>
                <w:sz w:val="24"/>
              </w:rPr>
              <w:t>Кол-во</w:t>
            </w:r>
          </w:p>
        </w:tc>
        <w:tc>
          <w:tcPr>
            <w:tcW w:type="dxa" w:w="1020"/>
            <w:vAlign w:val="center"/>
          </w:tcPr>
          <w:p>
            <w:pPr>
              <w:pStyle w:val="TableText"/>
              <w:jc w:val="center"/>
            </w:pPr>
            <w:r>
              <w:rPr>
                <w:b/>
                <w:sz w:val="24"/>
              </w:rPr>
              <w:t>Цена, руб.</w:t>
            </w:r>
          </w:p>
        </w:tc>
        <w:tc>
          <w:tcPr>
            <w:tcW w:type="dxa" w:w="1134"/>
            <w:vAlign w:val="center"/>
          </w:tcPr>
          <w:p>
            <w:pPr>
              <w:pStyle w:val="TableText"/>
              <w:jc w:val="center"/>
            </w:pPr>
            <w:r>
              <w:rPr>
                <w:b/>
                <w:sz w:val="24"/>
              </w:rPr>
              <w:t>Сумма, руб.</w:t>
            </w:r>
          </w:p>
        </w:tc>
      </w:tr>
      <w:tr>
        <w:trPr>
          <w:cantSplit/>
        </w:trPr>
        <w:tc>
          <w:tcPr>
            <w:tcW w:type="dxa" w:w="510"/>
            <w:vAlign w:val="center"/>
          </w:tcPr>
          <w:p>
            <w:pPr>
              <w:pStyle w:val="TableText"/>
              <w:jc w:val="left"/>
            </w:pPr>
            <w:r>
              <w:rPr>
                <w:b/>
                <w:sz w:val="24"/>
              </w:rPr>
            </w:r>
          </w:p>
        </w:tc>
        <w:tc>
          <w:tcPr>
            <w:tcW w:type="dxa" w:w="8844"/>
            <w:gridSpan w:val="5"/>
            <w:vAlign w:val="center"/>
          </w:tcPr>
          <w:p>
            <w:pPr>
              <w:pStyle w:val="TableText"/>
              <w:jc w:val="left"/>
            </w:pPr>
            <w:r>
              <w:rPr>
                <w:b/>
                <w:sz w:val="24"/>
              </w:rPr>
              <w:t>Покупные комплектующие изделия</w:t>
            </w:r>
          </w:p>
        </w:tc>
      </w:tr>
      <w:tr>
        <w:trPr>
          <w:cantSplit/>
        </w:trPr>
        <w:tc>
          <w:tcPr>
            <w:tcW w:type="dxa" w:w="510"/>
            <w:vAlign w:val="center"/>
          </w:tcPr>
          <w:p>
            <w:pPr>
              <w:pStyle w:val="TableText"/>
              <w:jc w:val="left"/>
            </w:pPr>
            <w:r>
              <w:rPr>
                <w:sz w:val="24"/>
              </w:rPr>
              <w:t>1</w:t>
            </w:r>
          </w:p>
        </w:tc>
        <w:tc>
          <w:tcPr>
            <w:tcW w:type="dxa" w:w="4876"/>
            <w:vAlign w:val="center"/>
          </w:tcPr>
          <w:p>
            <w:pPr>
              <w:pStyle w:val="TableText"/>
              <w:jc w:val="left"/>
            </w:pPr>
            <w:r>
              <w:rPr>
                <w:sz w:val="24"/>
              </w:rPr>
              <w:t>Отладочная плата LilyGO T-HaLow V1.0, ревизия 24-08-23 (ESP32-S3 + TX-AH-R900P, 859–894 МГц)</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3 198</w:t>
            </w:r>
          </w:p>
        </w:tc>
        <w:tc>
          <w:tcPr>
            <w:tcW w:type="dxa" w:w="1134"/>
            <w:vAlign w:val="center"/>
          </w:tcPr>
          <w:p>
            <w:pPr>
              <w:pStyle w:val="TableText"/>
              <w:jc w:val="right"/>
            </w:pPr>
            <w:r>
              <w:rPr>
                <w:sz w:val="24"/>
              </w:rPr>
              <w:t>6 396</w:t>
            </w:r>
          </w:p>
        </w:tc>
      </w:tr>
      <w:tr>
        <w:trPr>
          <w:cantSplit/>
        </w:trPr>
        <w:tc>
          <w:tcPr>
            <w:tcW w:type="dxa" w:w="510"/>
            <w:vAlign w:val="center"/>
          </w:tcPr>
          <w:p>
            <w:pPr>
              <w:pStyle w:val="TableText"/>
              <w:jc w:val="left"/>
            </w:pPr>
            <w:r>
              <w:rPr>
                <w:sz w:val="24"/>
              </w:rPr>
              <w:t>2</w:t>
            </w:r>
          </w:p>
        </w:tc>
        <w:tc>
          <w:tcPr>
            <w:tcW w:type="dxa" w:w="4876"/>
            <w:vAlign w:val="center"/>
          </w:tcPr>
          <w:p>
            <w:pPr>
              <w:pStyle w:val="TableText"/>
              <w:jc w:val="left"/>
            </w:pPr>
            <w:r>
              <w:rPr>
                <w:sz w:val="24"/>
              </w:rPr>
              <w:t>Модуль камеры OV5640, 24 pin (основной и запасной)</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1 100</w:t>
            </w:r>
          </w:p>
        </w:tc>
        <w:tc>
          <w:tcPr>
            <w:tcW w:type="dxa" w:w="1134"/>
            <w:vAlign w:val="center"/>
          </w:tcPr>
          <w:p>
            <w:pPr>
              <w:pStyle w:val="TableText"/>
              <w:jc w:val="right"/>
            </w:pPr>
            <w:r>
              <w:rPr>
                <w:sz w:val="24"/>
              </w:rPr>
              <w:t>2 200</w:t>
            </w:r>
          </w:p>
        </w:tc>
      </w:tr>
      <w:tr>
        <w:trPr>
          <w:cantSplit/>
        </w:trPr>
        <w:tc>
          <w:tcPr>
            <w:tcW w:type="dxa" w:w="510"/>
            <w:vAlign w:val="center"/>
          </w:tcPr>
          <w:p>
            <w:pPr>
              <w:pStyle w:val="TableText"/>
              <w:jc w:val="left"/>
            </w:pPr>
            <w:r>
              <w:rPr>
                <w:sz w:val="24"/>
              </w:rPr>
              <w:t>3</w:t>
            </w:r>
          </w:p>
        </w:tc>
        <w:tc>
          <w:tcPr>
            <w:tcW w:type="dxa" w:w="4876"/>
            <w:vAlign w:val="center"/>
          </w:tcPr>
          <w:p>
            <w:pPr>
              <w:pStyle w:val="TableText"/>
              <w:jc w:val="left"/>
            </w:pPr>
            <w:r>
              <w:rPr>
                <w:sz w:val="24"/>
              </w:rPr>
              <w:t>Микросхема флеш-памяти W25Q32JVSSIQ</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100</w:t>
            </w:r>
          </w:p>
        </w:tc>
        <w:tc>
          <w:tcPr>
            <w:tcW w:type="dxa" w:w="1134"/>
            <w:vAlign w:val="center"/>
          </w:tcPr>
          <w:p>
            <w:pPr>
              <w:pStyle w:val="TableText"/>
              <w:jc w:val="right"/>
            </w:pPr>
            <w:r>
              <w:rPr>
                <w:sz w:val="24"/>
              </w:rPr>
              <w:t>200</w:t>
            </w:r>
          </w:p>
        </w:tc>
      </w:tr>
      <w:tr>
        <w:trPr>
          <w:cantSplit/>
        </w:trPr>
        <w:tc>
          <w:tcPr>
            <w:tcW w:type="dxa" w:w="510"/>
            <w:vAlign w:val="center"/>
          </w:tcPr>
          <w:p>
            <w:pPr>
              <w:pStyle w:val="TableText"/>
              <w:jc w:val="left"/>
            </w:pPr>
            <w:r>
              <w:rPr>
                <w:sz w:val="24"/>
              </w:rPr>
              <w:t>4</w:t>
            </w:r>
          </w:p>
        </w:tc>
        <w:tc>
          <w:tcPr>
            <w:tcW w:type="dxa" w:w="4876"/>
            <w:vAlign w:val="center"/>
          </w:tcPr>
          <w:p>
            <w:pPr>
              <w:pStyle w:val="TableText"/>
              <w:jc w:val="left"/>
            </w:pPr>
            <w:r>
              <w:rPr>
                <w:sz w:val="24"/>
              </w:rPr>
              <w:t>Программатор CH341A с зажимом SOIC-8</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714</w:t>
            </w:r>
          </w:p>
        </w:tc>
        <w:tc>
          <w:tcPr>
            <w:tcW w:type="dxa" w:w="1134"/>
            <w:vAlign w:val="center"/>
          </w:tcPr>
          <w:p>
            <w:pPr>
              <w:pStyle w:val="TableText"/>
              <w:jc w:val="right"/>
            </w:pPr>
            <w:r>
              <w:rPr>
                <w:sz w:val="24"/>
              </w:rPr>
              <w:t>714</w:t>
            </w:r>
          </w:p>
        </w:tc>
      </w:tr>
      <w:tr>
        <w:trPr>
          <w:cantSplit/>
        </w:trPr>
        <w:tc>
          <w:tcPr>
            <w:tcW w:type="dxa" w:w="510"/>
            <w:vAlign w:val="center"/>
          </w:tcPr>
          <w:p>
            <w:pPr>
              <w:pStyle w:val="TableText"/>
              <w:jc w:val="left"/>
            </w:pPr>
            <w:r>
              <w:rPr>
                <w:sz w:val="24"/>
              </w:rPr>
              <w:t>5</w:t>
            </w:r>
          </w:p>
        </w:tc>
        <w:tc>
          <w:tcPr>
            <w:tcW w:type="dxa" w:w="4876"/>
            <w:vAlign w:val="center"/>
          </w:tcPr>
          <w:p>
            <w:pPr>
              <w:pStyle w:val="TableText"/>
              <w:jc w:val="left"/>
            </w:pPr>
            <w:r>
              <w:rPr>
                <w:sz w:val="24"/>
              </w:rPr>
              <w:t>Кабель USB Type-C с передачей данных, 1 м</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350</w:t>
            </w:r>
          </w:p>
        </w:tc>
        <w:tc>
          <w:tcPr>
            <w:tcW w:type="dxa" w:w="1134"/>
            <w:vAlign w:val="center"/>
          </w:tcPr>
          <w:p>
            <w:pPr>
              <w:pStyle w:val="TableText"/>
              <w:jc w:val="right"/>
            </w:pPr>
            <w:r>
              <w:rPr>
                <w:sz w:val="24"/>
              </w:rPr>
              <w:t>700</w:t>
            </w:r>
          </w:p>
        </w:tc>
      </w:tr>
      <w:tr>
        <w:trPr>
          <w:cantSplit/>
        </w:trPr>
        <w:tc>
          <w:tcPr>
            <w:tcW w:type="dxa" w:w="510"/>
            <w:vAlign w:val="center"/>
          </w:tcPr>
          <w:p>
            <w:pPr>
              <w:pStyle w:val="TableText"/>
              <w:jc w:val="left"/>
            </w:pPr>
            <w:r>
              <w:rPr>
                <w:sz w:val="24"/>
              </w:rPr>
              <w:t>6</w:t>
            </w:r>
          </w:p>
        </w:tc>
        <w:tc>
          <w:tcPr>
            <w:tcW w:type="dxa" w:w="4876"/>
            <w:vAlign w:val="center"/>
          </w:tcPr>
          <w:p>
            <w:pPr>
              <w:pStyle w:val="TableText"/>
              <w:jc w:val="left"/>
            </w:pPr>
            <w:r>
              <w:rPr>
                <w:sz w:val="24"/>
              </w:rPr>
              <w:t>Аккумулятор Li-Ion 18650, 3000 мА·ч</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4</w:t>
            </w:r>
          </w:p>
        </w:tc>
        <w:tc>
          <w:tcPr>
            <w:tcW w:type="dxa" w:w="1020"/>
            <w:vAlign w:val="center"/>
          </w:tcPr>
          <w:p>
            <w:pPr>
              <w:pStyle w:val="TableText"/>
              <w:jc w:val="right"/>
            </w:pPr>
            <w:r>
              <w:rPr>
                <w:sz w:val="24"/>
              </w:rPr>
              <w:t>450</w:t>
            </w:r>
          </w:p>
        </w:tc>
        <w:tc>
          <w:tcPr>
            <w:tcW w:type="dxa" w:w="1134"/>
            <w:vAlign w:val="center"/>
          </w:tcPr>
          <w:p>
            <w:pPr>
              <w:pStyle w:val="TableText"/>
              <w:jc w:val="right"/>
            </w:pPr>
            <w:r>
              <w:rPr>
                <w:sz w:val="24"/>
              </w:rPr>
              <w:t>1 800</w:t>
            </w:r>
          </w:p>
        </w:tc>
      </w:tr>
      <w:tr>
        <w:trPr>
          <w:cantSplit/>
        </w:trPr>
        <w:tc>
          <w:tcPr>
            <w:tcW w:type="dxa" w:w="510"/>
            <w:vAlign w:val="center"/>
          </w:tcPr>
          <w:p>
            <w:pPr>
              <w:pStyle w:val="TableText"/>
              <w:jc w:val="left"/>
            </w:pPr>
            <w:r>
              <w:rPr>
                <w:sz w:val="24"/>
              </w:rPr>
              <w:t>7</w:t>
            </w:r>
          </w:p>
        </w:tc>
        <w:tc>
          <w:tcPr>
            <w:tcW w:type="dxa" w:w="4876"/>
            <w:vAlign w:val="center"/>
          </w:tcPr>
          <w:p>
            <w:pPr>
              <w:pStyle w:val="TableText"/>
              <w:jc w:val="left"/>
            </w:pPr>
            <w:r>
              <w:rPr>
                <w:sz w:val="24"/>
              </w:rPr>
              <w:t>Зарядное устройство для аккумуляторов 18650</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900</w:t>
            </w:r>
          </w:p>
        </w:tc>
        <w:tc>
          <w:tcPr>
            <w:tcW w:type="dxa" w:w="1134"/>
            <w:vAlign w:val="center"/>
          </w:tcPr>
          <w:p>
            <w:pPr>
              <w:pStyle w:val="TableText"/>
              <w:jc w:val="right"/>
            </w:pPr>
            <w:r>
              <w:rPr>
                <w:sz w:val="24"/>
              </w:rPr>
              <w:t>900</w:t>
            </w:r>
          </w:p>
        </w:tc>
      </w:tr>
      <w:tr>
        <w:trPr>
          <w:cantSplit/>
        </w:trPr>
        <w:tc>
          <w:tcPr>
            <w:tcW w:type="dxa" w:w="510"/>
            <w:vAlign w:val="center"/>
          </w:tcPr>
          <w:p>
            <w:pPr>
              <w:pStyle w:val="TableText"/>
              <w:jc w:val="left"/>
            </w:pPr>
            <w:r>
              <w:rPr>
                <w:sz w:val="24"/>
              </w:rPr>
              <w:t>8</w:t>
            </w:r>
          </w:p>
        </w:tc>
        <w:tc>
          <w:tcPr>
            <w:tcW w:type="dxa" w:w="4876"/>
            <w:vAlign w:val="center"/>
          </w:tcPr>
          <w:p>
            <w:pPr>
              <w:pStyle w:val="TableText"/>
              <w:jc w:val="left"/>
            </w:pPr>
            <w:r>
              <w:rPr>
                <w:sz w:val="24"/>
              </w:rPr>
              <w:t>Штатив для установки плат на заданной высоте</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1 500</w:t>
            </w:r>
          </w:p>
        </w:tc>
        <w:tc>
          <w:tcPr>
            <w:tcW w:type="dxa" w:w="1134"/>
            <w:vAlign w:val="center"/>
          </w:tcPr>
          <w:p>
            <w:pPr>
              <w:pStyle w:val="TableText"/>
              <w:jc w:val="right"/>
            </w:pPr>
            <w:r>
              <w:rPr>
                <w:sz w:val="24"/>
              </w:rPr>
              <w:t>3 000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Итого покупные комплектующие изделия</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15 910</w:t>
            </w:r>
          </w:p>
        </w:tc>
      </w:tr>
      <w:tr>
        <w:trPr>
          <w:cantSplit/>
        </w:trPr>
        <w:tc>
          <w:tcPr>
            <w:tcW w:type="dxa" w:w="510"/>
            <w:vAlign w:val="center"/>
          </w:tcPr>
          <w:p>
            <w:pPr>
              <w:pStyle w:val="TableText"/>
              <w:jc w:val="left"/>
            </w:pPr>
            <w:r>
              <w:rPr>
                <w:b/>
                <w:sz w:val="24"/>
              </w:rPr>
            </w:r>
          </w:p>
        </w:tc>
        <w:tc>
          <w:tcPr>
            <w:tcW w:type="dxa" w:w="8844"/>
            <w:gridSpan w:val="5"/>
            <w:vAlign w:val="center"/>
          </w:tcPr>
          <w:p>
            <w:pPr>
              <w:pStyle w:val="TableText"/>
              <w:jc w:val="left"/>
            </w:pPr>
            <w:r>
              <w:rPr>
                <w:b/>
                <w:sz w:val="24"/>
              </w:rPr>
              <w:t>Канцелярские товары</w:t>
            </w:r>
          </w:p>
        </w:tc>
      </w:tr>
      <w:tr>
        <w:trPr>
          <w:cantSplit/>
        </w:trPr>
        <w:tc>
          <w:tcPr>
            <w:tcW w:type="dxa" w:w="510"/>
            <w:vAlign w:val="center"/>
          </w:tcPr>
          <w:p>
            <w:pPr>
              <w:pStyle w:val="TableText"/>
              <w:jc w:val="left"/>
            </w:pPr>
            <w:r>
              <w:rPr>
                <w:sz w:val="24"/>
              </w:rPr>
              <w:t>9</w:t>
            </w:r>
          </w:p>
        </w:tc>
        <w:tc>
          <w:tcPr>
            <w:tcW w:type="dxa" w:w="4876"/>
            <w:vAlign w:val="center"/>
          </w:tcPr>
          <w:p>
            <w:pPr>
              <w:pStyle w:val="TableText"/>
              <w:jc w:val="left"/>
            </w:pPr>
            <w:r>
              <w:rPr>
                <w:sz w:val="24"/>
              </w:rPr>
              <w:t>Бумага офисная А4, 500 листов</w:t>
            </w:r>
          </w:p>
        </w:tc>
        <w:tc>
          <w:tcPr>
            <w:tcW w:type="dxa" w:w="907"/>
            <w:vAlign w:val="center"/>
          </w:tcPr>
          <w:p>
            <w:pPr>
              <w:pStyle w:val="TableText"/>
              <w:jc w:val="center"/>
            </w:pPr>
            <w:r>
              <w:rPr>
                <w:sz w:val="24"/>
              </w:rPr>
              <w:t>пачка</w:t>
            </w:r>
          </w:p>
        </w:tc>
        <w:tc>
          <w:tcPr>
            <w:tcW w:type="dxa" w:w="907"/>
            <w:vAlign w:val="center"/>
          </w:tcPr>
          <w:p>
            <w:pPr>
              <w:pStyle w:val="TableText"/>
              <w:jc w:val="center"/>
            </w:pPr>
            <w:r>
              <w:rPr>
                <w:sz w:val="24"/>
              </w:rPr>
              <w:t>5</w:t>
            </w:r>
          </w:p>
        </w:tc>
        <w:tc>
          <w:tcPr>
            <w:tcW w:type="dxa" w:w="1020"/>
            <w:vAlign w:val="center"/>
          </w:tcPr>
          <w:p>
            <w:pPr>
              <w:pStyle w:val="TableText"/>
              <w:jc w:val="right"/>
            </w:pPr>
            <w:r>
              <w:rPr>
                <w:sz w:val="24"/>
              </w:rPr>
              <w:t>550</w:t>
            </w:r>
          </w:p>
        </w:tc>
        <w:tc>
          <w:tcPr>
            <w:tcW w:type="dxa" w:w="1134"/>
            <w:vAlign w:val="center"/>
          </w:tcPr>
          <w:p>
            <w:pPr>
              <w:pStyle w:val="TableText"/>
              <w:jc w:val="right"/>
            </w:pPr>
            <w:r>
              <w:rPr>
                <w:sz w:val="24"/>
              </w:rPr>
              <w:t>2 750</w:t>
            </w:r>
          </w:p>
        </w:tc>
      </w:tr>
      <w:tr>
        <w:trPr>
          <w:cantSplit/>
        </w:trPr>
        <w:tc>
          <w:tcPr>
            <w:tcW w:type="dxa" w:w="510"/>
            <w:vAlign w:val="center"/>
          </w:tcPr>
          <w:p>
            <w:pPr>
              <w:pStyle w:val="TableText"/>
              <w:jc w:val="left"/>
            </w:pPr>
            <w:r>
              <w:rPr>
                <w:sz w:val="24"/>
              </w:rPr>
              <w:t>10</w:t>
            </w:r>
          </w:p>
        </w:tc>
        <w:tc>
          <w:tcPr>
            <w:tcW w:type="dxa" w:w="4876"/>
            <w:vAlign w:val="center"/>
          </w:tcPr>
          <w:p>
            <w:pPr>
              <w:pStyle w:val="TableText"/>
              <w:jc w:val="left"/>
            </w:pPr>
            <w:r>
              <w:rPr>
                <w:sz w:val="24"/>
              </w:rPr>
              <w:t>Картридж для лазерного принтера</w:t>
            </w:r>
          </w:p>
        </w:tc>
        <w:tc>
          <w:tcPr>
            <w:tcW w:type="dxa" w:w="907"/>
            <w:vAlign w:val="center"/>
          </w:tcPr>
          <w:p>
            <w:pPr>
              <w:pStyle w:val="TableText"/>
              <w:jc w:val="center"/>
            </w:pPr>
            <w:r>
              <w:rPr>
                <w:sz w:val="24"/>
              </w:rPr>
              <w:t>шт.</w:t>
            </w:r>
          </w:p>
        </w:tc>
        <w:tc>
          <w:tcPr>
            <w:tcW w:type="dxa" w:w="907"/>
            <w:vAlign w:val="center"/>
          </w:tcPr>
          <w:p>
            <w:pPr>
              <w:pStyle w:val="TableText"/>
              <w:jc w:val="center"/>
            </w:pPr>
            <w:r>
              <w:rPr>
                <w:sz w:val="24"/>
              </w:rPr>
              <w:t>2</w:t>
            </w:r>
          </w:p>
        </w:tc>
        <w:tc>
          <w:tcPr>
            <w:tcW w:type="dxa" w:w="1020"/>
            <w:vAlign w:val="center"/>
          </w:tcPr>
          <w:p>
            <w:pPr>
              <w:pStyle w:val="TableText"/>
              <w:jc w:val="right"/>
            </w:pPr>
            <w:r>
              <w:rPr>
                <w:sz w:val="24"/>
              </w:rPr>
              <w:t>3 200</w:t>
            </w:r>
          </w:p>
        </w:tc>
        <w:tc>
          <w:tcPr>
            <w:tcW w:type="dxa" w:w="1134"/>
            <w:vAlign w:val="center"/>
          </w:tcPr>
          <w:p>
            <w:pPr>
              <w:pStyle w:val="TableText"/>
              <w:jc w:val="right"/>
            </w:pPr>
            <w:r>
              <w:rPr>
                <w:sz w:val="24"/>
              </w:rPr>
              <w:t>6 400</w:t>
            </w:r>
          </w:p>
        </w:tc>
      </w:tr>
      <w:tr>
        <w:trPr>
          <w:cantSplit/>
        </w:trPr>
        <w:tc>
          <w:tcPr>
            <w:tcW w:type="dxa" w:w="510"/>
            <w:vAlign w:val="center"/>
          </w:tcPr>
          <w:p>
            <w:pPr>
              <w:pStyle w:val="TableText"/>
              <w:jc w:val="left"/>
            </w:pPr>
            <w:r>
              <w:rPr>
                <w:sz w:val="24"/>
              </w:rPr>
              <w:t>11</w:t>
            </w:r>
          </w:p>
        </w:tc>
        <w:tc>
          <w:tcPr>
            <w:tcW w:type="dxa" w:w="4876"/>
            <w:vAlign w:val="center"/>
          </w:tcPr>
          <w:p>
            <w:pPr>
              <w:pStyle w:val="TableText"/>
              <w:jc w:val="left"/>
            </w:pPr>
            <w:r>
              <w:rPr>
                <w:sz w:val="24"/>
              </w:rPr>
              <w:t>Канцелярские принадлежности: ручки, карандаши, скрепки, скобы, файлы, папки, тетради для журналов полевых измерений, маркеры</w:t>
            </w:r>
          </w:p>
        </w:tc>
        <w:tc>
          <w:tcPr>
            <w:tcW w:type="dxa" w:w="907"/>
            <w:vAlign w:val="center"/>
          </w:tcPr>
          <w:p>
            <w:pPr>
              <w:pStyle w:val="TableText"/>
              <w:jc w:val="center"/>
            </w:pPr>
            <w:r>
              <w:rPr>
                <w:sz w:val="24"/>
              </w:rPr>
              <w:t>компл.</w:t>
            </w:r>
          </w:p>
        </w:tc>
        <w:tc>
          <w:tcPr>
            <w:tcW w:type="dxa" w:w="907"/>
            <w:vAlign w:val="center"/>
          </w:tcPr>
          <w:p>
            <w:pPr>
              <w:pStyle w:val="TableText"/>
              <w:jc w:val="center"/>
            </w:pPr>
            <w:r>
              <w:rPr>
                <w:sz w:val="24"/>
              </w:rPr>
              <w:t>1</w:t>
            </w:r>
          </w:p>
        </w:tc>
        <w:tc>
          <w:tcPr>
            <w:tcW w:type="dxa" w:w="1020"/>
            <w:vAlign w:val="center"/>
          </w:tcPr>
          <w:p>
            <w:pPr>
              <w:pStyle w:val="TableText"/>
              <w:jc w:val="right"/>
            </w:pPr>
            <w:r>
              <w:rPr>
                <w:sz w:val="24"/>
              </w:rPr>
              <w:t>2 500</w:t>
            </w:r>
          </w:p>
        </w:tc>
        <w:tc>
          <w:tcPr>
            <w:tcW w:type="dxa" w:w="1134"/>
            <w:vAlign w:val="center"/>
          </w:tcPr>
          <w:p>
            <w:pPr>
              <w:pStyle w:val="TableText"/>
              <w:jc w:val="right"/>
            </w:pPr>
            <w:r>
              <w:rPr>
                <w:sz w:val="24"/>
              </w:rPr>
              <w:t>2 500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Итого канцелярские товары</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11 650</w:t>
            </w:r>
          </w:p>
        </w:tc>
      </w:tr>
      <w:tr>
        <w:trPr>
          <w:cantSplit/>
        </w:trPr>
        <w:tc>
          <w:tcPr>
            <w:tcW w:type="dxa" w:w="510"/>
            <w:vAlign w:val="center"/>
          </w:tcPr>
          <w:p>
            <w:pPr>
              <w:pStyle w:val="TableText"/>
              <w:jc w:val="left"/>
            </w:pPr>
            <w:r>
              <w:rPr>
                <w:b/>
                <w:sz w:val="24"/>
              </w:rPr>
            </w:r>
          </w:p>
        </w:tc>
        <w:tc>
          <w:tcPr>
            <w:tcW w:type="dxa" w:w="4876"/>
            <w:vAlign w:val="center"/>
          </w:tcPr>
          <w:p>
            <w:pPr>
              <w:pStyle w:val="TableText"/>
              <w:jc w:val="left"/>
            </w:pPr>
            <w:r>
              <w:rPr>
                <w:b/>
                <w:sz w:val="24"/>
              </w:rPr>
              <w:t>Всего</w:t>
            </w:r>
          </w:p>
        </w:tc>
        <w:tc>
          <w:tcPr>
            <w:tcW w:type="dxa" w:w="907"/>
            <w:vAlign w:val="center"/>
          </w:tcPr>
          <w:p>
            <w:pPr>
              <w:pStyle w:val="TableText"/>
              <w:jc w:val="center"/>
            </w:pPr>
            <w:r>
              <w:rPr>
                <w:b/>
                <w:sz w:val="24"/>
              </w:rPr>
            </w:r>
          </w:p>
        </w:tc>
        <w:tc>
          <w:tcPr>
            <w:tcW w:type="dxa" w:w="907"/>
            <w:vAlign w:val="center"/>
          </w:tcPr>
          <w:p>
            <w:pPr>
              <w:pStyle w:val="TableText"/>
              <w:jc w:val="center"/>
            </w:pPr>
            <w:r>
              <w:rPr>
                <w:b/>
                <w:sz w:val="24"/>
              </w:rPr>
            </w:r>
          </w:p>
        </w:tc>
        <w:tc>
          <w:tcPr>
            <w:tcW w:type="dxa" w:w="1020"/>
            <w:vAlign w:val="center"/>
          </w:tcPr>
          <w:p>
            <w:pPr>
              <w:pStyle w:val="TableText"/>
              <w:jc w:val="right"/>
            </w:pPr>
            <w:r>
              <w:rPr>
                <w:b/>
                <w:sz w:val="24"/>
              </w:rPr>
            </w:r>
          </w:p>
        </w:tc>
        <w:tc>
          <w:tcPr>
            <w:tcW w:type="dxa" w:w="1134"/>
            <w:vAlign w:val="center"/>
          </w:tcPr>
          <w:p>
            <w:pPr>
              <w:pStyle w:val="TableText"/>
              <w:jc w:val="right"/>
            </w:pPr>
            <w:r>
              <w:rPr>
                <w:b/>
                <w:sz w:val="24"/>
              </w:rPr>
              <w:t>27 560</w:t>
            </w:r>
          </w:p>
        </w:tc>
      </w:tr>
    </w:tbl>
    <w:p>
      <w:pPr>
        <w:spacing w:line="240" w:lineRule="auto"/>
      </w:pPr>
    </w:p>
    <w:p>
      <w:r>
        <w:t>Состав комплектующих определяется задачами эксперимента:</w:t>
      </w:r>
    </w:p>
    <w:p>
      <w:r>
        <w:t xml:space="preserve">– </w:t>
      </w:r>
      <w:r>
        <w:t>две платы LilyGO T-HaLow V1.0 образуют канал «точка — точка» (передатчик с камерой и приёмник); цена платы — 37,98 долл. США [Э5], что по курсу Банка России 84,1975 руб./долл. на 20.09.2026 [Э9] составляет 3 198 руб.;</w:t>
      </w:r>
    </w:p>
    <w:p>
      <w:r>
        <w:t xml:space="preserve">– </w:t>
      </w:r>
      <w:r>
        <w:t>модуль камеры OV5640 — источник видеопотока, создающего загрузку канала; второй модуль запасной, поскольку шлейф камеры при многократных переустановках является расходным элементом стенда;</w:t>
      </w:r>
    </w:p>
    <w:p>
      <w:r>
        <w:t xml:space="preserve">– </w:t>
      </w:r>
      <w:r>
        <w:t>микросхемы флеш-памяти W25Q32JVSSIQ и программатор CH341A необходимы для резервного копирования и восстановления встроенного программного обеспечения модуля TX-AH при его обновлении (в ходе настройки стенда потребовалась замена микросхемы флеш-памяти модуля) [Э14];</w:t>
      </w:r>
    </w:p>
    <w:p>
      <w:r>
        <w:t xml:space="preserve">– </w:t>
      </w:r>
      <w:r>
        <w:t>аккумуляторы 18650 с зарядным устройством обеспечивают автономное питание плат на полевой площадке (держатель аккумулятора 18650 предусмотрен на плате);</w:t>
      </w:r>
    </w:p>
    <w:p>
      <w:r>
        <w:t xml:space="preserve">– </w:t>
      </w:r>
      <w:r>
        <w:t>штативы фиксируют высоту установки антенн, которая входит в двухлучевую модель распространения радиоволн;</w:t>
      </w:r>
    </w:p>
    <w:p>
      <w:r>
        <w:t xml:space="preserve">– </w:t>
      </w:r>
      <w:r>
        <w:t>кабели USB Type-C служат для подключения плат к ПЭВМ при приёме видеопотока и управлении.</w:t>
      </w:r>
    </w:p>
    <w:p>
      <w:r>
        <w:t>Цены плат LilyGO T-HaLow, микросхем флеш-памяти и программатора приняты по данным [Э5; Э14]; цены остальных позиций — по средним розничным ценам интернет-магазинов на сентябрь 2026 г.</w:t>
      </w:r>
    </w:p>
    <w:p>
      <w:r>
        <w:t>Потребность в бумаге и картриджах определена по объёму печати за время выполнения НИР — около 2 500 листов: пояснительная записка в нескольких редакциях для руководителя и нормоконтроля, программа и методика экспериментов, протоколы и журналы измерений, изучаемая техническая документация на модули и стандарты, раздаточный материал к защите. Отсюда 5 пачек бумаги по 500 листов и 2 картриджа при ресурсе картриджа около 1 600 страниц. Мелкие канцелярские принадлежности учтены комплектом.</w:t>
      </w:r>
    </w:p>
    <w:p>
      <w:pPr>
        <w:keepNext/>
      </w:pPr>
      <w:r>
        <w:t>Затраты на электроэнергию на технологические цели: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эл</m:t>
                  </m:r>
                </m:sub>
              </m:sSub>
              <m:r>
                <m:rPr>
                  <m:sty m:val="p"/>
                </m:rPr>
                <w:rPr>
                  <w:rFonts w:ascii="Cambria Math" w:hAnsi="Cambria Math"/>
                </w:rPr>
                <m:t xml:space="preserve"> = </m:t>
              </m:r>
              <m:r>
                <w:rPr>
                  <w:rFonts w:ascii="Cambria Math" w:hAnsi="Cambria Math"/>
                </w:rPr>
                <m:t xml:space="preserve">P</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м</m:t>
                  </m:r>
                </m:sub>
              </m:sSub>
              <m:r>
                <m:rPr>
                  <m:sty m:val="p"/>
                </m:rPr>
                <w:rPr>
                  <w:rFonts w:ascii="Cambria Math" w:hAnsi="Cambria Math"/>
                </w:rPr>
                <m:t xml:space="preserve">·</m:t>
              </m:r>
              <m:sSub>
                <m:e>
                  <m:r>
                    <w:rPr>
                      <w:rFonts w:ascii="Cambria Math" w:hAnsi="Cambria Math"/>
                    </w:rPr>
                    <m:t xml:space="preserve">Ц</m:t>
                  </m:r>
                </m:e>
                <m:sub>
                  <m:r>
                    <m:rPr>
                      <m:sty m:val="p"/>
                    </m:rPr>
                    <w:rPr>
                      <w:rFonts w:ascii="Cambria Math" w:hAnsi="Cambria Math"/>
                    </w:rPr>
                    <m:t xml:space="preserve">эл</m:t>
                  </m:r>
                </m:sub>
              </m:sSub>
              <m:r>
                <m:rPr>
                  <m:sty m:val="p"/>
                </m:rPr>
                <w:rPr>
                  <w:rFonts w:ascii="Cambria Math" w:hAnsi="Cambria Math"/>
                </w:rPr>
                <m:t xml:space="preserve">,</m:t>
              </m:r>
            </m:oMath>
          </w:p>
        </w:tc>
        <w:tc>
          <w:tcPr>
            <w:tcW w:type="dxa" w:w="1020"/>
            <w:vAlign w:val="center"/>
          </w:tcPr>
          <w:p>
            <w:pPr>
              <w:pStyle w:val="Formula"/>
              <w:jc w:val="right"/>
            </w:pPr>
            <w:r>
              <w:t>(4.19)</w:t>
            </w:r>
          </w:p>
        </w:tc>
      </w:tr>
    </w:tbl>
    <w:p>
      <w:pPr>
        <w:ind w:firstLine="0"/>
      </w:pPr>
      <w:r>
        <w:t xml:space="preserve">где </w:t>
      </w:r>
      <m:oMath>
        <m:r>
          <w:rPr>
            <w:rFonts w:ascii="Cambria Math" w:hAnsi="Cambria Math"/>
          </w:rPr>
          <m:t xml:space="preserve">P</m:t>
        </m:r>
      </m:oMath>
      <w:r>
        <w:t xml:space="preserve"> – потребляемая мощность ПЭВМ с периферийными устройствами и стенда, 0,15 кВт;</w:t>
      </w:r>
    </w:p>
    <w:p>
      <m:oMath>
        <m:sSub>
          <m:e>
            <m:r>
              <w:rPr>
                <w:rFonts w:ascii="Cambria Math" w:hAnsi="Cambria Math"/>
              </w:rPr>
              <m:t xml:space="preserve">t</m:t>
            </m:r>
          </m:e>
          <m:sub>
            <m:r>
              <m:rPr>
                <m:sty m:val="p"/>
              </m:rPr>
              <w:rPr>
                <w:rFonts w:ascii="Cambria Math" w:hAnsi="Cambria Math"/>
              </w:rPr>
              <m:t xml:space="preserve">м</m:t>
            </m:r>
          </m:sub>
        </m:sSub>
      </m:oMath>
      <w:r>
        <w:t xml:space="preserve"> – время работы ПЭВМ, равное трудоёмкости всех исполнителей, кроме техника: 800 − 160 = 640 ч;</w:t>
      </w:r>
    </w:p>
    <w:p>
      <m:oMath>
        <m:sSub>
          <m:e>
            <m:r>
              <w:rPr>
                <w:rFonts w:ascii="Cambria Math" w:hAnsi="Cambria Math"/>
              </w:rPr>
              <m:t xml:space="preserve">Ц</m:t>
            </m:r>
          </m:e>
          <m:sub>
            <m:r>
              <m:rPr>
                <m:sty m:val="p"/>
              </m:rPr>
              <w:rPr>
                <w:rFonts w:ascii="Cambria Math" w:hAnsi="Cambria Math"/>
              </w:rPr>
              <m:t xml:space="preserve">эл</m:t>
            </m:r>
          </m:sub>
        </m:sSub>
      </m:oMath>
      <w:r>
        <w:t xml:space="preserve"> – тариф на электроэнергию в г. Москве с 01.10.2026, 8,90 руб./(кВт·ч) [Э15].</w:t>
      </w:r>
    </w:p>
    <w:p>
      <w:pPr>
        <w:pStyle w:val="Formula"/>
        <w:jc w:val="center"/>
      </w:pPr>
      <m:oMath>
        <m:sSub>
          <m:e>
            <m:r>
              <w:rPr>
                <w:rFonts w:ascii="Cambria Math" w:hAnsi="Cambria Math"/>
              </w:rPr>
              <m:t xml:space="preserve">З</m:t>
            </m:r>
          </m:e>
          <m:sub>
            <m:r>
              <m:rPr>
                <m:sty m:val="p"/>
              </m:rPr>
              <w:rPr>
                <w:rFonts w:ascii="Cambria Math" w:hAnsi="Cambria Math"/>
              </w:rPr>
              <m:t xml:space="preserve">эл</m:t>
            </m:r>
          </m:sub>
        </m:sSub>
        <m:r>
          <m:rPr>
            <m:sty m:val="p"/>
          </m:rPr>
          <w:rPr>
            <w:rFonts w:ascii="Cambria Math" w:hAnsi="Cambria Math"/>
          </w:rPr>
          <m:t xml:space="preserve"> = 0,15·640·8,90 = 854 руб.</m:t>
        </m:r>
      </m:oMath>
    </w:p>
    <w:p>
      <w:r>
        <w:t>Материальные затраты составляют 15 910 + 11 650 + 854 = 28 414 руб.</w:t>
      </w:r>
    </w:p>
    <w:p>
      <w:pPr>
        <w:pStyle w:val="Heading3"/>
      </w:pPr>
      <w:r>
        <w:t>4.4.4 Амортизация оборудования</w:t>
      </w:r>
    </w:p>
    <w:p>
      <w:r>
        <w:t>Амортизационные отчисления по ПЭВМ, используемой при выполнении НИР, начисляются линейным способом пропорционально времени её работы: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А</m:t>
              </m:r>
              <m:r>
                <m:rPr>
                  <m:sty m:val="p"/>
                </m:rPr>
                <w:rPr>
                  <w:rFonts w:ascii="Cambria Math" w:hAnsi="Cambria Math"/>
                </w:rPr>
                <m:t xml:space="preserve"> = </m:t>
              </m:r>
              <m:f>
                <m:num>
                  <m:sSub>
                    <m:e>
                      <m:r>
                        <w:rPr>
                          <w:rFonts w:ascii="Cambria Math" w:hAnsi="Cambria Math"/>
                        </w:rPr>
                        <m:t xml:space="preserve">С</m:t>
                      </m:r>
                    </m:e>
                    <m:sub>
                      <m:r>
                        <m:rPr>
                          <m:sty m:val="p"/>
                        </m:rPr>
                        <w:rPr>
                          <w:rFonts w:ascii="Cambria Math" w:hAnsi="Cambria Math"/>
                        </w:rPr>
                        <m:t xml:space="preserve">ПЭВМ</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м</m:t>
                      </m:r>
                    </m:sub>
                  </m:sSub>
                </m:num>
                <m:den>
                  <m:sSub>
                    <m:e>
                      <m:r>
                        <w:rPr>
                          <w:rFonts w:ascii="Cambria Math" w:hAnsi="Cambria Math"/>
                        </w:rPr>
                        <m:t xml:space="preserve">Т</m:t>
                      </m:r>
                    </m:e>
                    <m:sub>
                      <m:r>
                        <m:rPr>
                          <m:sty m:val="p"/>
                        </m:rPr>
                        <w:rPr>
                          <w:rFonts w:ascii="Cambria Math" w:hAnsi="Cambria Math"/>
                        </w:rPr>
                        <m:t xml:space="preserve">сл</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год</m:t>
                      </m:r>
                    </m:sub>
                  </m:sSub>
                </m:den>
              </m:f>
              <m:r>
                <m:rPr>
                  <m:sty m:val="p"/>
                </m:rPr>
                <w:rPr>
                  <w:rFonts w:ascii="Cambria Math" w:hAnsi="Cambria Math"/>
                </w:rPr>
                <m:t xml:space="preserve">,</m:t>
              </m:r>
            </m:oMath>
          </w:p>
        </w:tc>
        <w:tc>
          <w:tcPr>
            <w:tcW w:type="dxa" w:w="1020"/>
            <w:vAlign w:val="center"/>
          </w:tcPr>
          <w:p>
            <w:pPr>
              <w:pStyle w:val="Formula"/>
              <w:jc w:val="right"/>
            </w:pPr>
            <w:r>
              <w:t>(4.20)</w:t>
            </w:r>
          </w:p>
        </w:tc>
      </w:tr>
    </w:tbl>
    <w:p>
      <w:pPr>
        <w:ind w:firstLine="0"/>
      </w:pPr>
      <w:r>
        <w:t xml:space="preserve">где </w:t>
      </w:r>
      <m:oMath>
        <m:sSub>
          <m:e>
            <m:r>
              <w:rPr>
                <w:rFonts w:ascii="Cambria Math" w:hAnsi="Cambria Math"/>
              </w:rPr>
              <m:t xml:space="preserve">С</m:t>
            </m:r>
          </m:e>
          <m:sub>
            <m:r>
              <m:rPr>
                <m:sty m:val="p"/>
              </m:rPr>
              <w:rPr>
                <w:rFonts w:ascii="Cambria Math" w:hAnsi="Cambria Math"/>
              </w:rPr>
              <m:t xml:space="preserve">ПЭВМ</m:t>
            </m:r>
          </m:sub>
        </m:sSub>
      </m:oMath>
      <w:r>
        <w:t xml:space="preserve"> – балансовая стоимость ПЭВМ, 85 000 руб.;</w:t>
      </w:r>
    </w:p>
    <w:p>
      <m:oMath>
        <m:sSub>
          <m:e>
            <m:r>
              <w:rPr>
                <w:rFonts w:ascii="Cambria Math" w:hAnsi="Cambria Math"/>
              </w:rPr>
              <m:t xml:space="preserve">Т</m:t>
            </m:r>
          </m:e>
          <m:sub>
            <m:r>
              <m:rPr>
                <m:sty m:val="p"/>
              </m:rPr>
              <w:rPr>
                <w:rFonts w:ascii="Cambria Math" w:hAnsi="Cambria Math"/>
              </w:rPr>
              <m:t xml:space="preserve">сл</m:t>
            </m:r>
          </m:sub>
        </m:sSub>
      </m:oMath>
      <w:r>
        <w:t xml:space="preserve"> – срок полезного использования, 3 года (вторая амортизационная группа, код ОКОФ 330.28.23.23 «Машины офисные прочие, включая персональные компьютеры» [Э16]);</w:t>
      </w:r>
    </w:p>
    <w:p>
      <m:oMath>
        <m:sSub>
          <m:e>
            <m:r>
              <w:rPr>
                <w:rFonts w:ascii="Cambria Math" w:hAnsi="Cambria Math"/>
              </w:rPr>
              <m:t xml:space="preserve">F</m:t>
            </m:r>
          </m:e>
          <m:sub>
            <m:r>
              <m:rPr>
                <m:sty m:val="p"/>
              </m:rPr>
              <w:rPr>
                <w:rFonts w:ascii="Cambria Math" w:hAnsi="Cambria Math"/>
              </w:rPr>
              <m:t xml:space="preserve">год</m:t>
            </m:r>
          </m:sub>
        </m:sSub>
      </m:oMath>
      <w:r>
        <w:t xml:space="preserve"> – годовой фонд рабочего времени, 1 972 ч.</w:t>
      </w:r>
    </w:p>
    <w:p>
      <w:pPr>
        <w:pStyle w:val="Formula"/>
        <w:jc w:val="center"/>
      </w:pPr>
      <m:oMath>
        <m:r>
          <w:rPr>
            <w:rFonts w:ascii="Cambria Math" w:hAnsi="Cambria Math"/>
          </w:rPr>
          <m:t xml:space="preserve">А</m:t>
        </m:r>
        <m:r>
          <m:rPr>
            <m:sty m:val="p"/>
          </m:rPr>
          <w:rPr>
            <w:rFonts w:ascii="Cambria Math" w:hAnsi="Cambria Math"/>
          </w:rPr>
          <m:t xml:space="preserve"> = </m:t>
        </m:r>
        <m:f>
          <m:num>
            <m:r>
              <m:rPr>
                <m:sty m:val="p"/>
              </m:rPr>
              <w:rPr>
                <w:rFonts w:ascii="Cambria Math" w:hAnsi="Cambria Math"/>
              </w:rPr>
              <m:t xml:space="preserve">85 000·640</m:t>
            </m:r>
          </m:num>
          <m:den>
            <m:r>
              <m:rPr>
                <m:sty m:val="p"/>
              </m:rPr>
              <w:rPr>
                <w:rFonts w:ascii="Cambria Math" w:hAnsi="Cambria Math"/>
              </w:rPr>
              <m:t xml:space="preserve">3·1 972</m:t>
            </m:r>
          </m:den>
        </m:f>
        <m:r>
          <m:rPr>
            <m:sty m:val="p"/>
          </m:rPr>
          <w:rPr>
            <w:rFonts w:ascii="Cambria Math" w:hAnsi="Cambria Math"/>
          </w:rPr>
          <m:t xml:space="preserve"> = 9 195 руб.</m:t>
        </m:r>
      </m:oMath>
    </w:p>
    <w:p>
      <w:pPr>
        <w:pStyle w:val="Heading3"/>
      </w:pPr>
      <w:r>
        <w:t>4.4.5 Накладные и прочие расходы</w:t>
      </w:r>
    </w:p>
    <w:p>
      <w:r>
        <w:t>Накладные расходы (затраты на управление, содержание помещений, коммунальные услуги и т. п.) приняты в размере 100 % от фонда оплаты труда, поскольку работа выполняется на базе кафедры с использованием её помещений и оборудования. Такой уровень соответствует типовой структуре затрат на НИР [Э4], в которой накладные расходы и заработная плата разработчиков имеют одинаковый удельный вес — 34 %. Накладные расходы составляют 655 892 руб. Прочие расходы (транспортные расходы при выездах на полевую площадку, услуги связи, научно-техническая информация) — 10 % от фонда оплаты труда: 0,1·655 892 = 65 589 руб.</w:t>
      </w:r>
    </w:p>
    <w:p>
      <w:pPr>
        <w:pStyle w:val="Heading3"/>
      </w:pPr>
      <w:r>
        <w:t>4.4.6 Калькуляция себестоимости НИР</w:t>
      </w:r>
    </w:p>
    <w:p>
      <w:r>
        <w:t>Затраты на проведение НИР, рассчитанные в пп. 4.4.1–4.4.5, сгруппированы по статьям калькуляции в таблице 4.15.</w:t>
      </w:r>
    </w:p>
    <w:p>
      <w:pPr>
        <w:pStyle w:val="TableCaption"/>
        <w:ind w:firstLine="0"/>
      </w:pPr>
      <w:r>
        <w:t>Таблица 4.15 – Калькуляция себестоимости НИР по статьям затрат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850"/>
        <w:gridCol w:w="5102"/>
        <w:gridCol w:w="1984"/>
        <w:gridCol w:w="1417"/>
      </w:tblGrid>
      <w:tr>
        <w:trPr>
          <w:cantSplit/>
          <w:tblHeader w:val="true"/>
        </w:trPr>
        <w:tc>
          <w:tcPr>
            <w:tcW w:type="dxa" w:w="850"/>
            <w:vAlign w:val="center"/>
          </w:tcPr>
          <w:p>
            <w:pPr>
              <w:pStyle w:val="TableText"/>
              <w:keepNext/>
              <w:jc w:val="center"/>
            </w:pPr>
            <w:r>
              <w:rPr>
                <w:b/>
                <w:sz w:val="24"/>
              </w:rPr>
              <w:t>№ п/п</w:t>
            </w:r>
          </w:p>
        </w:tc>
        <w:tc>
          <w:tcPr>
            <w:tcW w:type="dxa" w:w="5102"/>
            <w:vAlign w:val="center"/>
          </w:tcPr>
          <w:p>
            <w:pPr>
              <w:pStyle w:val="TableText"/>
              <w:keepNext/>
              <w:jc w:val="center"/>
            </w:pPr>
            <w:r>
              <w:rPr>
                <w:b/>
                <w:sz w:val="24"/>
              </w:rPr>
              <w:t>Статья калькуляции</w:t>
            </w:r>
          </w:p>
        </w:tc>
        <w:tc>
          <w:tcPr>
            <w:tcW w:type="dxa" w:w="1984"/>
            <w:vAlign w:val="center"/>
          </w:tcPr>
          <w:p>
            <w:pPr>
              <w:pStyle w:val="TableText"/>
              <w:keepNext/>
              <w:jc w:val="center"/>
            </w:pPr>
            <w:r>
              <w:rPr>
                <w:b/>
                <w:sz w:val="24"/>
              </w:rPr>
              <w:t>Затраты, руб.</w:t>
            </w:r>
          </w:p>
        </w:tc>
        <w:tc>
          <w:tcPr>
            <w:tcW w:type="dxa" w:w="1417"/>
            <w:vAlign w:val="center"/>
          </w:tcPr>
          <w:p>
            <w:pPr>
              <w:pStyle w:val="TableText"/>
              <w:keepNext/>
              <w:jc w:val="center"/>
            </w:pPr>
            <w:r>
              <w:rPr>
                <w:b/>
                <w:sz w:val="24"/>
              </w:rPr>
              <w:t>Доля, %</w:t>
            </w:r>
          </w:p>
        </w:tc>
      </w:tr>
      <w:tr>
        <w:trPr>
          <w:cantSplit/>
        </w:trPr>
        <w:tc>
          <w:tcPr>
            <w:tcW w:type="dxa" w:w="850"/>
            <w:vAlign w:val="center"/>
          </w:tcPr>
          <w:p>
            <w:pPr>
              <w:pStyle w:val="TableText"/>
              <w:keepNext/>
              <w:jc w:val="center"/>
            </w:pPr>
            <w:r>
              <w:rPr>
                <w:sz w:val="24"/>
              </w:rPr>
              <w:t>1</w:t>
            </w:r>
          </w:p>
        </w:tc>
        <w:tc>
          <w:tcPr>
            <w:tcW w:type="dxa" w:w="5102"/>
            <w:vAlign w:val="center"/>
          </w:tcPr>
          <w:p>
            <w:pPr>
              <w:pStyle w:val="TableText"/>
              <w:keepNext/>
              <w:jc w:val="left"/>
            </w:pPr>
            <w:r>
              <w:rPr>
                <w:sz w:val="24"/>
              </w:rPr>
              <w:t>Канцелярские товары (бумага, картриджи, канцелярские принадлежности)</w:t>
            </w:r>
          </w:p>
        </w:tc>
        <w:tc>
          <w:tcPr>
            <w:tcW w:type="dxa" w:w="1984"/>
            <w:vAlign w:val="center"/>
          </w:tcPr>
          <w:p>
            <w:pPr>
              <w:pStyle w:val="TableText"/>
              <w:keepNext/>
              <w:jc w:val="right"/>
            </w:pPr>
            <w:r>
              <w:rPr>
                <w:sz w:val="24"/>
              </w:rPr>
              <w:t>11 650</w:t>
            </w:r>
          </w:p>
        </w:tc>
        <w:tc>
          <w:tcPr>
            <w:tcW w:type="dxa" w:w="1417"/>
            <w:vAlign w:val="center"/>
          </w:tcPr>
          <w:p>
            <w:pPr>
              <w:pStyle w:val="TableText"/>
              <w:keepNext/>
              <w:jc w:val="center"/>
            </w:pPr>
            <w:r>
              <w:rPr>
                <w:sz w:val="24"/>
              </w:rPr>
              <w:t>0,7</w:t>
            </w:r>
          </w:p>
        </w:tc>
      </w:tr>
      <w:tr>
        <w:trPr>
          <w:cantSplit/>
        </w:trPr>
        <w:tc>
          <w:tcPr>
            <w:tcW w:type="dxa" w:w="850"/>
            <w:vAlign w:val="center"/>
          </w:tcPr>
          <w:p>
            <w:pPr>
              <w:pStyle w:val="TableText"/>
              <w:keepNext/>
              <w:jc w:val="center"/>
            </w:pPr>
            <w:r>
              <w:rPr>
                <w:sz w:val="24"/>
              </w:rPr>
              <w:t>2</w:t>
            </w:r>
          </w:p>
        </w:tc>
        <w:tc>
          <w:tcPr>
            <w:tcW w:type="dxa" w:w="5102"/>
            <w:vAlign w:val="center"/>
          </w:tcPr>
          <w:p>
            <w:pPr>
              <w:pStyle w:val="TableText"/>
              <w:keepNext/>
              <w:jc w:val="left"/>
            </w:pPr>
            <w:r>
              <w:rPr>
                <w:sz w:val="24"/>
              </w:rPr>
              <w:t>Покупные комплектующие изделия</w:t>
            </w:r>
          </w:p>
        </w:tc>
        <w:tc>
          <w:tcPr>
            <w:tcW w:type="dxa" w:w="1984"/>
            <w:vAlign w:val="center"/>
          </w:tcPr>
          <w:p>
            <w:pPr>
              <w:pStyle w:val="TableText"/>
              <w:keepNext/>
              <w:jc w:val="right"/>
            </w:pPr>
            <w:r>
              <w:rPr>
                <w:sz w:val="24"/>
              </w:rPr>
              <w:t>15 910</w:t>
            </w:r>
          </w:p>
        </w:tc>
        <w:tc>
          <w:tcPr>
            <w:tcW w:type="dxa" w:w="1417"/>
            <w:vAlign w:val="center"/>
          </w:tcPr>
          <w:p>
            <w:pPr>
              <w:pStyle w:val="TableText"/>
              <w:keepNext/>
              <w:jc w:val="center"/>
            </w:pPr>
            <w:r>
              <w:rPr>
                <w:sz w:val="24"/>
              </w:rPr>
              <w:t>1,0</w:t>
            </w:r>
          </w:p>
        </w:tc>
      </w:tr>
      <w:tr>
        <w:trPr>
          <w:cantSplit/>
        </w:trPr>
        <w:tc>
          <w:tcPr>
            <w:tcW w:type="dxa" w:w="850"/>
            <w:vAlign w:val="center"/>
          </w:tcPr>
          <w:p>
            <w:pPr>
              <w:pStyle w:val="TableText"/>
              <w:keepNext/>
              <w:jc w:val="center"/>
            </w:pPr>
            <w:r>
              <w:rPr>
                <w:sz w:val="24"/>
              </w:rPr>
              <w:t>3</w:t>
            </w:r>
          </w:p>
        </w:tc>
        <w:tc>
          <w:tcPr>
            <w:tcW w:type="dxa" w:w="5102"/>
            <w:vAlign w:val="center"/>
          </w:tcPr>
          <w:p>
            <w:pPr>
              <w:pStyle w:val="TableText"/>
              <w:keepNext/>
              <w:jc w:val="left"/>
            </w:pPr>
            <w:r>
              <w:rPr>
                <w:sz w:val="24"/>
              </w:rPr>
              <w:t>Электроэнергия на технологические цели</w:t>
            </w:r>
          </w:p>
        </w:tc>
        <w:tc>
          <w:tcPr>
            <w:tcW w:type="dxa" w:w="1984"/>
            <w:vAlign w:val="center"/>
          </w:tcPr>
          <w:p>
            <w:pPr>
              <w:pStyle w:val="TableText"/>
              <w:keepNext/>
              <w:jc w:val="right"/>
            </w:pPr>
            <w:r>
              <w:rPr>
                <w:sz w:val="24"/>
              </w:rPr>
              <w:t>854</w:t>
            </w:r>
          </w:p>
        </w:tc>
        <w:tc>
          <w:tcPr>
            <w:tcW w:type="dxa" w:w="1417"/>
            <w:vAlign w:val="center"/>
          </w:tcPr>
          <w:p>
            <w:pPr>
              <w:pStyle w:val="TableText"/>
              <w:keepNext/>
              <w:jc w:val="center"/>
            </w:pPr>
            <w:r>
              <w:rPr>
                <w:sz w:val="24"/>
              </w:rPr>
              <w:t>0,1</w:t>
            </w:r>
          </w:p>
        </w:tc>
      </w:tr>
      <w:tr>
        <w:trPr>
          <w:cantSplit/>
        </w:trPr>
        <w:tc>
          <w:tcPr>
            <w:tcW w:type="dxa" w:w="850"/>
            <w:vAlign w:val="center"/>
          </w:tcPr>
          <w:p>
            <w:pPr>
              <w:pStyle w:val="TableText"/>
              <w:keepNext/>
              <w:jc w:val="center"/>
            </w:pPr>
            <w:r>
              <w:rPr>
                <w:sz w:val="24"/>
              </w:rPr>
              <w:t>4</w:t>
            </w:r>
          </w:p>
        </w:tc>
        <w:tc>
          <w:tcPr>
            <w:tcW w:type="dxa" w:w="5102"/>
            <w:vAlign w:val="center"/>
          </w:tcPr>
          <w:p>
            <w:pPr>
              <w:pStyle w:val="TableText"/>
              <w:keepNext/>
              <w:jc w:val="left"/>
            </w:pPr>
            <w:r>
              <w:rPr>
                <w:sz w:val="24"/>
              </w:rPr>
              <w:t>Основная заработная плата</w:t>
            </w:r>
          </w:p>
        </w:tc>
        <w:tc>
          <w:tcPr>
            <w:tcW w:type="dxa" w:w="1984"/>
            <w:vAlign w:val="center"/>
          </w:tcPr>
          <w:p>
            <w:pPr>
              <w:pStyle w:val="TableText"/>
              <w:keepNext/>
              <w:jc w:val="right"/>
            </w:pPr>
            <w:r>
              <w:rPr>
                <w:sz w:val="24"/>
              </w:rPr>
              <w:t>602 842</w:t>
            </w:r>
          </w:p>
        </w:tc>
        <w:tc>
          <w:tcPr>
            <w:tcW w:type="dxa" w:w="1417"/>
            <w:vAlign w:val="center"/>
          </w:tcPr>
          <w:p>
            <w:pPr>
              <w:pStyle w:val="TableText"/>
              <w:keepNext/>
              <w:jc w:val="center"/>
            </w:pPr>
            <w:r>
              <w:rPr>
                <w:sz w:val="24"/>
              </w:rPr>
              <w:t>37,4</w:t>
            </w:r>
          </w:p>
        </w:tc>
      </w:tr>
      <w:tr>
        <w:trPr>
          <w:cantSplit/>
        </w:trPr>
        <w:tc>
          <w:tcPr>
            <w:tcW w:type="dxa" w:w="850"/>
            <w:vAlign w:val="center"/>
          </w:tcPr>
          <w:p>
            <w:pPr>
              <w:pStyle w:val="TableText"/>
              <w:keepNext/>
              <w:jc w:val="center"/>
            </w:pPr>
            <w:r>
              <w:rPr>
                <w:sz w:val="24"/>
              </w:rPr>
              <w:t>5</w:t>
            </w:r>
          </w:p>
        </w:tc>
        <w:tc>
          <w:tcPr>
            <w:tcW w:type="dxa" w:w="5102"/>
            <w:vAlign w:val="center"/>
          </w:tcPr>
          <w:p>
            <w:pPr>
              <w:pStyle w:val="TableText"/>
              <w:keepNext/>
              <w:jc w:val="left"/>
            </w:pPr>
            <w:r>
              <w:rPr>
                <w:sz w:val="24"/>
              </w:rPr>
              <w:t>Дополнительная заработная плата</w:t>
            </w:r>
          </w:p>
        </w:tc>
        <w:tc>
          <w:tcPr>
            <w:tcW w:type="dxa" w:w="1984"/>
            <w:vAlign w:val="center"/>
          </w:tcPr>
          <w:p>
            <w:pPr>
              <w:pStyle w:val="TableText"/>
              <w:keepNext/>
              <w:jc w:val="right"/>
            </w:pPr>
            <w:r>
              <w:rPr>
                <w:sz w:val="24"/>
              </w:rPr>
              <w:t>53 050</w:t>
            </w:r>
          </w:p>
        </w:tc>
        <w:tc>
          <w:tcPr>
            <w:tcW w:type="dxa" w:w="1417"/>
            <w:vAlign w:val="center"/>
          </w:tcPr>
          <w:p>
            <w:pPr>
              <w:pStyle w:val="TableText"/>
              <w:keepNext/>
              <w:jc w:val="center"/>
            </w:pPr>
            <w:r>
              <w:rPr>
                <w:sz w:val="24"/>
              </w:rPr>
              <w:t>3,3</w:t>
            </w:r>
          </w:p>
        </w:tc>
      </w:tr>
      <w:tr>
        <w:trPr>
          <w:cantSplit/>
        </w:trPr>
        <w:tc>
          <w:tcPr>
            <w:tcW w:type="dxa" w:w="850"/>
            <w:vAlign w:val="center"/>
          </w:tcPr>
          <w:p>
            <w:pPr>
              <w:pStyle w:val="TableText"/>
              <w:keepNext/>
              <w:jc w:val="center"/>
            </w:pPr>
            <w:r>
              <w:rPr>
                <w:sz w:val="24"/>
              </w:rPr>
              <w:t>6</w:t>
            </w:r>
          </w:p>
        </w:tc>
        <w:tc>
          <w:tcPr>
            <w:tcW w:type="dxa" w:w="5102"/>
            <w:vAlign w:val="center"/>
          </w:tcPr>
          <w:p>
            <w:pPr>
              <w:pStyle w:val="TableText"/>
              <w:keepNext/>
              <w:jc w:val="left"/>
            </w:pPr>
            <w:r>
              <w:rPr>
                <w:sz w:val="24"/>
              </w:rPr>
              <w:t>Отчисления на социальные нужды (начисления на заработную плату)</w:t>
            </w:r>
          </w:p>
        </w:tc>
        <w:tc>
          <w:tcPr>
            <w:tcW w:type="dxa" w:w="1984"/>
            <w:vAlign w:val="center"/>
          </w:tcPr>
          <w:p>
            <w:pPr>
              <w:pStyle w:val="TableText"/>
              <w:keepNext/>
              <w:jc w:val="right"/>
            </w:pPr>
            <w:r>
              <w:rPr>
                <w:sz w:val="24"/>
              </w:rPr>
              <w:t>198 079</w:t>
            </w:r>
          </w:p>
        </w:tc>
        <w:tc>
          <w:tcPr>
            <w:tcW w:type="dxa" w:w="1417"/>
            <w:vAlign w:val="center"/>
          </w:tcPr>
          <w:p>
            <w:pPr>
              <w:pStyle w:val="TableText"/>
              <w:keepNext/>
              <w:jc w:val="center"/>
            </w:pPr>
            <w:r>
              <w:rPr>
                <w:sz w:val="24"/>
              </w:rPr>
              <w:t>12,3</w:t>
            </w:r>
          </w:p>
        </w:tc>
      </w:tr>
      <w:tr>
        <w:trPr>
          <w:cantSplit/>
        </w:trPr>
        <w:tc>
          <w:tcPr>
            <w:tcW w:type="dxa" w:w="850"/>
            <w:vAlign w:val="center"/>
          </w:tcPr>
          <w:p>
            <w:pPr>
              <w:pStyle w:val="TableText"/>
              <w:keepNext/>
              <w:jc w:val="center"/>
            </w:pPr>
            <w:r>
              <w:rPr>
                <w:sz w:val="24"/>
              </w:rPr>
              <w:t>7</w:t>
            </w:r>
          </w:p>
        </w:tc>
        <w:tc>
          <w:tcPr>
            <w:tcW w:type="dxa" w:w="5102"/>
            <w:vAlign w:val="center"/>
          </w:tcPr>
          <w:p>
            <w:pPr>
              <w:pStyle w:val="TableText"/>
              <w:keepNext/>
              <w:jc w:val="left"/>
            </w:pPr>
            <w:r>
              <w:rPr>
                <w:sz w:val="24"/>
              </w:rPr>
              <w:t>Амортизация оборудования</w:t>
            </w:r>
          </w:p>
        </w:tc>
        <w:tc>
          <w:tcPr>
            <w:tcW w:type="dxa" w:w="1984"/>
            <w:vAlign w:val="center"/>
          </w:tcPr>
          <w:p>
            <w:pPr>
              <w:pStyle w:val="TableText"/>
              <w:keepNext/>
              <w:jc w:val="right"/>
            </w:pPr>
            <w:r>
              <w:rPr>
                <w:sz w:val="24"/>
              </w:rPr>
              <w:t>9 195</w:t>
            </w:r>
          </w:p>
        </w:tc>
        <w:tc>
          <w:tcPr>
            <w:tcW w:type="dxa" w:w="1417"/>
            <w:vAlign w:val="center"/>
          </w:tcPr>
          <w:p>
            <w:pPr>
              <w:pStyle w:val="TableText"/>
              <w:keepNext/>
              <w:jc w:val="center"/>
            </w:pPr>
            <w:r>
              <w:rPr>
                <w:sz w:val="24"/>
              </w:rPr>
              <w:t>0,6</w:t>
            </w:r>
          </w:p>
        </w:tc>
      </w:tr>
      <w:tr>
        <w:trPr>
          <w:cantSplit/>
        </w:trPr>
        <w:tc>
          <w:tcPr>
            <w:tcW w:type="dxa" w:w="850"/>
            <w:vAlign w:val="center"/>
          </w:tcPr>
          <w:p>
            <w:pPr>
              <w:pStyle w:val="TableText"/>
              <w:keepNext/>
              <w:jc w:val="center"/>
            </w:pPr>
            <w:r>
              <w:rPr>
                <w:sz w:val="24"/>
              </w:rPr>
              <w:t>8</w:t>
            </w:r>
          </w:p>
        </w:tc>
        <w:tc>
          <w:tcPr>
            <w:tcW w:type="dxa" w:w="5102"/>
            <w:vAlign w:val="center"/>
          </w:tcPr>
          <w:p>
            <w:pPr>
              <w:pStyle w:val="TableText"/>
              <w:keepNext/>
              <w:jc w:val="left"/>
            </w:pPr>
            <w:r>
              <w:rPr>
                <w:sz w:val="24"/>
              </w:rPr>
              <w:t>Накладные расходы (100 % от ФОТ)</w:t>
            </w:r>
          </w:p>
        </w:tc>
        <w:tc>
          <w:tcPr>
            <w:tcW w:type="dxa" w:w="1984"/>
            <w:vAlign w:val="center"/>
          </w:tcPr>
          <w:p>
            <w:pPr>
              <w:pStyle w:val="TableText"/>
              <w:keepNext/>
              <w:jc w:val="right"/>
            </w:pPr>
            <w:r>
              <w:rPr>
                <w:sz w:val="24"/>
              </w:rPr>
              <w:t>655 892</w:t>
            </w:r>
          </w:p>
        </w:tc>
        <w:tc>
          <w:tcPr>
            <w:tcW w:type="dxa" w:w="1417"/>
            <w:vAlign w:val="center"/>
          </w:tcPr>
          <w:p>
            <w:pPr>
              <w:pStyle w:val="TableText"/>
              <w:keepNext/>
              <w:jc w:val="center"/>
            </w:pPr>
            <w:r>
              <w:rPr>
                <w:sz w:val="24"/>
              </w:rPr>
              <w:t>40,7</w:t>
            </w:r>
          </w:p>
        </w:tc>
      </w:tr>
      <w:tr>
        <w:trPr>
          <w:cantSplit/>
        </w:trPr>
        <w:tc>
          <w:tcPr>
            <w:tcW w:type="dxa" w:w="850"/>
            <w:vAlign w:val="center"/>
          </w:tcPr>
          <w:p>
            <w:pPr>
              <w:pStyle w:val="TableText"/>
              <w:keepNext/>
              <w:jc w:val="center"/>
            </w:pPr>
            <w:r>
              <w:rPr>
                <w:sz w:val="24"/>
              </w:rPr>
              <w:t>9</w:t>
            </w:r>
          </w:p>
        </w:tc>
        <w:tc>
          <w:tcPr>
            <w:tcW w:type="dxa" w:w="5102"/>
            <w:vAlign w:val="center"/>
          </w:tcPr>
          <w:p>
            <w:pPr>
              <w:pStyle w:val="TableText"/>
              <w:keepNext/>
              <w:jc w:val="left"/>
            </w:pPr>
            <w:r>
              <w:rPr>
                <w:sz w:val="24"/>
              </w:rPr>
              <w:t>Прочие расходы (10 % от ФОТ)</w:t>
            </w:r>
          </w:p>
        </w:tc>
        <w:tc>
          <w:tcPr>
            <w:tcW w:type="dxa" w:w="1984"/>
            <w:vAlign w:val="center"/>
          </w:tcPr>
          <w:p>
            <w:pPr>
              <w:pStyle w:val="TableText"/>
              <w:keepNext/>
              <w:jc w:val="right"/>
            </w:pPr>
            <w:r>
              <w:rPr>
                <w:sz w:val="24"/>
              </w:rPr>
              <w:t>65 589</w:t>
            </w:r>
          </w:p>
        </w:tc>
        <w:tc>
          <w:tcPr>
            <w:tcW w:type="dxa" w:w="1417"/>
            <w:vAlign w:val="center"/>
          </w:tcPr>
          <w:p>
            <w:pPr>
              <w:pStyle w:val="TableText"/>
              <w:keepNext/>
              <w:jc w:val="center"/>
            </w:pPr>
            <w:r>
              <w:rPr>
                <w:sz w:val="24"/>
              </w:rPr>
              <w:t>4,1</w:t>
            </w:r>
          </w:p>
        </w:tc>
      </w:tr>
      <w:tr>
        <w:trPr>
          <w:cantSplit/>
        </w:trPr>
        <w:tc>
          <w:tcPr>
            <w:tcW w:type="dxa" w:w="850"/>
            <w:vAlign w:val="center"/>
          </w:tcPr>
          <w:p>
            <w:pPr>
              <w:pStyle w:val="TableText"/>
              <w:jc w:val="center"/>
            </w:pPr>
            <w:r>
              <w:rPr>
                <w:b/>
                <w:sz w:val="24"/>
              </w:rPr>
            </w:r>
          </w:p>
        </w:tc>
        <w:tc>
          <w:tcPr>
            <w:tcW w:type="dxa" w:w="5102"/>
            <w:vAlign w:val="center"/>
          </w:tcPr>
          <w:p>
            <w:pPr>
              <w:pStyle w:val="TableText"/>
              <w:jc w:val="left"/>
            </w:pPr>
            <w:r>
              <w:rPr>
                <w:b/>
                <w:sz w:val="24"/>
              </w:rPr>
              <w:t>Итого себестоимость НИР</w:t>
            </w:r>
          </w:p>
        </w:tc>
        <w:tc>
          <w:tcPr>
            <w:tcW w:type="dxa" w:w="1984"/>
            <w:vAlign w:val="center"/>
          </w:tcPr>
          <w:p>
            <w:pPr>
              <w:pStyle w:val="TableText"/>
              <w:jc w:val="right"/>
            </w:pPr>
            <w:r>
              <w:rPr>
                <w:b/>
                <w:sz w:val="24"/>
              </w:rPr>
              <w:t>1 613 061</w:t>
            </w:r>
          </w:p>
        </w:tc>
        <w:tc>
          <w:tcPr>
            <w:tcW w:type="dxa" w:w="1417"/>
            <w:vAlign w:val="center"/>
          </w:tcPr>
          <w:p>
            <w:pPr>
              <w:pStyle w:val="TableText"/>
              <w:jc w:val="center"/>
            </w:pPr>
            <w:r>
              <w:rPr>
                <w:b/>
                <w:sz w:val="24"/>
              </w:rPr>
              <w:t>100,0</w:t>
            </w:r>
          </w:p>
        </w:tc>
      </w:tr>
    </w:tbl>
    <w:p>
      <w:pPr>
        <w:spacing w:line="240" w:lineRule="auto"/>
      </w:pPr>
    </w:p>
    <w:p>
      <w:r>
        <w:t>Наибольшую долю в себестоимости составляют затраты, связанные с оплатой труда (заработная плата, начисления на неё, накладные и прочие расходы, пропорциональные ФОТ), — 97,7 %, что характерно для научно-исследовательских работ. Материальные затраты составляют лишь 1,8 % благодаря использованию недорогих серийных плат.</w:t>
      </w:r>
    </w:p>
    <w:p>
      <w:pPr>
        <w:keepNext/>
      </w:pPr>
      <w:r>
        <w:t>Для проверки себестоимость определена укрупнённо — по удельному весу оплаты труда с начислениями в типовой структуре затрат на НИР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соц</m:t>
                      </m:r>
                    </m:sub>
                  </m:sSub>
                </m:num>
                <m:den>
                  <m:sSub>
                    <m:e>
                      <m:r>
                        <w:rPr>
                          <w:rFonts w:ascii="Cambria Math" w:hAnsi="Cambria Math"/>
                        </w:rPr>
                        <m:t xml:space="preserve">d</m:t>
                      </m:r>
                    </m:e>
                    <m:sub>
                      <m:r>
                        <m:rPr>
                          <m:sty m:val="p"/>
                        </m:rPr>
                        <w:rPr>
                          <w:rFonts w:ascii="Cambria Math" w:hAnsi="Cambria Math"/>
                        </w:rPr>
                        <m:t xml:space="preserve">ЗП</m:t>
                      </m:r>
                    </m:sub>
                  </m:sSub>
                </m:den>
              </m:f>
              <m:r>
                <m:rPr>
                  <m:sty m:val="p"/>
                </m:rPr>
                <w:rPr>
                  <w:rFonts w:ascii="Cambria Math" w:hAnsi="Cambria Math"/>
                </w:rPr>
                <m:t xml:space="preserve"> = </m:t>
              </m:r>
              <m:f>
                <m:num>
                  <m:r>
                    <m:rPr>
                      <m:sty m:val="p"/>
                    </m:rPr>
                    <w:rPr>
                      <w:rFonts w:ascii="Cambria Math" w:hAnsi="Cambria Math"/>
                    </w:rPr>
                    <m:t xml:space="preserve">655 892 + 198 079</m:t>
                  </m:r>
                </m:num>
                <m:den>
                  <m:r>
                    <m:rPr>
                      <m:sty m:val="p"/>
                    </m:rPr>
                    <w:rPr>
                      <w:rFonts w:ascii="Cambria Math" w:hAnsi="Cambria Math"/>
                    </w:rPr>
                    <m:t xml:space="preserve">0,46</m:t>
                  </m:r>
                </m:den>
              </m:f>
              <m:r>
                <m:rPr>
                  <m:sty m:val="p"/>
                </m:rPr>
                <w:rPr>
                  <w:rFonts w:ascii="Cambria Math" w:hAnsi="Cambria Math"/>
                </w:rPr>
                <m:t xml:space="preserve"> = 1 856 459 руб.,</m:t>
              </m:r>
            </m:oMath>
          </w:p>
        </w:tc>
        <w:tc>
          <w:tcPr>
            <w:tcW w:type="dxa" w:w="1020"/>
            <w:vAlign w:val="center"/>
          </w:tcPr>
          <w:p>
            <w:pPr>
              <w:pStyle w:val="Formula"/>
              <w:jc w:val="right"/>
            </w:pPr>
            <w:r>
              <w:t>(4.21)</w:t>
            </w:r>
          </w:p>
        </w:tc>
      </w:tr>
    </w:tbl>
    <w:p>
      <w:pPr>
        <w:ind w:firstLine="0"/>
      </w:pPr>
      <w:r>
        <w:t xml:space="preserve">где </w:t>
      </w:r>
      <m:oMath>
        <m:sSub>
          <m:e>
            <m:r>
              <w:rPr>
                <w:rFonts w:ascii="Cambria Math" w:hAnsi="Cambria Math"/>
              </w:rPr>
              <m:t xml:space="preserve">d</m:t>
            </m:r>
          </m:e>
          <m:sub>
            <m:r>
              <m:rPr>
                <m:sty m:val="p"/>
              </m:rPr>
              <w:rPr>
                <w:rFonts w:ascii="Cambria Math" w:hAnsi="Cambria Math"/>
              </w:rPr>
              <m:t xml:space="preserve">ЗП</m:t>
            </m:r>
          </m:sub>
        </m:sSub>
      </m:oMath>
      <w:r>
        <w:t xml:space="preserve"> – удельный вес оплаты труда с начислениями в затратах на НИР: 34 % (заработная плата) + 12 % (расходы на социальные нужды) [Э4].</w:t>
      </w:r>
    </w:p>
    <w:p>
      <w:r>
        <w:t>Укрупнённая оценка превышает прямой расчёт на 15,1 %: типовая структура предполагает затраты на спецоборудование и контрагентские работы, которых в данной НИР нет, и более высокую долю материалов. Расхождение находится в пределах точности укрупнённого метода; в дальнейших расчётах используется себестоимость по прямому расчёту.</w:t>
      </w:r>
    </w:p>
    <w:p>
      <w:pPr>
        <w:pStyle w:val="Heading3"/>
      </w:pPr>
      <w:r>
        <w:t>4.4.7 Цена НИР и рентабельность</w:t>
      </w:r>
    </w:p>
    <w:p>
      <w:r>
        <w:t>Цена НИР, т. е. цена НТПр, являющейся её результатом, определяется исходя из принципа обеспечения безубыточности деятельности организации и получения прибыли. Цена первоначальной продажи определяется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НТПр</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ЗП</m:t>
                  </m:r>
                </m:sub>
              </m:sSub>
              <m:r>
                <m:rPr>
                  <m:sty m:val="p"/>
                </m:rPr>
                <w:rPr>
                  <w:rFonts w:ascii="Cambria Math" w:hAnsi="Cambria Math"/>
                </w:rPr>
                <m:t xml:space="preserve">·</m:t>
              </m:r>
              <m:f>
                <m:num>
                  <m:sSub>
                    <m:e>
                      <m:r>
                        <w:rPr>
                          <w:rFonts w:ascii="Cambria Math" w:hAnsi="Cambria Math"/>
                        </w:rPr>
                        <m:t xml:space="preserve">ρ</m:t>
                      </m:r>
                    </m:e>
                    <m:sub>
                      <m:r>
                        <m:rPr>
                          <m:sty m:val="p"/>
                        </m:rPr>
                        <w:rPr>
                          <w:rFonts w:ascii="Cambria Math" w:hAnsi="Cambria Math"/>
                        </w:rPr>
                        <m:t xml:space="preserve">ЗП</m:t>
                      </m:r>
                    </m:sub>
                  </m:sSub>
                </m:num>
                <m:den>
                  <m:r>
                    <m:rPr>
                      <m:sty m:val="p"/>
                    </m:rPr>
                    <w:rPr>
                      <w:rFonts w:ascii="Cambria Math" w:hAnsi="Cambria Math"/>
                    </w:rPr>
                    <m:t xml:space="preserve">100</m:t>
                  </m:r>
                </m:den>
              </m:f>
              <m:r>
                <m:rPr>
                  <m:sty m:val="p"/>
                </m:rPr>
                <w:rPr>
                  <w:rFonts w:ascii="Cambria Math" w:hAnsi="Cambria Math"/>
                </w:rPr>
                <m:t xml:space="preserve">,</m:t>
              </m:r>
            </m:oMath>
          </w:p>
        </w:tc>
        <w:tc>
          <w:tcPr>
            <w:tcW w:type="dxa" w:w="1020"/>
            <w:vAlign w:val="center"/>
          </w:tcPr>
          <w:p>
            <w:pPr>
              <w:pStyle w:val="Formula"/>
              <w:jc w:val="right"/>
            </w:pPr>
            <w:r>
              <w:t>(4.22)</w:t>
            </w:r>
          </w:p>
        </w:tc>
      </w:tr>
    </w:tbl>
    <w:p>
      <w:pPr>
        <w:ind w:firstLine="0"/>
      </w:pPr>
      <w:r>
        <w:t xml:space="preserve">где </w:t>
      </w:r>
      <m:oMath>
        <m:sSub>
          <m:e>
            <m:r>
              <w:rPr>
                <w:rFonts w:ascii="Cambria Math" w:hAnsi="Cambria Math"/>
              </w:rPr>
              <m:t xml:space="preserve">З</m:t>
            </m:r>
          </m:e>
          <m:sub>
            <m:r>
              <m:rPr>
                <m:sty m:val="p"/>
              </m:rPr>
              <w:rPr>
                <w:rFonts w:ascii="Cambria Math" w:hAnsi="Cambria Math"/>
              </w:rPr>
              <m:t xml:space="preserve">НТПр</m:t>
            </m:r>
          </m:sub>
        </m:sSub>
      </m:oMath>
      <w:r>
        <w:t xml:space="preserve"> – себестоимость НИР, руб.;</w:t>
      </w:r>
    </w:p>
    <w:p>
      <m:oMath>
        <m:sSub>
          <m:e>
            <m:r>
              <w:rPr>
                <w:rFonts w:ascii="Cambria Math" w:hAnsi="Cambria Math"/>
              </w:rPr>
              <m:t xml:space="preserve">З</m:t>
            </m:r>
          </m:e>
          <m:sub>
            <m:r>
              <m:rPr>
                <m:sty m:val="p"/>
              </m:rPr>
              <w:rPr>
                <w:rFonts w:ascii="Cambria Math" w:hAnsi="Cambria Math"/>
              </w:rPr>
              <m:t xml:space="preserve">ЗП</m:t>
            </m:r>
          </m:sub>
        </m:sSub>
      </m:oMath>
      <w:r>
        <w:t xml:space="preserve"> – затраты на оплату труда (ФОТ), руб.;</w:t>
      </w:r>
    </w:p>
    <w:p>
      <m:oMath>
        <m:sSub>
          <m:e>
            <m:r>
              <w:rPr>
                <w:rFonts w:ascii="Cambria Math" w:hAnsi="Cambria Math"/>
              </w:rPr>
              <m:t xml:space="preserve">ρ</m:t>
            </m:r>
          </m:e>
          <m:sub>
            <m:r>
              <m:rPr>
                <m:sty m:val="p"/>
              </m:rPr>
              <w:rPr>
                <w:rFonts w:ascii="Cambria Math" w:hAnsi="Cambria Math"/>
              </w:rPr>
              <m:t xml:space="preserve">ЗП</m:t>
            </m:r>
          </m:sub>
        </m:sSub>
      </m:oMath>
      <w:r>
        <w:t xml:space="preserve"> – уровень рентабельности по отношению к оплате труда персонала, обеспечивающий безубыточность деятельности: </w:t>
      </w:r>
      <m:oMath>
        <m:r>
          <m:rPr>
            <m:sty m:val="p"/>
          </m:rPr>
          <w:rPr>
            <w:rFonts w:ascii="Cambria Math" w:hAnsi="Cambria Math"/>
          </w:rPr>
          <m:t xml:space="preserve">200 % ≤ </m:t>
        </m:r>
        <m:sSub>
          <m:e>
            <m:r>
              <w:rPr>
                <w:rFonts w:ascii="Cambria Math" w:hAnsi="Cambria Math"/>
              </w:rPr>
              <m:t xml:space="preserve">ρ</m:t>
            </m:r>
          </m:e>
          <m:sub>
            <m:r>
              <m:rPr>
                <m:sty m:val="p"/>
              </m:rPr>
              <w:rPr>
                <w:rFonts w:ascii="Cambria Math" w:hAnsi="Cambria Math"/>
              </w:rPr>
              <m:t xml:space="preserve">ЗП</m:t>
            </m:r>
          </m:sub>
        </m:sSub>
        <m:r>
          <m:rPr>
            <m:sty m:val="p"/>
          </m:rPr>
          <w:rPr>
            <w:rFonts w:ascii="Cambria Math" w:hAnsi="Cambria Math"/>
          </w:rPr>
          <m:t xml:space="preserve"> ≤ 400 %</m:t>
        </m:r>
      </m:oMath>
      <w:r>
        <w:t xml:space="preserve"> [Э4].</w:t>
      </w:r>
    </w:p>
    <w:p>
      <w:r>
        <w:t xml:space="preserve">Принимается минимальное значение </w:t>
      </w:r>
      <m:oMath>
        <m:sSub>
          <m:e>
            <m:r>
              <w:rPr>
                <w:rFonts w:ascii="Cambria Math" w:hAnsi="Cambria Math"/>
              </w:rPr>
              <m:t xml:space="preserve">ρ</m:t>
            </m:r>
          </m:e>
          <m:sub>
            <m:r>
              <m:rPr>
                <m:sty m:val="p"/>
              </m:rPr>
              <w:rPr>
                <w:rFonts w:ascii="Cambria Math" w:hAnsi="Cambria Math"/>
              </w:rPr>
              <m:t xml:space="preserve">ЗП</m:t>
            </m:r>
          </m:sub>
        </m:sSub>
        <m:r>
          <m:rPr>
            <m:sty m:val="p"/>
          </m:rPr>
          <w:rPr>
            <w:rFonts w:ascii="Cambria Math" w:hAnsi="Cambria Math"/>
          </w:rPr>
          <m:t xml:space="preserve"> = 200 %</m:t>
        </m:r>
      </m:oMath>
      <w:r>
        <w:t>, поскольку работа носит поисковый характер и выполняется на базе кафедры, а её результат — лабораторный стенд и экспериментальные данные — не является серийным коммерческим продуктом. Цена НИР:</w:t>
      </w:r>
    </w:p>
    <w:p>
      <w:pPr>
        <w:pStyle w:val="Formula"/>
        <w:jc w:val="center"/>
      </w:pPr>
      <m:oMath>
        <m:sSub>
          <m:e>
            <m:r>
              <w:rPr>
                <w:rFonts w:ascii="Cambria Math" w:hAnsi="Cambria Math"/>
              </w:rPr>
              <m:t xml:space="preserve">Ц</m:t>
            </m:r>
          </m:e>
          <m:sub>
            <m:r>
              <m:rPr>
                <m:sty m:val="p"/>
              </m:rPr>
              <w:rPr>
                <w:rFonts w:ascii="Cambria Math" w:hAnsi="Cambria Math"/>
              </w:rPr>
              <m:t xml:space="preserve">НТПр</m:t>
            </m:r>
          </m:sub>
        </m:sSub>
        <m:r>
          <m:rPr>
            <m:sty m:val="p"/>
          </m:rPr>
          <w:rPr>
            <w:rFonts w:ascii="Cambria Math" w:hAnsi="Cambria Math"/>
          </w:rPr>
          <m:t xml:space="preserve"> = 1 613 061 + 655 892·</m:t>
        </m:r>
        <m:f>
          <m:num>
            <m:r>
              <m:rPr>
                <m:sty m:val="p"/>
              </m:rPr>
              <w:rPr>
                <w:rFonts w:ascii="Cambria Math" w:hAnsi="Cambria Math"/>
              </w:rPr>
              <m:t xml:space="preserve">200</m:t>
            </m:r>
          </m:num>
          <m:den>
            <m:r>
              <m:rPr>
                <m:sty m:val="p"/>
              </m:rPr>
              <w:rPr>
                <w:rFonts w:ascii="Cambria Math" w:hAnsi="Cambria Math"/>
              </w:rPr>
              <m:t xml:space="preserve">100</m:t>
            </m:r>
          </m:den>
        </m:f>
        <m:r>
          <m:rPr>
            <m:sty m:val="p"/>
          </m:rPr>
          <w:rPr>
            <w:rFonts w:ascii="Cambria Math" w:hAnsi="Cambria Math"/>
          </w:rPr>
          <m:t xml:space="preserve"> = 2 924 845 руб.</m:t>
        </m:r>
      </m:oMath>
    </w:p>
    <w:p>
      <w:r>
        <w:t>Прибыль от выполнения НИР составляет П = 2 924 845 − 1 613 061 = 1 311 784 руб. Рентабельность НИР по отношению к себестоимости:</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Р</m:t>
              </m:r>
              <m:r>
                <m:rPr>
                  <m:sty m:val="p"/>
                </m:rPr>
                <w:rPr>
                  <w:rFonts w:ascii="Cambria Math" w:hAnsi="Cambria Math"/>
                </w:rPr>
                <m:t xml:space="preserve"> = </m:t>
              </m:r>
              <m:f>
                <m:num>
                  <m:r>
                    <w:rPr>
                      <w:rFonts w:ascii="Cambria Math" w:hAnsi="Cambria Math"/>
                    </w:rPr>
                    <m:t xml:space="preserve">П</m:t>
                  </m:r>
                </m:num>
                <m:den>
                  <m:sSub>
                    <m:e>
                      <m:r>
                        <w:rPr>
                          <w:rFonts w:ascii="Cambria Math" w:hAnsi="Cambria Math"/>
                        </w:rPr>
                        <m:t xml:space="preserve">З</m:t>
                      </m:r>
                    </m:e>
                    <m:sub>
                      <m:r>
                        <m:rPr>
                          <m:sty m:val="p"/>
                        </m:rPr>
                        <w:rPr>
                          <w:rFonts w:ascii="Cambria Math" w:hAnsi="Cambria Math"/>
                        </w:rPr>
                        <m:t xml:space="preserve">НТПр</m:t>
                      </m:r>
                    </m:sub>
                  </m:sSub>
                </m:den>
              </m:f>
              <m:r>
                <m:rPr>
                  <m:sty m:val="p"/>
                </m:rPr>
                <w:rPr>
                  <w:rFonts w:ascii="Cambria Math" w:hAnsi="Cambria Math"/>
                </w:rPr>
                <m:t xml:space="preserve">·100 % = </m:t>
              </m:r>
              <m:f>
                <m:num>
                  <m:r>
                    <m:rPr>
                      <m:sty m:val="p"/>
                    </m:rPr>
                    <w:rPr>
                      <w:rFonts w:ascii="Cambria Math" w:hAnsi="Cambria Math"/>
                    </w:rPr>
                    <m:t xml:space="preserve">1 311 784</m:t>
                  </m:r>
                </m:num>
                <m:den>
                  <m:r>
                    <m:rPr>
                      <m:sty m:val="p"/>
                    </m:rPr>
                    <w:rPr>
                      <w:rFonts w:ascii="Cambria Math" w:hAnsi="Cambria Math"/>
                    </w:rPr>
                    <m:t xml:space="preserve">1 613 061</m:t>
                  </m:r>
                </m:den>
              </m:f>
              <m:r>
                <m:rPr>
                  <m:sty m:val="p"/>
                </m:rPr>
                <w:rPr>
                  <w:rFonts w:ascii="Cambria Math" w:hAnsi="Cambria Math"/>
                </w:rPr>
                <m:t xml:space="preserve">·100 % = 81,3 %.</m:t>
              </m:r>
            </m:oMath>
          </w:p>
        </w:tc>
        <w:tc>
          <w:tcPr>
            <w:tcW w:type="dxa" w:w="1020"/>
            <w:vAlign w:val="center"/>
          </w:tcPr>
          <w:p>
            <w:pPr>
              <w:pStyle w:val="Formula"/>
              <w:jc w:val="right"/>
            </w:pPr>
            <w:r>
              <w:t>(4.23)</w:t>
            </w:r>
          </w:p>
        </w:tc>
      </w:tr>
    </w:tbl>
    <w:p>
      <w:r>
        <w:t>Рентабельность продаж (отношение прибыли к цене) составляет 44,8 %. Положительная рентабельность означает, что цена НИР покрывает все затраты на её выполнение и обеспечивает безубыточность деятельности организации.</w:t>
      </w:r>
    </w:p>
    <w:p>
      <w:pPr>
        <w:pStyle w:val="Heading2"/>
      </w:pPr>
      <w:r>
        <w:t>4.5 Определение и оценка показателей экономической эффективности</w:t>
      </w:r>
    </w:p>
    <w:p>
      <w:r>
        <w:t>Основными показателями экономической эффективности являются [Э4]:</w:t>
      </w:r>
    </w:p>
    <w:p>
      <w:r>
        <w:t xml:space="preserve">– </w:t>
      </w:r>
      <w:r>
        <w:t>экономический эффект (Э);</w:t>
      </w:r>
    </w:p>
    <w:p>
      <w:r>
        <w:t xml:space="preserve">– </w:t>
      </w:r>
      <w:r>
        <w:t>уровень экономической эффективности (Е);</w:t>
      </w:r>
    </w:p>
    <w:p>
      <w:r>
        <w:t xml:space="preserve">– </w:t>
      </w:r>
      <w:r>
        <w:t>срок окупаемости вложений (</w:t>
      </w:r>
      <m:oMath>
        <m:sSub>
          <m:e>
            <m:r>
              <w:rPr>
                <w:rFonts w:ascii="Cambria Math" w:hAnsi="Cambria Math"/>
              </w:rPr>
              <m:t xml:space="preserve">Т</m:t>
            </m:r>
          </m:e>
          <m:sub>
            <m:r>
              <m:rPr>
                <m:sty m:val="p"/>
              </m:rPr>
              <w:rPr>
                <w:rFonts w:ascii="Cambria Math" w:hAnsi="Cambria Math"/>
              </w:rPr>
              <m:t xml:space="preserve">ок</m:t>
            </m:r>
          </m:sub>
        </m:sSub>
      </m:oMath>
      <w:r>
        <w:t>).</w:t>
      </w:r>
    </w:p>
    <w:p>
      <w:r>
        <w:t>Экономический эффект определяется как экономия на текущих затратах. Результаты данной НИР — экспериментальные характеристики канала и рекомендации по его применению — используются при проектировании каналов связи с БПЛА, то есть НИР связана с повышением качества проектирования. Годовой экономический эффект такой НИР определяется по формуле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Э</m:t>
              </m:r>
              <m:r>
                <m:rPr>
                  <m:sty m:val="p"/>
                </m:rPr>
                <w:rPr>
                  <w:rFonts w:ascii="Cambria Math" w:hAnsi="Cambria Math"/>
                </w:rPr>
                <m:t xml:space="preserve"> = </m:t>
              </m:r>
              <m:f>
                <m:num>
                  <m:sSub>
                    <m:e>
                      <m:r>
                        <w:rPr>
                          <w:rFonts w:ascii="Cambria Math" w:hAnsi="Cambria Math"/>
                        </w:rPr>
                        <m:t xml:space="preserve">З</m:t>
                      </m:r>
                    </m:e>
                    <m:sub>
                      <m:r>
                        <m:rPr>
                          <m:sty m:val="p"/>
                        </m:rPr>
                        <w:rPr>
                          <w:rFonts w:ascii="Cambria Math" w:hAnsi="Cambria Math"/>
                        </w:rPr>
                        <m:t xml:space="preserve">Б</m:t>
                      </m:r>
                    </m:sub>
                  </m:sSub>
                  <m:r>
                    <m:rPr>
                      <m:sty m:val="p"/>
                    </m:rPr>
                    <w:rPr>
                      <w:rFonts w:ascii="Cambria Math" w:hAnsi="Cambria Math"/>
                    </w:rPr>
                    <m:t xml:space="preserve">·</m:t>
                  </m:r>
                  <m:sSub>
                    <m:e>
                      <m:r>
                        <w:rPr>
                          <w:rFonts w:ascii="Cambria Math" w:hAnsi="Cambria Math"/>
                        </w:rPr>
                        <m:t xml:space="preserve">J</m:t>
                      </m:r>
                    </m:e>
                    <m:sub>
                      <m:r>
                        <m:rPr>
                          <m:sty m:val="p"/>
                        </m:rPr>
                        <w:rPr>
                          <w:rFonts w:ascii="Cambria Math" w:hAnsi="Cambria Math"/>
                        </w:rPr>
                        <m:t xml:space="preserve">НТП</m:t>
                      </m:r>
                    </m:sub>
                  </m:sSub>
                  <m:r>
                    <m:rPr>
                      <m:sty m:val="p"/>
                    </m:rPr>
                    <w:rPr>
                      <w:rFonts w:ascii="Cambria Math" w:hAnsi="Cambria Math"/>
                    </w:rPr>
                    <m:t xml:space="preserve"> − </m:t>
                  </m:r>
                  <m:sSub>
                    <m:e>
                      <m:r>
                        <w:rPr>
                          <w:rFonts w:ascii="Cambria Math" w:hAnsi="Cambria Math"/>
                        </w:rPr>
                        <m:t xml:space="preserve">З</m:t>
                      </m:r>
                    </m:e>
                    <m:sub>
                      <m:r>
                        <m:rPr>
                          <m:sty m:val="p"/>
                        </m:rPr>
                        <w:rPr>
                          <w:rFonts w:ascii="Cambria Math" w:hAnsi="Cambria Math"/>
                        </w:rPr>
                        <m:t xml:space="preserve">Н</m:t>
                      </m:r>
                    </m:sub>
                  </m:sSub>
                </m:num>
                <m:den>
                  <m:sSub>
                    <m:e>
                      <m:r>
                        <w:rPr>
                          <w:rFonts w:ascii="Cambria Math" w:hAnsi="Cambria Math"/>
                        </w:rPr>
                        <m:t xml:space="preserve">Т</m:t>
                      </m:r>
                    </m:e>
                    <m:sub>
                      <m:r>
                        <m:rPr>
                          <m:sty m:val="p"/>
                        </m:rPr>
                        <w:rPr>
                          <w:rFonts w:ascii="Cambria Math" w:hAnsi="Cambria Math"/>
                        </w:rPr>
                        <m:t xml:space="preserve">н</m:t>
                      </m:r>
                    </m:sub>
                  </m:sSub>
                </m:den>
              </m:f>
              <m:r>
                <m:rPr>
                  <m:sty m:val="p"/>
                </m:rPr>
                <w:rPr>
                  <w:rFonts w:ascii="Cambria Math" w:hAnsi="Cambria Math"/>
                </w:rPr>
                <m:t xml:space="preserve">,</m:t>
              </m:r>
            </m:oMath>
          </w:p>
        </w:tc>
        <w:tc>
          <w:tcPr>
            <w:tcW w:type="dxa" w:w="1020"/>
            <w:vAlign w:val="center"/>
          </w:tcPr>
          <w:p>
            <w:pPr>
              <w:pStyle w:val="Formula"/>
              <w:jc w:val="right"/>
            </w:pPr>
            <w:r>
              <w:t>(4.24)</w:t>
            </w:r>
          </w:p>
        </w:tc>
      </w:tr>
    </w:tbl>
    <w:p>
      <w:pPr>
        <w:ind w:firstLine="0"/>
      </w:pPr>
      <w:r>
        <w:t xml:space="preserve">где </w:t>
      </w:r>
      <m:oMath>
        <m:sSub>
          <m:e>
            <m:r>
              <w:rPr>
                <w:rFonts w:ascii="Cambria Math" w:hAnsi="Cambria Math"/>
              </w:rPr>
              <m:t xml:space="preserve">З</m:t>
            </m:r>
          </m:e>
          <m:sub>
            <m:r>
              <m:rPr>
                <m:sty m:val="p"/>
              </m:rPr>
              <w:rPr>
                <w:rFonts w:ascii="Cambria Math" w:hAnsi="Cambria Math"/>
              </w:rPr>
              <m:t xml:space="preserve">Б</m:t>
            </m:r>
          </m:sub>
        </m:sSub>
      </m:oMath>
      <w:r>
        <w:t xml:space="preserve">, </w:t>
      </w:r>
      <m:oMath>
        <m:sSub>
          <m:e>
            <m:r>
              <w:rPr>
                <w:rFonts w:ascii="Cambria Math" w:hAnsi="Cambria Math"/>
              </w:rPr>
              <m:t xml:space="preserve">З</m:t>
            </m:r>
          </m:e>
          <m:sub>
            <m:r>
              <m:rPr>
                <m:sty m:val="p"/>
              </m:rPr>
              <w:rPr>
                <w:rFonts w:ascii="Cambria Math" w:hAnsi="Cambria Math"/>
              </w:rPr>
              <m:t xml:space="preserve">Н</m:t>
            </m:r>
          </m:sub>
        </m:sSub>
      </m:oMath>
      <w:r>
        <w:t xml:space="preserve"> – затраты на выполнение темы в базовом и новом вариантах, руб.;</w:t>
      </w:r>
    </w:p>
    <w:p>
      <m:oMath>
        <m:sSub>
          <m:e>
            <m:r>
              <w:rPr>
                <w:rFonts w:ascii="Cambria Math" w:hAnsi="Cambria Math"/>
              </w:rPr>
              <m:t xml:space="preserve">J</m:t>
            </m:r>
          </m:e>
          <m:sub>
            <m:r>
              <m:rPr>
                <m:sty m:val="p"/>
              </m:rPr>
              <w:rPr>
                <w:rFonts w:ascii="Cambria Math" w:hAnsi="Cambria Math"/>
              </w:rPr>
              <m:t xml:space="preserve">НТП</m:t>
            </m:r>
          </m:sub>
        </m:sSub>
      </m:oMath>
      <w:r>
        <w:t xml:space="preserve"> – индекс научно-технической прогрессивности (формула (4.1));</w:t>
      </w:r>
    </w:p>
    <w:p>
      <m:oMath>
        <m:sSub>
          <m:e>
            <m:r>
              <w:rPr>
                <w:rFonts w:ascii="Cambria Math" w:hAnsi="Cambria Math"/>
              </w:rPr>
              <m:t xml:space="preserve">Т</m:t>
            </m:r>
          </m:e>
          <m:sub>
            <m:r>
              <m:rPr>
                <m:sty m:val="p"/>
              </m:rPr>
              <w:rPr>
                <w:rFonts w:ascii="Cambria Math" w:hAnsi="Cambria Math"/>
              </w:rPr>
              <m:t xml:space="preserve">н</m:t>
            </m:r>
          </m:sub>
        </m:sSub>
      </m:oMath>
      <w:r>
        <w:t xml:space="preserve"> – продолжительность разработки новой темы: 91 кал. дн., или 91/365 = 0,249 года.</w:t>
      </w:r>
    </w:p>
    <w:p>
      <w:r>
        <w:t xml:space="preserve">Затраты нового варианта равны себестоимости НИР: </w:t>
      </w:r>
      <m:oMath>
        <m:sSub>
          <m:e>
            <m:r>
              <w:rPr>
                <w:rFonts w:ascii="Cambria Math" w:hAnsi="Cambria Math"/>
              </w:rPr>
              <m:t xml:space="preserve">З</m:t>
            </m:r>
          </m:e>
          <m:sub>
            <m:r>
              <m:rPr>
                <m:sty m:val="p"/>
              </m:rPr>
              <w:rPr>
                <w:rFonts w:ascii="Cambria Math" w:hAnsi="Cambria Math"/>
              </w:rPr>
              <m:t xml:space="preserve">Н</m:t>
            </m:r>
          </m:sub>
        </m:sSub>
        <m:r>
          <m:rPr>
            <m:sty m:val="p"/>
          </m:rPr>
          <w:rPr>
            <w:rFonts w:ascii="Cambria Math" w:hAnsi="Cambria Math"/>
          </w:rPr>
          <m:t xml:space="preserve"> = 1 613 061</m:t>
        </m:r>
      </m:oMath>
      <w:r>
        <w:t xml:space="preserve"> руб. (таблица 4.15). Базовый вариант предполагает тот же состав и трудоёмкость работ, но в качестве аппаратной платформы используются оценочные комплекты Morse Micro MM6108-EKH05 стоимостью 39 620 руб. за комплект [Э8] (таблица 4.3) вместо плат LilyGO T-HaLow. Статьи затрат, рассчитываемые от фонда оплаты труда, при этом не меняются, а материальные затраты возрастают на</w:t>
      </w:r>
    </w:p>
    <w:p>
      <w:pPr>
        <w:pStyle w:val="Formula"/>
        <w:jc w:val="center"/>
      </w:pPr>
      <m:oMath>
        <m:r>
          <w:rPr>
            <w:rFonts w:ascii="Cambria Math" w:hAnsi="Cambria Math"/>
          </w:rPr>
          <m:t xml:space="preserve">ΔЗ</m:t>
        </m:r>
        <m:r>
          <m:rPr>
            <m:sty m:val="p"/>
          </m:rPr>
          <w:rPr>
            <w:rFonts w:ascii="Cambria Math" w:hAnsi="Cambria Math"/>
          </w:rPr>
          <m:t xml:space="preserve"> = 2·39 620 − 2·3 198 = 79 240 − 6 396 = 72 844 руб.</m:t>
        </m:r>
      </m:oMath>
    </w:p>
    <w:p>
      <w:r>
        <w:t xml:space="preserve">Затраты базового варианта: </w:t>
      </w:r>
      <m:oMath>
        <m:sSub>
          <m:e>
            <m:r>
              <w:rPr>
                <w:rFonts w:ascii="Cambria Math" w:hAnsi="Cambria Math"/>
              </w:rPr>
              <m:t xml:space="preserve">З</m:t>
            </m:r>
          </m:e>
          <m:sub>
            <m:r>
              <m:rPr>
                <m:sty m:val="p"/>
              </m:rPr>
              <w:rPr>
                <w:rFonts w:ascii="Cambria Math" w:hAnsi="Cambria Math"/>
              </w:rPr>
              <m:t xml:space="preserve">Б</m:t>
            </m:r>
          </m:sub>
        </m:sSub>
        <m:r>
          <m:rPr>
            <m:sty m:val="p"/>
          </m:rPr>
          <w:rPr>
            <w:rFonts w:ascii="Cambria Math" w:hAnsi="Cambria Math"/>
          </w:rPr>
          <m:t xml:space="preserve"> = 1 613 061 + 72 844 = 1 685 905</m:t>
        </m:r>
      </m:oMath>
      <w:r>
        <w:t xml:space="preserve"> руб. Дополнительно следует отметить, что срок поставки оценочных комплектов составляет 7–8 недель [Э8], что в базовом варианте сдвинуло бы начало экспериментальной стадии; в денежном выражении этот фактор не учитывается, что идёт в запас оценки. Экономический эффект:</w:t>
      </w:r>
    </w:p>
    <w:p>
      <w:pPr>
        <w:pStyle w:val="Formula"/>
        <w:jc w:val="center"/>
      </w:pPr>
      <m:oMath>
        <m:r>
          <w:rPr>
            <w:rFonts w:ascii="Cambria Math" w:hAnsi="Cambria Math"/>
          </w:rPr>
          <m:t xml:space="preserve">Э</m:t>
        </m:r>
        <m:r>
          <m:rPr>
            <m:sty m:val="p"/>
          </m:rPr>
          <w:rPr>
            <w:rFonts w:ascii="Cambria Math" w:hAnsi="Cambria Math"/>
          </w:rPr>
          <m:t xml:space="preserve"> = </m:t>
        </m:r>
        <m:f>
          <m:num>
            <m:r>
              <m:rPr>
                <m:sty m:val="p"/>
              </m:rPr>
              <w:rPr>
                <w:rFonts w:ascii="Cambria Math" w:hAnsi="Cambria Math"/>
              </w:rPr>
              <m:t xml:space="preserve">1 685 905·1,68 − 1 613 061</m:t>
            </m:r>
          </m:num>
          <m:den>
            <m:r>
              <m:rPr>
                <m:sty m:val="p"/>
              </m:rPr>
              <w:rPr>
                <w:rFonts w:ascii="Cambria Math" w:hAnsi="Cambria Math"/>
              </w:rPr>
              <m:t xml:space="preserve">0,249</m:t>
            </m:r>
          </m:den>
        </m:f>
        <m:r>
          <m:rPr>
            <m:sty m:val="p"/>
          </m:rPr>
          <w:rPr>
            <w:rFonts w:ascii="Cambria Math" w:hAnsi="Cambria Math"/>
          </w:rPr>
          <m:t xml:space="preserve"> = </m:t>
        </m:r>
        <m:f>
          <m:num>
            <m:r>
              <m:rPr>
                <m:sty m:val="p"/>
              </m:rPr>
              <w:rPr>
                <w:rFonts w:ascii="Cambria Math" w:hAnsi="Cambria Math"/>
              </w:rPr>
              <m:t xml:space="preserve">1 219 259</m:t>
            </m:r>
          </m:num>
          <m:den>
            <m:r>
              <m:rPr>
                <m:sty m:val="p"/>
              </m:rPr>
              <w:rPr>
                <w:rFonts w:ascii="Cambria Math" w:hAnsi="Cambria Math"/>
              </w:rPr>
              <m:t xml:space="preserve">0,249</m:t>
            </m:r>
          </m:den>
        </m:f>
        <m:r>
          <m:rPr>
            <m:sty m:val="p"/>
          </m:rPr>
          <w:rPr>
            <w:rFonts w:ascii="Cambria Math" w:hAnsi="Cambria Math"/>
          </w:rPr>
          <m:t xml:space="preserve"> = 4 896 622 руб./год.</m:t>
        </m:r>
      </m:oMath>
    </w:p>
    <w:p>
      <w:pPr>
        <w:keepNext/>
      </w:pPr>
      <w:r>
        <w:t>Уровень экономической эффективности затрат на НИР при использовании её результатов в сфере науки [Э4]: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Е</m:t>
              </m:r>
              <m:r>
                <m:rPr>
                  <m:sty m:val="p"/>
                </m:rPr>
                <w:rPr>
                  <w:rFonts w:ascii="Cambria Math" w:hAnsi="Cambria Math"/>
                </w:rPr>
                <m:t xml:space="preserve"> = </m:t>
              </m:r>
              <m:f>
                <m:num>
                  <m:r>
                    <w:rPr>
                      <w:rFonts w:ascii="Cambria Math" w:hAnsi="Cambria Math"/>
                    </w:rPr>
                    <m:t xml:space="preserve">Э</m:t>
                  </m:r>
                  <m:r>
                    <m:rPr>
                      <m:sty m:val="p"/>
                    </m:rPr>
                    <w:rPr>
                      <w:rFonts w:ascii="Cambria Math" w:hAnsi="Cambria Math"/>
                    </w:rPr>
                    <m:t xml:space="preserve">·</m:t>
                  </m:r>
                  <m:r>
                    <w:rPr>
                      <w:rFonts w:ascii="Cambria Math" w:hAnsi="Cambria Math"/>
                    </w:rPr>
                    <m:t xml:space="preserve">α</m:t>
                  </m:r>
                </m:num>
                <m:den>
                  <m:sSub>
                    <m:e>
                      <m:r>
                        <w:rPr>
                          <w:rFonts w:ascii="Cambria Math" w:hAnsi="Cambria Math"/>
                        </w:rPr>
                        <m:t xml:space="preserve">Ц</m:t>
                      </m:r>
                    </m:e>
                    <m:sub>
                      <m:r>
                        <m:rPr>
                          <m:sty m:val="p"/>
                        </m:rPr>
                        <w:rPr>
                          <w:rFonts w:ascii="Cambria Math" w:hAnsi="Cambria Math"/>
                        </w:rPr>
                        <m:t xml:space="preserve">НИР</m:t>
                      </m:r>
                    </m:sub>
                  </m:sSub>
                </m:den>
              </m:f>
              <m:r>
                <m:rPr>
                  <m:sty m:val="p"/>
                </m:rPr>
                <w:rPr>
                  <w:rFonts w:ascii="Cambria Math" w:hAnsi="Cambria Math"/>
                </w:rPr>
                <m:t xml:space="preserve">,</m:t>
              </m:r>
            </m:oMath>
          </w:p>
        </w:tc>
        <w:tc>
          <w:tcPr>
            <w:tcW w:type="dxa" w:w="1020"/>
            <w:vAlign w:val="center"/>
          </w:tcPr>
          <w:p>
            <w:pPr>
              <w:pStyle w:val="Formula"/>
              <w:jc w:val="right"/>
            </w:pPr>
            <w:r>
              <w:t>(4.25)</w:t>
            </w:r>
          </w:p>
        </w:tc>
      </w:tr>
    </w:tbl>
    <w:p>
      <w:pPr>
        <w:ind w:firstLine="0"/>
      </w:pPr>
      <w:r>
        <w:t xml:space="preserve">где </w:t>
      </w:r>
      <m:oMath>
        <m:r>
          <w:rPr>
            <w:rFonts w:ascii="Cambria Math" w:hAnsi="Cambria Math"/>
          </w:rPr>
          <m:t xml:space="preserve">α</m:t>
        </m:r>
      </m:oMath>
      <w:r>
        <w:t xml:space="preserve"> – доля экономического эффекта, приходящаяся на разработку; она определяется пропорционально затратам всех участников создания и применения НТПр, а поскольку НИР выполняется одной организацией без соисполнителей, </w:t>
      </w:r>
      <m:oMath>
        <m:r>
          <w:rPr>
            <w:rFonts w:ascii="Cambria Math" w:hAnsi="Cambria Math"/>
          </w:rPr>
          <m:t xml:space="preserve">α</m:t>
        </m:r>
        <m:r>
          <m:rPr>
            <m:sty m:val="p"/>
          </m:rPr>
          <w:rPr>
            <w:rFonts w:ascii="Cambria Math" w:hAnsi="Cambria Math"/>
          </w:rPr>
          <m:t xml:space="preserve"> = 1</m:t>
        </m:r>
      </m:oMath>
      <w:r>
        <w:t>;</w:t>
      </w:r>
    </w:p>
    <w:p>
      <m:oMath>
        <m:sSub>
          <m:e>
            <m:r>
              <w:rPr>
                <w:rFonts w:ascii="Cambria Math" w:hAnsi="Cambria Math"/>
              </w:rPr>
              <m:t xml:space="preserve">Ц</m:t>
            </m:r>
          </m:e>
          <m:sub>
            <m:r>
              <m:rPr>
                <m:sty m:val="p"/>
              </m:rPr>
              <w:rPr>
                <w:rFonts w:ascii="Cambria Math" w:hAnsi="Cambria Math"/>
              </w:rPr>
              <m:t xml:space="preserve">НИР</m:t>
            </m:r>
          </m:sub>
        </m:sSub>
      </m:oMath>
      <w:r>
        <w:t xml:space="preserve"> – цена НИР, руб.</w:t>
      </w:r>
    </w:p>
    <w:p>
      <w:pPr>
        <w:pStyle w:val="Formula"/>
        <w:jc w:val="center"/>
      </w:pPr>
      <m:oMath>
        <m:r>
          <w:rPr>
            <w:rFonts w:ascii="Cambria Math" w:hAnsi="Cambria Math"/>
          </w:rPr>
          <m:t xml:space="preserve">Е</m:t>
        </m:r>
        <m:r>
          <m:rPr>
            <m:sty m:val="p"/>
          </m:rPr>
          <w:rPr>
            <w:rFonts w:ascii="Cambria Math" w:hAnsi="Cambria Math"/>
          </w:rPr>
          <m:t xml:space="preserve"> = </m:t>
        </m:r>
        <m:f>
          <m:num>
            <m:r>
              <m:rPr>
                <m:sty m:val="p"/>
              </m:rPr>
              <w:rPr>
                <w:rFonts w:ascii="Cambria Math" w:hAnsi="Cambria Math"/>
              </w:rPr>
              <m:t xml:space="preserve">4 896 622·1</m:t>
            </m:r>
          </m:num>
          <m:den>
            <m:r>
              <m:rPr>
                <m:sty m:val="p"/>
              </m:rPr>
              <w:rPr>
                <w:rFonts w:ascii="Cambria Math" w:hAnsi="Cambria Math"/>
              </w:rPr>
              <m:t xml:space="preserve">2 924 845</m:t>
            </m:r>
          </m:den>
        </m:f>
        <m:r>
          <m:rPr>
            <m:sty m:val="p"/>
          </m:rPr>
          <w:rPr>
            <w:rFonts w:ascii="Cambria Math" w:hAnsi="Cambria Math"/>
          </w:rPr>
          <m:t xml:space="preserve"> = 1,67.</m:t>
        </m:r>
      </m:oMath>
    </w:p>
    <w:p>
      <w:pPr>
        <w:keepNext/>
      </w:pPr>
      <w:r>
        <w:t>Срок окупаемости вложений в разработку, лет: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Т</m:t>
                  </m:r>
                </m:e>
                <m:sub>
                  <m:r>
                    <m:rPr>
                      <m:sty m:val="p"/>
                    </m:rPr>
                    <w:rPr>
                      <w:rFonts w:ascii="Cambria Math" w:hAnsi="Cambria Math"/>
                    </w:rPr>
                    <m:t xml:space="preserve">ок</m:t>
                  </m:r>
                </m:sub>
              </m:sSub>
              <m:r>
                <m:rPr>
                  <m:sty m:val="p"/>
                </m:rPr>
                <w:rPr>
                  <w:rFonts w:ascii="Cambria Math" w:hAnsi="Cambria Math"/>
                </w:rPr>
                <m:t xml:space="preserve"> = </m:t>
              </m:r>
              <m:f>
                <m:num>
                  <m:r>
                    <m:rPr>
                      <m:sty m:val="p"/>
                    </m:rPr>
                    <w:rPr>
                      <w:rFonts w:ascii="Cambria Math" w:hAnsi="Cambria Math"/>
                    </w:rPr>
                    <m:t xml:space="preserve">1</m:t>
                  </m:r>
                </m:num>
                <m:den>
                  <m:r>
                    <w:rPr>
                      <w:rFonts w:ascii="Cambria Math" w:hAnsi="Cambria Math"/>
                    </w:rPr>
                    <m:t xml:space="preserve">Е</m:t>
                  </m:r>
                </m:den>
              </m:f>
              <m:r>
                <m:rPr>
                  <m:sty m:val="p"/>
                </m:rPr>
                <w:rPr>
                  <w:rFonts w:ascii="Cambria Math" w:hAnsi="Cambria Math"/>
                </w:rPr>
                <m:t xml:space="preserve"> = </m:t>
              </m:r>
              <m:f>
                <m:num>
                  <m:r>
                    <m:rPr>
                      <m:sty m:val="p"/>
                    </m:rPr>
                    <w:rPr>
                      <w:rFonts w:ascii="Cambria Math" w:hAnsi="Cambria Math"/>
                    </w:rPr>
                    <m:t xml:space="preserve">1</m:t>
                  </m:r>
                </m:num>
                <m:den>
                  <m:r>
                    <m:rPr>
                      <m:sty m:val="p"/>
                    </m:rPr>
                    <w:rPr>
                      <w:rFonts w:ascii="Cambria Math" w:hAnsi="Cambria Math"/>
                    </w:rPr>
                    <m:t xml:space="preserve">1,67</m:t>
                  </m:r>
                </m:den>
              </m:f>
              <m:r>
                <m:rPr>
                  <m:sty m:val="p"/>
                </m:rPr>
                <w:rPr>
                  <w:rFonts w:ascii="Cambria Math" w:hAnsi="Cambria Math"/>
                </w:rPr>
                <m:t xml:space="preserve"> = 0,60 года.</m:t>
              </m:r>
            </m:oMath>
          </w:p>
        </w:tc>
        <w:tc>
          <w:tcPr>
            <w:tcW w:type="dxa" w:w="1020"/>
            <w:vAlign w:val="center"/>
          </w:tcPr>
          <w:p>
            <w:pPr>
              <w:pStyle w:val="Formula"/>
              <w:jc w:val="right"/>
            </w:pPr>
            <w:r>
              <w:t>(4.26)</w:t>
            </w:r>
          </w:p>
        </w:tc>
      </w:tr>
    </w:tbl>
    <w:p>
      <w:r>
        <w:t xml:space="preserve">Таким образом, срок окупаемости составляет около 7 месяцев. Для наукоёмкой продукции уровень экономической эффективности должен быть не менее 0,5, то есть вложения должны окупаться в пределах двух лет [Э4]. Полученные значения Е = 1,67 и </w:t>
      </w:r>
      <m:oMath>
        <m:sSub>
          <m:e>
            <m:r>
              <w:rPr>
                <w:rFonts w:ascii="Cambria Math" w:hAnsi="Cambria Math"/>
              </w:rPr>
              <m:t xml:space="preserve">Т</m:t>
            </m:r>
          </m:e>
          <m:sub>
            <m:r>
              <m:rPr>
                <m:sty m:val="p"/>
              </m:rPr>
              <w:rPr>
                <w:rFonts w:ascii="Cambria Math" w:hAnsi="Cambria Math"/>
              </w:rPr>
              <m:t xml:space="preserve">ок</m:t>
            </m:r>
          </m:sub>
        </m:sSub>
        <m:r>
          <m:rPr>
            <m:sty m:val="p"/>
          </m:rPr>
          <w:rPr>
            <w:rFonts w:ascii="Cambria Math" w:hAnsi="Cambria Math"/>
          </w:rPr>
          <m:t xml:space="preserve"> = 0,60</m:t>
        </m:r>
      </m:oMath>
      <w:r>
        <w:t xml:space="preserve"> года этому требованию удовлетворяют.</w:t>
      </w:r>
    </w:p>
    <w:p>
      <w:pPr>
        <w:pStyle w:val="Heading2"/>
      </w:pPr>
      <w:r>
        <w:t>4.6 Выводы</w:t>
      </w:r>
    </w:p>
    <w:p>
      <w:r>
        <w:t>В ходе выполнения экономической части ВКР проведено технико-экономическое обоснование НИР по исследованию эффективности применения технологии Wi-Fi HaLow (IEEE 802.11ah) для передачи данных с удалёнными объектами. Полученные показатели сведены в таблицу 4.16.</w:t>
      </w:r>
    </w:p>
    <w:p>
      <w:pPr>
        <w:pStyle w:val="TableCaption"/>
        <w:ind w:firstLine="0"/>
      </w:pPr>
      <w:r>
        <w:t>Таблица 4.16 – Основные технико-экономические показатели НИР</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535"/>
        <w:gridCol w:w="2154"/>
        <w:gridCol w:w="2664"/>
      </w:tblGrid>
      <w:tr>
        <w:trPr>
          <w:cantSplit/>
          <w:tblHeader w:val="true"/>
        </w:trPr>
        <w:tc>
          <w:tcPr>
            <w:tcW w:type="dxa" w:w="4535"/>
            <w:vAlign w:val="center"/>
          </w:tcPr>
          <w:p>
            <w:pPr>
              <w:pStyle w:val="TableText"/>
              <w:keepNext/>
              <w:jc w:val="center"/>
            </w:pPr>
            <w:r>
              <w:rPr>
                <w:b/>
                <w:sz w:val="24"/>
              </w:rPr>
              <w:t>Показатель</w:t>
            </w:r>
          </w:p>
        </w:tc>
        <w:tc>
          <w:tcPr>
            <w:tcW w:type="dxa" w:w="2154"/>
            <w:vAlign w:val="center"/>
          </w:tcPr>
          <w:p>
            <w:pPr>
              <w:pStyle w:val="TableText"/>
              <w:keepNext/>
              <w:jc w:val="center"/>
            </w:pPr>
            <w:r>
              <w:rPr>
                <w:b/>
                <w:sz w:val="24"/>
              </w:rPr>
              <w:t>Значение</w:t>
            </w:r>
          </w:p>
        </w:tc>
        <w:tc>
          <w:tcPr>
            <w:tcW w:type="dxa" w:w="2665"/>
            <w:vAlign w:val="center"/>
          </w:tcPr>
          <w:p>
            <w:pPr>
              <w:pStyle w:val="TableText"/>
              <w:keepNext/>
              <w:jc w:val="center"/>
            </w:pPr>
            <w:r>
              <w:rPr>
                <w:b/>
                <w:sz w:val="24"/>
              </w:rPr>
              <w:t>Критерий целесообразности</w:t>
            </w:r>
          </w:p>
        </w:tc>
      </w:tr>
      <w:tr>
        <w:trPr>
          <w:cantSplit/>
        </w:trPr>
        <w:tc>
          <w:tcPr>
            <w:tcW w:type="dxa" w:w="4535"/>
            <w:vAlign w:val="center"/>
          </w:tcPr>
          <w:p>
            <w:pPr>
              <w:pStyle w:val="TableText"/>
              <w:keepNext/>
              <w:jc w:val="left"/>
            </w:pPr>
            <w:r>
              <w:rPr>
                <w:sz w:val="24"/>
              </w:rPr>
              <w:t>Индекс научно-технической прогрессивности</w:t>
            </w:r>
          </w:p>
        </w:tc>
        <w:tc>
          <w:tcPr>
            <w:tcW w:type="dxa" w:w="2154"/>
            <w:vAlign w:val="center"/>
          </w:tcPr>
          <w:p>
            <w:pPr>
              <w:pStyle w:val="TableText"/>
              <w:keepNext/>
              <w:jc w:val="center"/>
            </w:pPr>
            <w:r>
              <w:rPr>
                <w:sz w:val="24"/>
              </w:rPr>
              <w:t>1,68</w:t>
            </w:r>
          </w:p>
        </w:tc>
        <w:tc>
          <w:tcPr>
            <w:tcW w:type="dxa" w:w="2665"/>
            <w:vAlign w:val="center"/>
          </w:tcPr>
          <w:p>
            <w:pPr>
              <w:pStyle w:val="TableText"/>
              <w:keepNext/>
              <w:jc w:val="center"/>
            </w:pPr>
            <w:r>
              <w:rPr>
                <w:sz w:val="24"/>
              </w:rPr>
              <w:t>больше 1 — выполнен</w:t>
            </w:r>
          </w:p>
        </w:tc>
      </w:tr>
      <w:tr>
        <w:trPr>
          <w:cantSplit/>
        </w:trPr>
        <w:tc>
          <w:tcPr>
            <w:tcW w:type="dxa" w:w="4535"/>
            <w:vAlign w:val="center"/>
          </w:tcPr>
          <w:p>
            <w:pPr>
              <w:pStyle w:val="TableText"/>
              <w:keepNext/>
              <w:jc w:val="left"/>
            </w:pPr>
            <w:r>
              <w:rPr>
                <w:sz w:val="24"/>
              </w:rPr>
              <w:t>Показатель новизны</w:t>
            </w:r>
          </w:p>
        </w:tc>
        <w:tc>
          <w:tcPr>
            <w:tcW w:type="dxa" w:w="2154"/>
            <w:vAlign w:val="center"/>
          </w:tcPr>
          <w:p>
            <w:pPr>
              <w:pStyle w:val="TableText"/>
              <w:keepNext/>
              <w:jc w:val="center"/>
            </w:pPr>
            <w:r>
              <w:rPr>
                <w:sz w:val="24"/>
              </w:rPr>
              <w:t>0,36</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Трудоёмкость НИР, чел.-ч</w:t>
            </w:r>
          </w:p>
        </w:tc>
        <w:tc>
          <w:tcPr>
            <w:tcW w:type="dxa" w:w="2154"/>
            <w:vAlign w:val="center"/>
          </w:tcPr>
          <w:p>
            <w:pPr>
              <w:pStyle w:val="TableText"/>
              <w:keepNext/>
              <w:jc w:val="center"/>
            </w:pPr>
            <w:r>
              <w:rPr>
                <w:sz w:val="24"/>
              </w:rPr>
              <w:t>800</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Продолжительность НИР (критический путь), раб. дн. / кал. дн.</w:t>
            </w:r>
          </w:p>
        </w:tc>
        <w:tc>
          <w:tcPr>
            <w:tcW w:type="dxa" w:w="2154"/>
            <w:vAlign w:val="center"/>
          </w:tcPr>
          <w:p>
            <w:pPr>
              <w:pStyle w:val="TableText"/>
              <w:keepNext/>
              <w:jc w:val="center"/>
            </w:pPr>
            <w:r>
              <w:rPr>
                <w:sz w:val="24"/>
              </w:rPr>
              <w:t>65 / 91</w:t>
            </w:r>
          </w:p>
        </w:tc>
        <w:tc>
          <w:tcPr>
            <w:tcW w:type="dxa" w:w="2665"/>
            <w:vAlign w:val="center"/>
          </w:tcPr>
          <w:p>
            <w:pPr>
              <w:pStyle w:val="TableText"/>
              <w:keepNext/>
              <w:jc w:val="center"/>
            </w:pPr>
            <w:r>
              <w:rPr>
                <w:sz w:val="24"/>
              </w:rPr>
              <w:t>окончание не позднее 21.12.2026 — выполнен</w:t>
            </w:r>
          </w:p>
        </w:tc>
      </w:tr>
      <w:tr>
        <w:trPr>
          <w:cantSplit/>
        </w:trPr>
        <w:tc>
          <w:tcPr>
            <w:tcW w:type="dxa" w:w="4535"/>
            <w:vAlign w:val="center"/>
          </w:tcPr>
          <w:p>
            <w:pPr>
              <w:pStyle w:val="TableText"/>
              <w:keepNext/>
              <w:jc w:val="left"/>
            </w:pPr>
            <w:r>
              <w:rPr>
                <w:sz w:val="24"/>
              </w:rPr>
              <w:t>Себестоимость НИР, руб.</w:t>
            </w:r>
          </w:p>
        </w:tc>
        <w:tc>
          <w:tcPr>
            <w:tcW w:type="dxa" w:w="2154"/>
            <w:vAlign w:val="center"/>
          </w:tcPr>
          <w:p>
            <w:pPr>
              <w:pStyle w:val="TableText"/>
              <w:keepNext/>
              <w:jc w:val="center"/>
            </w:pPr>
            <w:r>
              <w:rPr>
                <w:sz w:val="24"/>
              </w:rPr>
              <w:t>1 613 061</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Цена НИР, руб.</w:t>
            </w:r>
          </w:p>
        </w:tc>
        <w:tc>
          <w:tcPr>
            <w:tcW w:type="dxa" w:w="2154"/>
            <w:vAlign w:val="center"/>
          </w:tcPr>
          <w:p>
            <w:pPr>
              <w:pStyle w:val="TableText"/>
              <w:keepNext/>
              <w:jc w:val="center"/>
            </w:pPr>
            <w:r>
              <w:rPr>
                <w:sz w:val="24"/>
              </w:rPr>
              <w:t>2 924 845</w:t>
            </w:r>
          </w:p>
        </w:tc>
        <w:tc>
          <w:tcPr>
            <w:tcW w:type="dxa" w:w="2665"/>
            <w:vAlign w:val="center"/>
          </w:tcPr>
          <w:p>
            <w:pPr>
              <w:pStyle w:val="TableText"/>
              <w:keepNext/>
              <w:jc w:val="center"/>
            </w:pPr>
            <w:r>
              <w:rPr>
                <w:sz w:val="24"/>
              </w:rPr>
              <w:t>—</w:t>
            </w:r>
          </w:p>
        </w:tc>
      </w:tr>
      <w:tr>
        <w:trPr>
          <w:cantSplit/>
        </w:trPr>
        <w:tc>
          <w:tcPr>
            <w:tcW w:type="dxa" w:w="4535"/>
            <w:vAlign w:val="center"/>
          </w:tcPr>
          <w:p>
            <w:pPr>
              <w:pStyle w:val="TableText"/>
              <w:keepNext/>
              <w:jc w:val="left"/>
            </w:pPr>
            <w:r>
              <w:rPr>
                <w:sz w:val="24"/>
              </w:rPr>
              <w:t>Прибыль, руб.</w:t>
            </w:r>
          </w:p>
        </w:tc>
        <w:tc>
          <w:tcPr>
            <w:tcW w:type="dxa" w:w="2154"/>
            <w:vAlign w:val="center"/>
          </w:tcPr>
          <w:p>
            <w:pPr>
              <w:pStyle w:val="TableText"/>
              <w:keepNext/>
              <w:jc w:val="center"/>
            </w:pPr>
            <w:r>
              <w:rPr>
                <w:sz w:val="24"/>
              </w:rPr>
              <w:t>1 311 784</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Рентабельность по себестоимости, %</w:t>
            </w:r>
          </w:p>
        </w:tc>
        <w:tc>
          <w:tcPr>
            <w:tcW w:type="dxa" w:w="2154"/>
            <w:vAlign w:val="center"/>
          </w:tcPr>
          <w:p>
            <w:pPr>
              <w:pStyle w:val="TableText"/>
              <w:keepNext/>
              <w:jc w:val="center"/>
            </w:pPr>
            <w:r>
              <w:rPr>
                <w:sz w:val="24"/>
              </w:rPr>
              <w:t>81,3</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Годовой экономический эффект, руб.</w:t>
            </w:r>
          </w:p>
        </w:tc>
        <w:tc>
          <w:tcPr>
            <w:tcW w:type="dxa" w:w="2154"/>
            <w:vAlign w:val="center"/>
          </w:tcPr>
          <w:p>
            <w:pPr>
              <w:pStyle w:val="TableText"/>
              <w:keepNext/>
              <w:jc w:val="center"/>
            </w:pPr>
            <w:r>
              <w:rPr>
                <w:sz w:val="24"/>
              </w:rPr>
              <w:t>4 896 622</w:t>
            </w:r>
          </w:p>
        </w:tc>
        <w:tc>
          <w:tcPr>
            <w:tcW w:type="dxa" w:w="2665"/>
            <w:vAlign w:val="center"/>
          </w:tcPr>
          <w:p>
            <w:pPr>
              <w:pStyle w:val="TableText"/>
              <w:keepNext/>
              <w:jc w:val="center"/>
            </w:pPr>
            <w:r>
              <w:rPr>
                <w:sz w:val="24"/>
              </w:rPr>
              <w:t>больше 0 — выполнен</w:t>
            </w:r>
          </w:p>
        </w:tc>
      </w:tr>
      <w:tr>
        <w:trPr>
          <w:cantSplit/>
        </w:trPr>
        <w:tc>
          <w:tcPr>
            <w:tcW w:type="dxa" w:w="4535"/>
            <w:vAlign w:val="center"/>
          </w:tcPr>
          <w:p>
            <w:pPr>
              <w:pStyle w:val="TableText"/>
              <w:keepNext/>
              <w:jc w:val="left"/>
            </w:pPr>
            <w:r>
              <w:rPr>
                <w:sz w:val="24"/>
              </w:rPr>
              <w:t>Уровень экономической эффективности</w:t>
            </w:r>
          </w:p>
        </w:tc>
        <w:tc>
          <w:tcPr>
            <w:tcW w:type="dxa" w:w="2154"/>
            <w:vAlign w:val="center"/>
          </w:tcPr>
          <w:p>
            <w:pPr>
              <w:pStyle w:val="TableText"/>
              <w:keepNext/>
              <w:jc w:val="center"/>
            </w:pPr>
            <w:r>
              <w:rPr>
                <w:sz w:val="24"/>
              </w:rPr>
              <w:t>1,67</w:t>
            </w:r>
          </w:p>
        </w:tc>
        <w:tc>
          <w:tcPr>
            <w:tcW w:type="dxa" w:w="2665"/>
            <w:vAlign w:val="center"/>
          </w:tcPr>
          <w:p>
            <w:pPr>
              <w:pStyle w:val="TableText"/>
              <w:keepNext/>
              <w:jc w:val="center"/>
            </w:pPr>
            <w:r>
              <w:rPr>
                <w:sz w:val="24"/>
              </w:rPr>
              <w:t>не менее 0,5 — выполнен</w:t>
            </w:r>
          </w:p>
        </w:tc>
      </w:tr>
      <w:tr>
        <w:trPr>
          <w:cantSplit/>
        </w:trPr>
        <w:tc>
          <w:tcPr>
            <w:tcW w:type="dxa" w:w="4535"/>
            <w:vAlign w:val="center"/>
          </w:tcPr>
          <w:p>
            <w:pPr>
              <w:pStyle w:val="TableText"/>
              <w:jc w:val="left"/>
            </w:pPr>
            <w:r>
              <w:rPr>
                <w:sz w:val="24"/>
              </w:rPr>
              <w:t>Срок окупаемости вложений, лет (мес.)</w:t>
            </w:r>
          </w:p>
        </w:tc>
        <w:tc>
          <w:tcPr>
            <w:tcW w:type="dxa" w:w="2154"/>
            <w:vAlign w:val="center"/>
          </w:tcPr>
          <w:p>
            <w:pPr>
              <w:pStyle w:val="TableText"/>
              <w:jc w:val="center"/>
            </w:pPr>
            <w:r>
              <w:rPr>
                <w:sz w:val="24"/>
              </w:rPr>
              <w:t>0,60 (≈7)</w:t>
            </w:r>
          </w:p>
        </w:tc>
        <w:tc>
          <w:tcPr>
            <w:tcW w:type="dxa" w:w="2665"/>
            <w:vAlign w:val="center"/>
          </w:tcPr>
          <w:p>
            <w:pPr>
              <w:pStyle w:val="TableText"/>
              <w:jc w:val="center"/>
            </w:pPr>
            <w:r>
              <w:rPr>
                <w:sz w:val="24"/>
              </w:rPr>
              <w:t>не более 2 лет — выполнен</w:t>
            </w:r>
          </w:p>
        </w:tc>
      </w:tr>
    </w:tbl>
    <w:p>
      <w:pPr>
        <w:spacing w:line="240" w:lineRule="auto"/>
      </w:pPr>
    </w:p>
    <w:p>
      <w:r>
        <w:t>На основании полученных результатов можно сделать следующие выводы:</w:t>
      </w:r>
    </w:p>
    <w:p>
      <w:r>
        <w:t xml:space="preserve">– </w:t>
      </w:r>
      <w:r>
        <w:t>индекс научно-технической прогрессивности 1,68 &gt; 1: результат НИР превосходит базовый вариант по научно-техническому уровню, перспективности и возможности применения, следовательно, выполнение НИР целесообразно;</w:t>
      </w:r>
    </w:p>
    <w:p>
      <w:r>
        <w:t xml:space="preserve">– </w:t>
      </w:r>
      <w:r>
        <w:t>критический путь сетевого графика составляет 65 рабочих дней, работа укладывается в 91 календарный день, каждая стадия завершается не позднее контрольного срока задания на ВКР;</w:t>
      </w:r>
    </w:p>
    <w:p>
      <w:r>
        <w:t xml:space="preserve">– </w:t>
      </w:r>
      <w:r>
        <w:t>себестоимость НИР по статьям калькуляции составляет 1 613 061 руб., из них материальные затраты (включая канцелярские товары) — 28 414 руб., начисления на заработную плату — 198 079 руб.; при цене 2 924 845 руб. рентабельность НИР составляет 81,3 %;</w:t>
      </w:r>
    </w:p>
    <w:p>
      <w:r>
        <w:t xml:space="preserve">– </w:t>
      </w:r>
      <w:r>
        <w:t>применение плат LilyGO T-HaLow вместо оценочных комплектов производителя чипсета снижает стоимость аппаратной платформы стенда в 12,4 раза;</w:t>
      </w:r>
    </w:p>
    <w:p>
      <w:r>
        <w:t xml:space="preserve">– </w:t>
      </w:r>
      <w:r>
        <w:t>годовой экономический эффект составляет 4 896 622 руб., уровень экономической эффективности 1,67 превышает нормативное для наукоёмкой продукции значение 0,5, срок окупаемости вложений 0,60 года (около 7 месяцев) не превышает двух лет.</w:t>
      </w:r>
    </w:p>
    <w:p>
      <w:r>
        <w:t>Все показатели удовлетворяют критериям целесообразности. Следовательно, разработка является научно-технически прогрессивной и экономически целесообразной: её результаты позволяют с небольшими затратами оценить применимость технологии Wi-Fi HaLow для каналов связи с БПЛА и могут быть использованы разработчиками систем связи беспилотной авиации.</w:t>
      </w:r>
    </w:p>
    <w:p>
      <w:pPr>
        <w:pStyle w:val="Heading2"/>
      </w:pPr>
      <w:r>
        <w:t>Источники к разделу 4</w:t>
      </w:r>
    </w:p>
    <w:p>
      <w:pPr>
        <w:ind w:firstLine="0"/>
        <w:jc w:val="center"/>
      </w:pPr>
      <w:r>
        <w:t>(номера [Э1]–[Э16] привести к сквозной нумерации общего списка использованных источников)</w:t>
      </w:r>
    </w:p>
    <w:p>
      <w:pPr>
        <w:ind w:firstLine="0"/>
        <w:jc w:val="left"/>
      </w:pPr>
      <w:r>
        <w:t>[Э1] Паспорт национального проекта «Беспилотные авиационные системы» (2024–2030 гг.) // КонсультантПлюс. – URL: https://www.consultant.ru/document/cons_doc_LAW_310251/ (дата обращения: 24.09.2026).</w:t>
      </w:r>
    </w:p>
    <w:p>
      <w:pPr>
        <w:ind w:firstLine="0"/>
        <w:jc w:val="left"/>
      </w:pPr>
      <w:r>
        <w:t>[Э2]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IEEE, 2017.</w:t>
      </w:r>
    </w:p>
    <w:p>
      <w:pPr>
        <w:ind w:firstLine="0"/>
        <w:jc w:val="left"/>
      </w:pPr>
      <w:r>
        <w:t>[Э3] Wi-Fi HaLow // Wi-Fi Alliance. – URL: https://www.wi-fi.org/discover-wi-fi/wi-fi-halow (дата обращения: 24.09.2026).</w:t>
      </w:r>
    </w:p>
    <w:p>
      <w:pPr>
        <w:ind w:firstLine="0"/>
        <w:jc w:val="left"/>
      </w:pPr>
      <w:r>
        <w:t>[Э4] Панагушин В. П., Ковалева Т. С., Малютина О. А., Михайловская Н. М., Прозорова В. С., Чайка Н. К. Экономическое обоснование дипломных проектов (работ) по приборо- и радиоприборостроению: методические указания / под ред. В. П. Панагушина. – 7-е изд., испр. и доп. – М.: ИВАКО Аналитик, 2024. – 43 с.</w:t>
      </w:r>
    </w:p>
    <w:p>
      <w:pPr>
        <w:ind w:firstLine="0"/>
        <w:jc w:val="left"/>
      </w:pPr>
      <w:r>
        <w:t>[Э5] LILYGO T-Halow ESP32-S3 Development Board, Wi-Fi HaLow // AliExpress. – URL: https://www.aliexpress.com/item/1005007402959136.html (дата обращения: 24.09.2026).</w:t>
      </w:r>
    </w:p>
    <w:p>
      <w:pPr>
        <w:ind w:firstLine="0"/>
        <w:jc w:val="left"/>
      </w:pPr>
      <w:r>
        <w:t>[Э6] ALFA Network AHPI7292S IEEE 802.11ah sub 1 GHz module in Raspberry Pi HAT form factor // Rokland. – URL: https://store.rokland.com/products/alfa-network-ahpi7292s-ieee-802-11ah-sub-1-ghz-module-in-raspberry-pi-hat-form-factor (дата обращения: 24.09.2026).</w:t>
      </w:r>
    </w:p>
    <w:p>
      <w:pPr>
        <w:ind w:firstLine="0"/>
        <w:jc w:val="left"/>
      </w:pPr>
      <w:r>
        <w:t>[Э7] NRC7394 Evaluation Kit Purchase page; NRC7292 EVK // NEWRACOM. – URL: https://newracom.com/nrc7394-evaluation-kit-purchase-page ; https://newracom.com/products/nrc7292-evk (дата обращения: 24.09.2026).</w:t>
      </w:r>
    </w:p>
    <w:p>
      <w:pPr>
        <w:ind w:firstLine="0"/>
        <w:jc w:val="left"/>
      </w:pPr>
      <w:r>
        <w:t>[Э8] MM6108-EKH05-05US, WiFi Development Tools – 802.11 Wi-Fi HaLow IoT Development Board // ЧИП и ДИП. – URL: https://chipdip.ru/product0/8040419288 (дата обращения: 24.09.2026).</w:t>
      </w:r>
    </w:p>
    <w:p>
      <w:pPr>
        <w:ind w:firstLine="0"/>
        <w:jc w:val="left"/>
      </w:pPr>
      <w:r>
        <w:t>[Э9] Официальные курсы валют на заданную дату, устанавливаемые ежедневно // Банк России. – URL: https://www.cbr.ru/currency_base/daily/ (дата обращения: 24.09.2026).</w:t>
      </w:r>
    </w:p>
    <w:p>
      <w:pPr>
        <w:ind w:firstLine="0"/>
        <w:jc w:val="left"/>
      </w:pPr>
      <w:r>
        <w:t>[Э10] Производственный календарь на 2026 год // КонсультантПлюс. – URL: https://www.consultant.ru/law/ref/calendar/proizvodstvennye/2026/ (дата обращения: 24.09.2026).</w:t>
      </w:r>
    </w:p>
    <w:p>
      <w:pPr>
        <w:ind w:firstLine="0"/>
        <w:jc w:val="left"/>
      </w:pPr>
      <w:r>
        <w:t>[Э11] Поиск вакансий «радиоинженер», «инженер радиотехник», «радиотехник» в г. Москве с указанием заработной платы // hh.ru. – URL: https://hh.ru/search/vacancy?text=радиоинженер&amp;area=1&amp;only_with_salary=true (дата обращения: 24.09.2026).</w:t>
      </w:r>
    </w:p>
    <w:p>
      <w:pPr>
        <w:ind w:firstLine="0"/>
        <w:jc w:val="left"/>
      </w:pPr>
      <w:r>
        <w:t>[Э12] Налоговый кодекс Российской Федерации (часть вторая) от 05.08.2000 № 117-ФЗ. Глава 23 «Налог на доходы физических лиц», глава 34 «Страховые взносы».</w:t>
      </w:r>
    </w:p>
    <w:p>
      <w:pPr>
        <w:ind w:firstLine="0"/>
        <w:jc w:val="left"/>
      </w:pPr>
      <w:r>
        <w:t>[Э13] Предельная база страховых взносов в 2026 году: размер и тарифы // Контур. – URL: https://kontur.ru/articles/4261 (дата обращения: 24.09.2026).</w:t>
      </w:r>
    </w:p>
    <w:p>
      <w:pPr>
        <w:ind w:firstLine="0"/>
        <w:jc w:val="left"/>
      </w:pPr>
      <w:r>
        <w:t>[Э14] W25Q32JVSSIQ, микросхема памяти FLASH 32 Мбит // ЧИП и ДИП. – URL: https://www.chipdip.ru/product/w25q32jvssiq ; Программаторы CH341A // Яндекс Маркет. – URL: https://market.yandex.ru/category/programmatory-ch341a (дата обращения: 24.09.2026).</w:t>
      </w:r>
    </w:p>
    <w:p>
      <w:pPr>
        <w:ind w:firstLine="0"/>
        <w:jc w:val="left"/>
      </w:pPr>
      <w:r>
        <w:t>[Э15] Тарифы на электроэнергию в Москве в 2026 году // Т—Ж. – URL: https://t-j.ru/msk-electroprices/ (дата обращения: 24.09.2026).</w:t>
      </w:r>
    </w:p>
    <w:p>
      <w:pPr>
        <w:ind w:firstLine="0"/>
        <w:jc w:val="left"/>
      </w:pPr>
      <w:r>
        <w:t>[Э16] О Классификации основных средств, включаемых в амортизационные группы: постановление Правительства РФ от 01.01.2002 № 1 (ред. действ.).</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center"/>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center"/>
      <w:outlineLvl w:val="2"/>
    </w:pPr>
    <w:rPr>
      <w:rFonts w:ascii="Times New Roman" w:hAnsi="Times New Roman" w:eastAsia="Times New Roman" w:cs="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