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исследование эффективности технологии Wi-Fi HaLow (IEEE 802.11ah) [7]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</w:t>
      </w:r>
    </w:p>
    <w:p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должен перекрывать затраты на её выполнение. Необходимо убедиться в научной новизне, эффективности и окупаемости исследования, для чего по методике [43] выполняются:</w:t>
      </w:r>
    </w:p>
    <w:p>
      <w:r>
        <w:t xml:space="preserve">– </w:t>
      </w:r>
      <w:r>
        <w:t>оценка целесообразности НИР на основе сравнения с существующими технологиями;</w:t>
      </w:r>
    </w:p>
    <w:p>
      <w:r>
        <w:t xml:space="preserve">– </w:t>
      </w:r>
      <w:r>
        <w:t>планирование работ: определение трудоёмкости НИР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окупаемости.</w:t>
      </w:r>
    </w:p>
    <w:p>
      <w:r>
        <w:t>В результате будет получена комплексная оценка экономической обоснованности 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 xml:space="preserve"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научно-технической прогрессивности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[43].</w:t>
      </w:r>
    </w:p>
    <w:p>
      <w:r>
        <w:t>Сравнение проводится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[43].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>
      <w:r>
        <w:t>Канал передачи данных с борта БПЛА на удалённый наземный пункт может быть построен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>
      <w:r>
        <w:t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474"/>
        <w:gridCol w:w="1587"/>
        <w:gridCol w:w="1587"/>
        <w:gridCol w:w="1587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1: LoRa,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База 2: Wi-Fi 2,4 ГГц, баллы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НТПр: Wi-Fi HaLow, баллы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для каждой базы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 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Нi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7·0,4 + 7·0,4 + 8·0,2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0,4 + 0,4 + 0,2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Нi</m:t>
            </m:r>
          </m:sub>
        </m:sSub>
      </m:oMath>
      <w:r>
        <w:t xml:space="preserve"> – значение показателя i-го признака НТПр, являющейся результатом дипломной работы, баллы (таблица 4.1);</w:t>
      </w:r>
    </w:p>
    <w:p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 Б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Бi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Бi</m:t>
            </m:r>
          </m:sub>
        </m:sSub>
      </m:oMath>
      <w:r>
        <w:t xml:space="preserve"> – значение показателя i-го признака НТПр, выбранной за базу для сравнения, баллы (таблица 4.1). Для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+ 4·0,4 + 2·0,2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4,0;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 Б2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+ 5·0,4 + 7·0,2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5,4.</m:t>
        </m:r>
      </m:oMath>
    </w:p>
    <w:p>
      <w:pPr>
        <w:keepNext/>
      </w:pPr>
      <w:r>
        <w:t xml:space="preserve">Подставляя полученные значения в формулу </w:t>
      </w:r>
      <w:r>
        <w:t>(4.1)</w:t>
      </w:r>
      <w:r>
        <w:t>, получаем индексы научно-технической прогрессивности относительно LoRa и Wi-Fi 2,4 ГГц: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4,0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1,80;   </m:t>
        </m:r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1,33.</m:t>
        </m:r>
      </m:oMath>
    </w:p>
    <w:p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2,4 ГГц, равный 1,33.</w:t>
      </w:r>
    </w:p>
    <w:p>
      <w:r>
        <w:t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ориентировочной шкале методики [43]: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используются серийные платы без доработки аппаратной части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Коэффициент новизны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Так как значение коэффициента больше 0,2, НИР обладает удовлетворительной новизной и её проведение целесообразно. Результат является новым по функциональному критерию и улучшенным по технологическому.</w:t>
      </w:r>
    </w:p>
    <w:p>
      <w:pPr>
        <w:pStyle w:val="Heading2"/>
      </w:pPr>
      <w:r>
        <w:t>4.2 Планирование разработки</w:t>
      </w:r>
    </w:p>
    <w:p>
      <w:r>
        <w:t>После подтверждения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параллельно и укладывается ли НИР в заданный срок. По методике [43] НИР делится на четыре стадии:</w:t>
      </w:r>
    </w:p>
    <w:p>
      <w:r>
        <w:t xml:space="preserve">– </w:t>
      </w:r>
      <w:r>
        <w:t>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>
      <w:r>
        <w:t xml:space="preserve">– </w:t>
      </w:r>
      <w:r>
        <w:t>теоретическая разработка — основа исследования: выбор моделей и методики, подготовка средств проведения эксперимента;</w:t>
      </w:r>
    </w:p>
    <w:p>
      <w:r>
        <w:t xml:space="preserve">– </w:t>
      </w:r>
      <w:r>
        <w:t>экспериментальные работы — проверка и уточнение теоретических положений измерениями;</w:t>
      </w:r>
    </w:p>
    <w:p>
      <w:r>
        <w:t xml:space="preserve">– </w:t>
      </w:r>
      <w:r>
        <w:t>заключительная стадия — оформление отчёта, оценка значимости полученных результатов и перспектив их применения.</w:t>
      </w:r>
    </w:p>
    <w:p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>
      <w:pPr>
        <w:pStyle w:val="TableCaption"/>
        <w:ind w:firstLine="0"/>
      </w:pPr>
      <w:r>
        <w:t>Таблица 4.3 – Стадии работ, выполняемые при проведении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551"/>
        <w:gridCol w:w="4818"/>
        <w:gridCol w:w="1984"/>
      </w:tblGrid>
      <w:tr>
        <w:trPr>
          <w:cantSplit/>
          <w:tblHeader w:val="true"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НИР,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159"/>
        <w:gridCol w:w="1020"/>
        <w:gridCol w:w="1020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15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69</w:t>
            </w:r>
          </w:p>
        </w:tc>
      </w:tr>
    </w:tbl>
    <w:p>
      <w:pPr>
        <w:spacing w:line="240" w:lineRule="auto"/>
      </w:pPr>
    </w:p>
    <w:p>
      <w:r>
        <w:t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69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87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трудоёмкости работы на дневную ставку исполнителя [43].</w:t>
      </w:r>
    </w:p>
    <w:p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>
      <w:r>
        <w:t>Месячные оклады исполнителей приняты по данным рынка труда г. Москвы для специалистов соответствующей квалификации [44]: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[45].</w:t>
      </w:r>
    </w:p>
    <w:p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>
      <w:pPr>
        <w:pStyle w:val="TableCaption"/>
        <w:ind w:firstLine="0"/>
      </w:pPr>
      <w:r>
        <w:t>Таблица 4.5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020"/>
        <w:gridCol w:w="1474"/>
        <w:gridCol w:w="2948"/>
        <w:gridCol w:w="1247"/>
        <w:gridCol w:w="1360"/>
        <w:gridCol w:w="1474"/>
      </w:tblGrid>
      <w:tr>
        <w:trPr>
          <w:cantSplit/>
          <w:tblHeader w:val="true"/>
        </w:trPr>
        <w:tc>
          <w:tcPr>
            <w:tcW w:type="dxa" w:w="102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4195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  <w:tblHeader w:val="true"/>
        </w:trPr>
        <w:tc>
          <w:tcPr>
            <w:tcW w:type="dxa" w:w="1020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48 070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86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451 070</w:t>
            </w:r>
          </w:p>
        </w:tc>
      </w:tr>
    </w:tbl>
    <w:p>
      <w:pPr>
        <w:spacing w:line="240" w:lineRule="auto"/>
      </w:pPr>
    </w:p>
    <w:p>
      <w:pPr>
        <w:keepNext/>
      </w:pPr>
      <w:r>
        <w:t>Суммарные затраты на заработную плату: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55 000 + 50 000 + 85 000 + 35 000 + 110 000 + 68 000 + 48 070 = 451 070 руб.</m:t>
        </m:r>
      </m:oMath>
    </w:p>
    <w:p>
      <w:pPr>
        <w:keepNext/>
      </w:pPr>
      <w:r>
        <w:t>Помимо основных выплат исполнителям предусмотрена премия 20 % [43] за добросовестное выполнение и своевременную сдачу этапов НИР. Фонд оплаты труда, выделяемый на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1,2·451 070 = 541 284 руб.</m:t>
        </m:r>
      </m:oMath>
    </w:p>
    <w:p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[46] и взносы на страхование от несчастных случаев на производстве 0,2 %. Эти средства включают:</w:t>
      </w:r>
    </w:p>
    <w:p>
      <w:r>
        <w:t xml:space="preserve">– </w:t>
      </w:r>
      <w:r>
        <w:t>22 % — на обязательное пенсионное страхование;</w:t>
      </w:r>
    </w:p>
    <w:p>
      <w:r>
        <w:t xml:space="preserve">– </w:t>
      </w:r>
      <w:r>
        <w:t>5,1 % — на обязательное медицинское страхование;</w:t>
      </w:r>
    </w:p>
    <w:p>
      <w:r>
        <w:t xml:space="preserve">– </w:t>
      </w:r>
      <w:r>
        <w:t>2,9 % — на обязательное социальное страхование на случай временной нетрудоспособности и в связи с материнством;</w:t>
      </w:r>
    </w:p>
    <w:p>
      <w:r>
        <w:t xml:space="preserve">– </w:t>
      </w:r>
      <w:r>
        <w:t>0,2 % — на страхование от несчастных случаев на производстве и профессиональных заболеваний.</w:t>
      </w:r>
    </w:p>
    <w:p>
      <w:pPr>
        <w:keepNext/>
      </w:pPr>
      <w:r>
        <w:t>Отчисления на социальные нужды: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0,302·541 284 = 163 468 руб.</m:t>
        </m:r>
      </m:oMath>
    </w:p>
    <w:p>
      <w:r>
        <w:t>Затраты на материалы, полуфабрикаты и покупные комплектующие изделия определены прямым счётом (таблица 4.6). К ним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Цена платы LilyGO T-HaLow 37,98 долл. США [28] по курсу 84,1975 руб./долл. на 20.09.2026 [47] составляет 3 198 руб.</w:t>
      </w:r>
    </w:p>
    <w:p>
      <w:pPr>
        <w:pStyle w:val="TableCaption"/>
        <w:ind w:firstLine="0"/>
      </w:pPr>
      <w:r>
        <w:t>Таблица 4.6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Себестоимость НИР определим исходя из принятой оценки удельного веса расходов на оплату труда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в себестоимости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 xml:space="preserve">В типовой структуре затрат на НИР удельный вес заработной платы составляет 34 % [43]. В настоящей работе он принят выше — </w:t>
      </w:r>
      <m:oMath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>: специального оборудования, работ сторонних организаций и командировок в НИР нет, и основную часть затрат составляет труд исполнителей. Себестоимость НИР: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541 284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1 353 210 руб.</m:t>
        </m:r>
      </m:oMath>
    </w:p>
    <w:p>
      <w:r>
        <w:t>Поэлементная структура затрат на НИР приведена в таблице 4.7. Материалы и покупные комплектующие изделия взяты по прямому счёту (таблица 4.6), заработная плата — по фонду оплаты труда, расходы на социальные нужды — по тарифу 30,2 % от него, прочие расходы — 5 % себестоимости [43]. Накладные расходы составляют оставшуюся часть себестоимости.</w:t>
      </w:r>
    </w:p>
    <w:p>
      <w:pPr>
        <w:pStyle w:val="TableCaption"/>
        <w:ind w:firstLine="0"/>
      </w:pPr>
      <w:r>
        <w:t>Таблица 4.7 – Поэлементная структура затрат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952"/>
        <w:gridCol w:w="1814"/>
        <w:gridCol w:w="1814"/>
      </w:tblGrid>
      <w:tr>
        <w:trPr>
          <w:cantSplit/>
          <w:tblHeader w:val="true"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элементов затрат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Сумма, руб.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Материалы, полуфабрикаты, покупные комплектующие изделия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24 560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1,8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541 284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Расходы на социальные нужды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163 468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556 238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41,1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67 660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</w:tr>
      <w:tr>
        <w:trPr>
          <w:cantSplit/>
        </w:trPr>
        <w:tc>
          <w:tcPr>
            <w:tcW w:type="dxa" w:w="595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1 353 210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Материалы и комплектующие стоят 24 560 руб., или 1,8 % себестоимости: в НИР используются недорогие серийные отладочные платы, а не специальное оборудование. К накладным расходам отнесены оплата электроэнергии, аренды и отопления помещения, заработной платы обслуживающего персонала, содержание вычислительной техники кафедры — 41,1 % себестоимости. К прочим расходам — услуги связи, поездки на полевую площадку для натурных испытаний и доступ к стандартам и научным публикациям по тематике исследования.</w:t>
      </w:r>
    </w:p>
    <w:p>
      <w:pPr>
        <w:keepNext/>
      </w:pPr>
      <w:r>
        <w:t>Цена НИР определяется исходя из обеспечения безубыточности организации, которая её выполняет [43]. Параметром, обеспечивающим безубыточность, служит уровень рентабельности по отношению к оплате труда: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[43].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1 353 210 + 541 284·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2 977 062 руб.</m:t>
        </m:r>
      </m:oMath>
    </w:p>
    <w:p>
      <w:r>
        <w:t>В дальнейшем результаты НИР — измеренные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экономическим эффектом от применения результатов, который рассчитан в подразделе 4.4.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e>
            <m:r>
              <w:rPr>
                <w:rFonts w:ascii="Cambria Math" w:hAnsi="Cambria Math"/>
              </w:rPr>
              <m:t xml:space="preserve"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[43].</w:t>
      </w:r>
    </w:p>
    <w:p>
      <w:pPr>
        <w:keepNext/>
      </w:pPr>
      <w:r>
        <w:t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Непосредственно выручки 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потребителя её результатов [43].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период, за который создаются линии, лет.</w:t>
      </w:r>
    </w:p>
    <w:p>
      <w:r>
        <w:t>При мониторинге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>
      <w:r>
        <w:t>Поэтому пролёт стремятся сделать как можно длиннее. Дальность пролёта в оценке — практическая граница связи той же пары плат T-HaLow на трассе прямой видимости при нормах мощности Российской Федерации: 0,87 км для Wi-Fi 2,4 ГГц при 20 дБм и 1,55 км для Wi-Fi HaLow при 14 дБм. Несмотря на меньшую разрешённую мощность, Wi-Fi HaLow уходит дальше: допустимые потери на трассе у обеих технологий близки, а на частоте ниже 1 ГГц сигнал затухает меньше. На расстояниях от 0,87 до 1,55 км связь сохраняет только Wi-Fi HaLow.</w:t>
      </w:r>
    </w:p>
    <w:p>
      <w:r>
        <w:t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4.6).</w:t>
      </w:r>
    </w:p>
    <w:p>
      <w:pPr>
        <w:pStyle w:val="TableCaption"/>
        <w:ind w:firstLine="0"/>
      </w:pPr>
      <w:r>
        <w:t>Таблица 4.8 – Состав и стоимость ретранслятора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"/>
        <w:gridCol w:w="5385"/>
        <w:gridCol w:w="1020"/>
        <w:gridCol w:w="1133"/>
        <w:gridCol w:w="1247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LilyGO T-HaLow (ESP32-S3 + TX-AH-R900P)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>
      <w:pPr>
        <w:spacing w:line="240" w:lineRule="auto"/>
      </w:pPr>
    </w:p>
    <w:p>
      <w:pPr>
        <w:keepNext/>
      </w:pPr>
      <w:r>
        <w:t>Ретранслятор ставится в 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«Россети» находится 2,5 млн км линий электропередачи [48]. Если каналами связи с БПЛА ежегодно оснащается 0,24 % этой сети, то есть L = 6 000 км, потребуется ретрансляторов: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⌈6 000/0,87⌉ = 6 897;  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⌈6 000/1,55⌉ = 3 871.</m:t>
        </m:r>
      </m:oMath>
    </w:p>
    <w:p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6 897·7 296 = 50 320 512 руб.</m:t>
        </m:r>
      </m:oMath>
    </w:p>
    <w:p>
      <w:pPr>
        <w:keepNext/>
      </w:pPr>
      <w:r>
        <w:t>Затраты нового варианта: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 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3 871·7 296 = 28 242 816 руб.</m:t>
        </m:r>
      </m:oMath>
    </w:p>
    <w:p>
      <w:pPr>
        <w:keepNext/>
      </w:pPr>
      <w:r>
        <w:t xml:space="preserve">Подставив значения в формулу (4.8) при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50 320 512·1,33 - 28 242 816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38 683 465 руб./год.</m:t>
        </m:r>
      </m:oMath>
    </w:p>
    <w:p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[43] она определяется укрупнённо, пропорционально затратам участников создания и применения НТПр: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α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 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1 353 210 + 28 242 816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0,05.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keepNext/>
      </w:pPr>
      <w:r>
        <w:t>Уровень экономической эффективности затрат на НИР [43]: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НИР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38 683 465·0,05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2 977 062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0,65,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цена НИР, руб. (подраздел 4.3).</w:t>
      </w:r>
    </w:p>
    <w:p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Е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1,54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>Срок окупаемости составляет около 18 месяцев. Для наукоёмкой продукции уровень эффективности должен быть не менее 0,5, то есть вложения должны окупаться в пределах двух лет [43]; полученное значение 0,65 этому требованию удовлетворяет. Расчёт выполнен для одного предприятия; при передаче результатов нескольким предприятиям срок окупаемости сократится.</w:t>
      </w:r>
    </w:p>
    <w:p>
      <w:pPr>
        <w:pStyle w:val="Heading2"/>
      </w:pPr>
      <w:r>
        <w:t>4.5 Выводы</w:t>
      </w:r>
    </w:p>
    <w:p>
      <w:r>
        <w:t>В ходе выполнения экономической части ВКР было приведено технико-экономическое обоснование НИР по исследованию эффективности технологии Wi-Fi HaLow для каналов связи с БПЛА. Определены следующие показатели:</w:t>
      </w:r>
    </w:p>
    <w:p>
      <w:r>
        <w:t xml:space="preserve">– </w:t>
      </w:r>
      <w:r>
        <w:t>индекс научно-технической прогрессивности — 1,33 относительно Wi-Fi 2,4 ГГц и 1,80 относительно LoRa;</w:t>
      </w:r>
    </w:p>
    <w:p>
      <w:r>
        <w:t xml:space="preserve">– </w:t>
      </w:r>
      <w:r>
        <w:t>продолжительность НИР — 69 календарных дней, при максимальных оценках длительности работ — не более 87 дней;</w:t>
      </w:r>
    </w:p>
    <w:p>
      <w:r>
        <w:t xml:space="preserve">– </w:t>
      </w:r>
      <w:r>
        <w:t>себестоимость НИР — 1 353 210 руб., цена — 2 977 062 руб.;</w:t>
      </w:r>
    </w:p>
    <w:p>
      <w:r>
        <w:t xml:space="preserve">– </w:t>
      </w:r>
      <w:r>
        <w:t>годовой экономический эффект — 38 683 465 руб. за счёт сокращения числа ретрансляторов с 6 897 до 3 871;</w:t>
      </w:r>
    </w:p>
    <w:p>
      <w:r>
        <w:t xml:space="preserve">– </w:t>
      </w:r>
      <w:r>
        <w:t>уровень экономической эффективности — 0,65 при нормативе 0,5;</w:t>
      </w:r>
    </w:p>
    <w:p>
      <w:r>
        <w:t xml:space="preserve">– </w:t>
      </w:r>
      <w:r>
        <w:t>срок окупаемости вложений — 18 месяцев.</w:t>
      </w:r>
    </w:p>
    <w:p>
      <w:r>
        <w:t>С учётом приведённых расчётов можно сделать вывод о том, что исследование является прогрессивным и экономически целесообразным.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134" w:right="850" w:bottom="1417" w:left="1701" w:header="283" w:footer="283" w:gutter="0"/>
      <w:cols w:space="720"/>
      <w:docGrid w:linePitch="360"/>
      <w:pgNumType w:start="5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