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Окна — оконный блок из трёх створок в левой стене — выходят во двор; под окнами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[49].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[50].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[51]: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[52],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нагрузок; энерготраты организма при такой работе не превышают 139 Вт (120 ккал/ч), поэтому она относится к категории Iа. Оптимальные и допустимые значения показателей для этой категории установлены СанПиН 1.2.3685-21 [53, 54].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[55].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[56, 57]. Для рабочих мест с ПЭВМ дополнительно ограничены коэффициент пульсации освещённости — не более 5 % — и освещённость экрана — не более 200 лк [53]. Нормы для зрительных работ разряда III приведены в таблице 5.5. Для залов ЭВМ методические указания [57] приводят более высокую норму — 500 лк — по отменённому СНиП II-4-79; кабинет с ПЭВМ к залам ЭВМ не относится, а действующие санитарные нормы требуют на поверхности стола у рабочего места с ПЭВМ 300–500 лк [53].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окна в левой стене. Расчёт в разделе 5.6 показывает, что установленные светильники создают на рабочей поверхности 287 лк при норме 300 лк — на 4,4 % ниже нормы, в пределах допустимого отклонения −10…+20 % [57]. Условия труда по световой среде — класс 2 (допустимый) [50].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[53];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[58, 59]: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5.2.5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[60].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[60].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5.2.6 Класс условий труда</w:t>
      </w:r>
    </w:p>
    <w:p>
      <w:r>
        <w:t>Итоговый класс условий труда равен наивысшему из классов по отдельным факторам [50].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45 %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 (допуск −10…+20 %)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[61, 62].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[61],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[62, 63, 64].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[65]. Относительная влажность воздуха в кабинете — 45 %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[66].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[67, 68]: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[53]. Электризацию ограничивают оптимальная влажность воздуха (45 %)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[69]. Категории помещений по взрывопожарной и пожарной опасности (А, Б, В1–В4, Г, Д) устанавливаются для производственных и складских помещений [70], поэтому для кабинета категория не определяется. Класс Ф4.3 определяет требования к зданию — к эвакуационным путям и выходам, системам оповещения и пожарной сигнализации [69]; при эксплуатации кабинета действуют Правила противопожарного режима [71],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[72];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[56, 57].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10,0·5,0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2,2·(10,0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основной части помещения,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[57]; значения приняты как для газоразрядных источников света: светодиодных светильников в таблицах методических указаний нет.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рассеиватель; светораспределение косинусное, тип кривой силы света Д-1.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[57, 73].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1,52 коэффициент использования находится линейной интерполяцией между значениями при i = 1,25 (58 %) и i = 2 (72 %): η = 0,63. Такое же значение, 0,63 при i = 1,5, даёт таблица производителя для встраиваемой светодиодной панели 595 × 595 мм с опаловым рассеивателем [74].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40 166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40 166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8,37 ≈ 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40 166 / 8 = 5 021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4 800 - 5 021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5 021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[57],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 Отношение L/h = 1,14 не превышает наивыгоднейшего значения 1,4 для светильников с косинусным светораспределением, то есть освещённость между светильниками не проседает.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на 4,4 % ниже нормы 300 лк, что в пределах допустимого отклонения −10…+20 % [57],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— 287 лк при норме 300 лк, в пределах допустимого отклонения −10…+20 %;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освещённость 287 лк при норме 300 лк (в пределах допустимого отклонения −10…+20 %)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