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[43]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[43].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[45].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[28] по курсу 84,1975 руб./долл. на 20.09.2026 [47]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К накладным расходам отнесены оплата электроэнергии, аренды и отопления помещения, заработной платы обслуживающего персонала, содержание вычислительной техники кафедры — 41,1 % себестоимости.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[43].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