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[53].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окна в левой стене. Расчёт в разделе 5.6 показывает, что установленные светильники создают на рабочей поверхности 287 лк при норме 300 лк — на 4,4 % ниже нормы, в пределах допустимого отклонения −10…+20 % [57]. Условия труда по световой среде — класс 2 (допустимый)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[53];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45 %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 (допуск −10…+20 %)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45 %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[53]. Электризацию ограничивают оптимальная влажность воздуха (45 %)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[57]; значения приняты как для газоразрядных источников света: светодиодных светильников в таблицах методических указаний нет.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рассеиватель; светораспределение косинусное, тип кривой силы света Д-1.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73].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1,52 коэффициент использования находится линейной интерполяцией между значениями при i = 1,25 (58 %) и i = 2 (72 %): η = 0,63. Такое же значение, 0,63 при i = 1,5, даёт таблица производителя для встраиваемой светодиодной панели 595 × 595 мм с опаловым рассеивателем [74].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 ≈ 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 Отношение L/h = 1,14 не превышает наивыгоднейшего значения 1,4 для светильников с косинусным светораспределением, то есть освещённость между светильниками не проседает.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на 4,4 % ниже нормы 300 лк, что в пределах допустимого отклонения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287 лк при норме 300 лк, в пределах допустимого отклонения −10…+20 %;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освещённость 287 лк при норме 300 лк (в пределах допустимого отклонения −10…+20 %) и пульсацию менее 1 % при норме не более 5 %. Расчётное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