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406D" w14:textId="77777777" w:rsidR="00C13D61" w:rsidRPr="000754EB" w:rsidRDefault="00C13D61" w:rsidP="00C13D61">
      <w:pPr>
        <w:rPr>
          <w:lang w:val="en-US"/>
        </w:rPr>
      </w:pPr>
    </w:p>
    <w:p w14:paraId="612B640C" w14:textId="68EB1102" w:rsidR="00C13D61" w:rsidRDefault="00C13D61" w:rsidP="00587A12">
      <w:pPr>
        <w:spacing w:line="360" w:lineRule="auto"/>
        <w:jc w:val="right"/>
        <w:rPr>
          <w:rFonts w:eastAsia="Times New Roman"/>
        </w:rPr>
      </w:pPr>
      <w:r w:rsidRPr="000754EB">
        <w:rPr>
          <w:rFonts w:eastAsia="Times New Roman"/>
        </w:rPr>
        <w:t xml:space="preserve"> </w:t>
      </w:r>
      <w:r w:rsidRPr="000754EB">
        <w:rPr>
          <w:noProof/>
          <w:lang w:eastAsia="en-GB"/>
        </w:rPr>
        <w:drawing>
          <wp:inline distT="0" distB="0" distL="0" distR="0" wp14:anchorId="1F3B14CF" wp14:editId="389A1C25">
            <wp:extent cx="2391918" cy="432000"/>
            <wp:effectExtent l="0" t="0" r="0" b="0"/>
            <wp:docPr id="8" name="Afbeelding 16">
              <a:extLst xmlns:a="http://schemas.openxmlformats.org/drawingml/2006/main">
                <a:ext uri="{FF2B5EF4-FFF2-40B4-BE49-F238E27FC236}">
                  <a16:creationId xmlns:a16="http://schemas.microsoft.com/office/drawing/2014/main" id="{807E2C67-CF34-D846-9C9D-EFA60A835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a:extLst>
                        <a:ext uri="{FF2B5EF4-FFF2-40B4-BE49-F238E27FC236}">
                          <a16:creationId xmlns:a16="http://schemas.microsoft.com/office/drawing/2014/main" id="{807E2C67-CF34-D846-9C9D-EFA60A835D4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1918" cy="432000"/>
                    </a:xfrm>
                    <a:prstGeom prst="rect">
                      <a:avLst/>
                    </a:prstGeom>
                  </pic:spPr>
                </pic:pic>
              </a:graphicData>
            </a:graphic>
          </wp:inline>
        </w:drawing>
      </w:r>
    </w:p>
    <w:p w14:paraId="02AAD071" w14:textId="4B102556" w:rsidR="00587A12" w:rsidRPr="00587A12" w:rsidRDefault="00587A12" w:rsidP="00587A12">
      <w:pPr>
        <w:spacing w:line="240" w:lineRule="auto"/>
        <w:jc w:val="right"/>
        <w:rPr>
          <w:rFonts w:eastAsia="Times New Roman"/>
          <w:lang w:eastAsia="zh-CN"/>
        </w:rPr>
      </w:pPr>
      <w:r w:rsidRPr="00587A12">
        <w:rPr>
          <w:rFonts w:eastAsia="Times New Roman"/>
          <w:lang w:eastAsia="zh-CN"/>
        </w:rPr>
        <w:fldChar w:fldCharType="begin"/>
      </w:r>
      <w:r w:rsidRPr="00587A12">
        <w:rPr>
          <w:rFonts w:eastAsia="Times New Roman"/>
          <w:lang w:eastAsia="zh-CN"/>
        </w:rPr>
        <w:instrText xml:space="preserve"> INCLUDEPICTURE "https://www.finddx.org/wp-content/uploads/2021/07/FIND_Logo_V10-tagline-color-white-bg_cropped.jpg" \* MERGEFORMATINET </w:instrText>
      </w:r>
      <w:r w:rsidRPr="00587A12">
        <w:rPr>
          <w:rFonts w:eastAsia="Times New Roman"/>
          <w:lang w:eastAsia="zh-CN"/>
        </w:rPr>
        <w:fldChar w:fldCharType="separate"/>
      </w:r>
      <w:r w:rsidRPr="00587A12">
        <w:rPr>
          <w:rFonts w:eastAsia="Times New Roman"/>
          <w:noProof/>
          <w:lang w:eastAsia="zh-CN"/>
        </w:rPr>
        <w:drawing>
          <wp:inline distT="0" distB="0" distL="0" distR="0" wp14:anchorId="70B59F3D" wp14:editId="44C2ED7B">
            <wp:extent cx="1304152" cy="540000"/>
            <wp:effectExtent l="0" t="0" r="4445" b="6350"/>
            <wp:docPr id="1" name="Picture 1" descr="FIND_Logo_V10-tagline color - 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_Logo_V10-tagline color - FIN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837" r="10471"/>
                    <a:stretch/>
                  </pic:blipFill>
                  <pic:spPr bwMode="auto">
                    <a:xfrm>
                      <a:off x="0" y="0"/>
                      <a:ext cx="1304152" cy="540000"/>
                    </a:xfrm>
                    <a:prstGeom prst="rect">
                      <a:avLst/>
                    </a:prstGeom>
                    <a:noFill/>
                    <a:ln>
                      <a:noFill/>
                    </a:ln>
                    <a:extLst>
                      <a:ext uri="{53640926-AAD7-44D8-BBD7-CCE9431645EC}">
                        <a14:shadowObscured xmlns:a14="http://schemas.microsoft.com/office/drawing/2010/main"/>
                      </a:ext>
                    </a:extLst>
                  </pic:spPr>
                </pic:pic>
              </a:graphicData>
            </a:graphic>
          </wp:inline>
        </w:drawing>
      </w:r>
      <w:r w:rsidRPr="00587A12">
        <w:rPr>
          <w:rFonts w:eastAsia="Times New Roman"/>
          <w:lang w:eastAsia="zh-CN"/>
        </w:rPr>
        <w:fldChar w:fldCharType="end"/>
      </w:r>
    </w:p>
    <w:p w14:paraId="1CF85D4F" w14:textId="77777777" w:rsidR="00587A12" w:rsidRPr="000754EB" w:rsidRDefault="00587A12" w:rsidP="00587A12">
      <w:pPr>
        <w:ind w:right="240"/>
        <w:jc w:val="right"/>
        <w:rPr>
          <w:rFonts w:eastAsia="Times New Roman"/>
          <w:color w:val="000000"/>
          <w:lang w:val="en-US"/>
        </w:rPr>
      </w:pPr>
    </w:p>
    <w:p w14:paraId="58AA0104" w14:textId="77777777" w:rsidR="00C13D61" w:rsidRPr="000754EB" w:rsidRDefault="00C13D61" w:rsidP="00C13D61">
      <w:pPr>
        <w:rPr>
          <w:rFonts w:eastAsia="Times New Roman"/>
        </w:rPr>
      </w:pPr>
    </w:p>
    <w:p w14:paraId="4F1649F7" w14:textId="79AFDA68" w:rsidR="00C13D61" w:rsidRDefault="00E26B93" w:rsidP="00587A12">
      <w:pPr>
        <w:jc w:val="right"/>
      </w:pPr>
      <w:r>
        <w:rPr>
          <w:lang w:val="en-US"/>
        </w:rPr>
        <w:t>16 May</w:t>
      </w:r>
      <w:r w:rsidR="00C13D61" w:rsidRPr="000754EB">
        <w:rPr>
          <w:lang w:val="en-US"/>
        </w:rPr>
        <w:t xml:space="preserve"> </w:t>
      </w:r>
      <w:r w:rsidR="00C13D61" w:rsidRPr="000754EB">
        <w:t>2022</w:t>
      </w:r>
    </w:p>
    <w:p w14:paraId="2520790D" w14:textId="77777777" w:rsidR="00C13D61" w:rsidRPr="000754EB" w:rsidRDefault="00C13D61" w:rsidP="00C13D61"/>
    <w:p w14:paraId="69D0A5E9" w14:textId="77777777" w:rsidR="00C13D61" w:rsidRPr="000754EB" w:rsidRDefault="00C13D61" w:rsidP="00C13D61">
      <w:pPr>
        <w:rPr>
          <w:lang w:val="en-US"/>
        </w:rPr>
      </w:pPr>
      <w:r w:rsidRPr="000754EB">
        <w:t>Dear Editor</w:t>
      </w:r>
      <w:r w:rsidRPr="000754EB">
        <w:rPr>
          <w:lang w:val="en-US"/>
        </w:rPr>
        <w:t xml:space="preserve">, </w:t>
      </w:r>
    </w:p>
    <w:p w14:paraId="0479D2B6" w14:textId="77777777" w:rsidR="00C13D61" w:rsidRPr="000754EB" w:rsidRDefault="00C13D61" w:rsidP="00C13D61"/>
    <w:p w14:paraId="50953548" w14:textId="7FA066EC" w:rsidR="00C13D61" w:rsidRPr="000754EB" w:rsidRDefault="00C13D61" w:rsidP="00C13D61">
      <w:r w:rsidRPr="000754EB">
        <w:t>Please find enclosed, our manuscript entitled “</w:t>
      </w:r>
      <w:r w:rsidR="00DF630D" w:rsidRPr="001116C1">
        <w:t>Low testing rates hamper effectiveness of genomic surveillance programs for early detection of novel SARS-CoV-2 variants: a mathematical modelling study</w:t>
      </w:r>
      <w:r w:rsidRPr="000754EB">
        <w:t xml:space="preserve">”, which we would be grateful for your consideration for publication </w:t>
      </w:r>
      <w:r w:rsidR="00E26B93">
        <w:t>in</w:t>
      </w:r>
      <w:r w:rsidRPr="000754EB">
        <w:t xml:space="preserve"> </w:t>
      </w:r>
      <w:r w:rsidRPr="001116C1">
        <w:rPr>
          <w:i/>
          <w:iCs/>
        </w:rPr>
        <w:t>The Lancet</w:t>
      </w:r>
      <w:r w:rsidRPr="000754EB">
        <w:t xml:space="preserve">. </w:t>
      </w:r>
    </w:p>
    <w:p w14:paraId="0729E898" w14:textId="77777777" w:rsidR="00C13D61" w:rsidRPr="000754EB" w:rsidRDefault="00C13D61" w:rsidP="00C13D61"/>
    <w:p w14:paraId="6DCCD619" w14:textId="01507C57" w:rsidR="006F562A" w:rsidRDefault="00637E99" w:rsidP="00C13D61">
      <w:r>
        <w:t xml:space="preserve">Genomic surveillance has been at the forefront of the global COVID-19 pandemic response </w:t>
      </w:r>
      <w:r w:rsidR="00E60A38">
        <w:t>for</w:t>
      </w:r>
      <w:r>
        <w:t xml:space="preserve"> monitoring the evolution of SARS-CoV-2, </w:t>
      </w:r>
      <w:r w:rsidR="00E60A38">
        <w:t xml:space="preserve">and has </w:t>
      </w:r>
      <w:r>
        <w:t>serv</w:t>
      </w:r>
      <w:r w:rsidR="00E60A38">
        <w:t>ed</w:t>
      </w:r>
      <w:r>
        <w:t xml:space="preserve"> as the primary tool </w:t>
      </w:r>
      <w:r w:rsidR="002E5AB1">
        <w:t>for identifying</w:t>
      </w:r>
      <w:r>
        <w:t xml:space="preserve"> variants of concern</w:t>
      </w:r>
      <w:r w:rsidR="00732F67">
        <w:t xml:space="preserve"> (VOCs)</w:t>
      </w:r>
      <w:r>
        <w:t xml:space="preserve">. However, the </w:t>
      </w:r>
      <w:r w:rsidR="00E62B1F">
        <w:t xml:space="preserve">reliability of genomic surveillance to provide timely information on the emergence and spread of </w:t>
      </w:r>
      <w:r w:rsidR="00B521CB">
        <w:t xml:space="preserve">VOCs </w:t>
      </w:r>
      <w:r w:rsidR="00E91F07">
        <w:t>requires</w:t>
      </w:r>
      <w:r w:rsidR="0006505C">
        <w:t xml:space="preserve"> worldwide</w:t>
      </w:r>
      <w:r w:rsidR="00E62B1F">
        <w:t xml:space="preserve"> contribution of SARS-CoV-2 genomic data</w:t>
      </w:r>
      <w:r w:rsidR="0006505C">
        <w:t xml:space="preserve">, </w:t>
      </w:r>
      <w:r w:rsidR="006F562A">
        <w:t xml:space="preserve">as evidenced by the </w:t>
      </w:r>
      <w:r w:rsidR="00732F67">
        <w:t>emergence</w:t>
      </w:r>
      <w:r w:rsidR="006F562A">
        <w:t xml:space="preserve"> of</w:t>
      </w:r>
      <w:r w:rsidR="0006505C">
        <w:t xml:space="preserve"> </w:t>
      </w:r>
      <w:r w:rsidR="00732F67">
        <w:t>VOCs</w:t>
      </w:r>
      <w:r w:rsidR="0006505C">
        <w:t xml:space="preserve"> such as</w:t>
      </w:r>
      <w:r w:rsidR="006F562A">
        <w:t xml:space="preserve"> Alpha in the United Kingdom, Gamma in Brazil, Delta in India and Omicron in Southern Africa</w:t>
      </w:r>
      <w:r w:rsidR="00E62B1F">
        <w:t>. Yet</w:t>
      </w:r>
      <w:r w:rsidR="006702D1">
        <w:t xml:space="preserve">, </w:t>
      </w:r>
      <w:r w:rsidR="00184576">
        <w:t>to date, high income countries</w:t>
      </w:r>
      <w:r w:rsidR="003A2162">
        <w:t xml:space="preserve"> (HICs)</w:t>
      </w:r>
      <w:r w:rsidR="00184576">
        <w:t xml:space="preserve"> have produced ~20 times more genomic surveillance data than low- and middle-income countries (LMICs)</w:t>
      </w:r>
      <w:r w:rsidR="006F562A">
        <w:t>.</w:t>
      </w:r>
      <w:r w:rsidR="00184576">
        <w:t xml:space="preserve"> The problem with this disparity </w:t>
      </w:r>
      <w:r w:rsidR="00C46173">
        <w:t xml:space="preserve">is obvious when looking at the emergence of the Omicron VOC – Omicron had already spread through the majority of the population of South Africa and to at least five other countries before being first described in early December 2021. The consequences of low testing and sequencing rates </w:t>
      </w:r>
      <w:r w:rsidR="00D479DC">
        <w:t>are now looming larger</w:t>
      </w:r>
      <w:r w:rsidR="00C46173">
        <w:t xml:space="preserve"> as many countries around the world begin to dismantle parts of their surveillance </w:t>
      </w:r>
      <w:proofErr w:type="spellStart"/>
      <w:r w:rsidR="00C46173">
        <w:t>programs</w:t>
      </w:r>
      <w:proofErr w:type="spellEnd"/>
      <w:r w:rsidR="00C46173">
        <w:t xml:space="preserve"> in the post-crisis phase of the pandemic.</w:t>
      </w:r>
    </w:p>
    <w:p w14:paraId="663E76D7" w14:textId="77777777" w:rsidR="006F562A" w:rsidRDefault="006F562A" w:rsidP="00C13D61"/>
    <w:p w14:paraId="0561F664" w14:textId="6AB051A7" w:rsidR="00732F67" w:rsidRDefault="006F562A" w:rsidP="00C13D61">
      <w:r>
        <w:t>To enhance genomic surveillance capacities, much focus</w:t>
      </w:r>
      <w:r w:rsidR="0006505C">
        <w:t xml:space="preserve">, and </w:t>
      </w:r>
      <w:r w:rsidR="004D72B6">
        <w:t xml:space="preserve">thus </w:t>
      </w:r>
      <w:r w:rsidR="0006505C">
        <w:t>investments</w:t>
      </w:r>
      <w:r>
        <w:t xml:space="preserve"> </w:t>
      </w:r>
      <w:r w:rsidR="00732F67">
        <w:t xml:space="preserve">have been </w:t>
      </w:r>
      <w:r w:rsidR="0006505C">
        <w:t>channelled to</w:t>
      </w:r>
      <w:r w:rsidR="004D72B6">
        <w:t>wards</w:t>
      </w:r>
      <w:r>
        <w:t xml:space="preserve"> </w:t>
      </w:r>
      <w:r w:rsidR="004D72B6">
        <w:t>boosting</w:t>
      </w:r>
      <w:r w:rsidR="0006505C">
        <w:t xml:space="preserve"> sequencing volumes in LMICs</w:t>
      </w:r>
      <w:r>
        <w:t xml:space="preserve">. </w:t>
      </w:r>
      <w:r w:rsidR="00732F67">
        <w:t>Genomic surveillance g</w:t>
      </w:r>
      <w:r w:rsidR="0006505C">
        <w:t>uidelines</w:t>
      </w:r>
      <w:r>
        <w:t xml:space="preserve"> from public health agencies, including the World Health Organization</w:t>
      </w:r>
      <w:r w:rsidR="00686B2D">
        <w:t xml:space="preserve"> (WHO)</w:t>
      </w:r>
      <w:r>
        <w:t xml:space="preserve"> and</w:t>
      </w:r>
      <w:r w:rsidR="00004295">
        <w:t xml:space="preserve"> other</w:t>
      </w:r>
      <w:r>
        <w:t xml:space="preserve"> academic groups</w:t>
      </w:r>
      <w:r w:rsidR="00732F67">
        <w:t xml:space="preserve"> have largely </w:t>
      </w:r>
      <w:r>
        <w:t>focus</w:t>
      </w:r>
      <w:r w:rsidR="00004295">
        <w:t>ed</w:t>
      </w:r>
      <w:r>
        <w:t xml:space="preserve"> on estimating the number of cases to be sequenced to ensure robust variant detection and prevalence </w:t>
      </w:r>
      <w:r w:rsidR="00004295">
        <w:t>monitoring</w:t>
      </w:r>
      <w:r>
        <w:t>.</w:t>
      </w:r>
      <w:r w:rsidR="004D72B6">
        <w:t xml:space="preserve"> </w:t>
      </w:r>
      <w:r w:rsidR="00947F4E">
        <w:t>However, all</w:t>
      </w:r>
      <w:r w:rsidR="002A2CB3">
        <w:t xml:space="preserve"> of</w:t>
      </w:r>
      <w:r w:rsidR="00947F4E">
        <w:t xml:space="preserve"> these guidelines fundamentally assume high levels of</w:t>
      </w:r>
      <w:r w:rsidR="004D72B6">
        <w:t xml:space="preserve"> COVID-19 diagnostic testing such that the </w:t>
      </w:r>
      <w:r w:rsidR="00910784">
        <w:t>sequenced</w:t>
      </w:r>
      <w:r w:rsidR="004D72B6">
        <w:t xml:space="preserve"> samples </w:t>
      </w:r>
      <w:r w:rsidR="00DB4AF3">
        <w:t>are</w:t>
      </w:r>
      <w:r w:rsidR="004D72B6">
        <w:t xml:space="preserve"> representative of </w:t>
      </w:r>
      <w:r w:rsidR="00732F67">
        <w:t xml:space="preserve">the </w:t>
      </w:r>
      <w:r w:rsidR="00521CE9">
        <w:t>viral</w:t>
      </w:r>
      <w:r w:rsidR="004D72B6">
        <w:t xml:space="preserve"> diversity</w:t>
      </w:r>
      <w:r w:rsidR="00732F67">
        <w:t xml:space="preserve"> circulating</w:t>
      </w:r>
      <w:r w:rsidR="004D72B6">
        <w:t xml:space="preserve"> the population.</w:t>
      </w:r>
      <w:r>
        <w:t xml:space="preserve"> </w:t>
      </w:r>
      <w:r w:rsidR="00947F4E">
        <w:t xml:space="preserve">These guidelines are infeasible in most LMICs given their low </w:t>
      </w:r>
      <w:r w:rsidR="0006505C">
        <w:t xml:space="preserve">COVID-19 testing rates </w:t>
      </w:r>
      <w:r w:rsidR="00411C3A">
        <w:t>(i.e. mean ~</w:t>
      </w:r>
      <w:r w:rsidR="0006505C">
        <w:t xml:space="preserve"> 27 tests per 100,000 people per day</w:t>
      </w:r>
      <w:r w:rsidR="00D36B98">
        <w:t xml:space="preserve"> (tests/100k/day)</w:t>
      </w:r>
      <w:r w:rsidR="00EA6773">
        <w:t xml:space="preserve"> </w:t>
      </w:r>
      <w:r w:rsidR="00411C3A">
        <w:t>relative</w:t>
      </w:r>
      <w:r w:rsidR="00EA6773">
        <w:t xml:space="preserve"> to &gt;800 </w:t>
      </w:r>
      <w:r w:rsidR="00D36B98">
        <w:t>tests/100k/day</w:t>
      </w:r>
      <w:r w:rsidR="00EA6773">
        <w:t xml:space="preserve"> in HICs</w:t>
      </w:r>
      <w:r w:rsidR="00411C3A">
        <w:t xml:space="preserve"> between 2020 and March 2022</w:t>
      </w:r>
      <w:r w:rsidR="00EA6773">
        <w:t>)</w:t>
      </w:r>
      <w:r w:rsidR="00947F4E">
        <w:t xml:space="preserve"> </w:t>
      </w:r>
      <w:r w:rsidR="00910784">
        <w:t>which</w:t>
      </w:r>
      <w:r w:rsidR="00EA6773">
        <w:t xml:space="preserve"> </w:t>
      </w:r>
      <w:r w:rsidR="00A366AB">
        <w:t>consequently</w:t>
      </w:r>
      <w:r w:rsidR="00EA6773">
        <w:t xml:space="preserve"> </w:t>
      </w:r>
      <w:r w:rsidR="00910784">
        <w:t>leads to</w:t>
      </w:r>
      <w:r w:rsidR="00947F4E">
        <w:t xml:space="preserve"> substantial bias </w:t>
      </w:r>
      <w:r w:rsidR="00EA6773">
        <w:t>in</w:t>
      </w:r>
      <w:r w:rsidR="00947F4E">
        <w:t xml:space="preserve"> the</w:t>
      </w:r>
      <w:r w:rsidR="0006505C">
        <w:t xml:space="preserve"> sample</w:t>
      </w:r>
      <w:r w:rsidR="004D72B6">
        <w:t xml:space="preserve">s collected for </w:t>
      </w:r>
      <w:r w:rsidR="00732F67">
        <w:t>sequencing</w:t>
      </w:r>
      <w:r w:rsidR="00947F4E">
        <w:t xml:space="preserve">. </w:t>
      </w:r>
    </w:p>
    <w:p w14:paraId="1A361D77" w14:textId="77777777" w:rsidR="00947F4E" w:rsidRDefault="00947F4E" w:rsidP="00C13D61"/>
    <w:p w14:paraId="4E1BEB00" w14:textId="22BAFE82" w:rsidR="00F8408D" w:rsidRDefault="00C67E00" w:rsidP="00C13D61">
      <w:r>
        <w:t xml:space="preserve">To </w:t>
      </w:r>
      <w:r w:rsidR="002B7A76">
        <w:t xml:space="preserve">identify meaningful </w:t>
      </w:r>
      <w:r w:rsidR="003A2162">
        <w:t>surveillance</w:t>
      </w:r>
      <w:r w:rsidR="002B7A76">
        <w:t xml:space="preserve"> targets </w:t>
      </w:r>
      <w:r w:rsidR="003A2162">
        <w:t>for LMICs that account for both testing and sequencing needs</w:t>
      </w:r>
      <w:r w:rsidR="00980ED0">
        <w:t>, w</w:t>
      </w:r>
      <w:r>
        <w:t xml:space="preserve">e developed </w:t>
      </w:r>
      <w:r w:rsidR="00732F67">
        <w:t>a</w:t>
      </w:r>
      <w:r w:rsidR="00B521CB">
        <w:t xml:space="preserve">n agent-based modelling framework </w:t>
      </w:r>
      <w:r>
        <w:t>and simulated</w:t>
      </w:r>
      <w:r w:rsidR="00B521CB">
        <w:t xml:space="preserve"> </w:t>
      </w:r>
      <w:r w:rsidR="00C70E6C">
        <w:t>extant virus/</w:t>
      </w:r>
      <w:r w:rsidR="00E0030C">
        <w:t>VOC</w:t>
      </w:r>
      <w:r w:rsidR="00B521CB">
        <w:t xml:space="preserve"> epidemics</w:t>
      </w:r>
      <w:r w:rsidR="00C70E6C">
        <w:t xml:space="preserve"> (</w:t>
      </w:r>
      <w:proofErr w:type="gramStart"/>
      <w:r w:rsidR="00C70E6C">
        <w:t>i.e.</w:t>
      </w:r>
      <w:proofErr w:type="gramEnd"/>
      <w:r w:rsidR="00C70E6C">
        <w:t xml:space="preserve"> SARS-CoV-2 wild-type/Alpha variant </w:t>
      </w:r>
      <w:r w:rsidR="00D36B98">
        <w:t>and</w:t>
      </w:r>
      <w:r w:rsidR="00C70E6C">
        <w:t xml:space="preserve"> Delta/Omicron variant)</w:t>
      </w:r>
      <w:r w:rsidR="00B521CB">
        <w:t xml:space="preserve"> </w:t>
      </w:r>
      <w:r w:rsidR="00E0030C">
        <w:t>in</w:t>
      </w:r>
      <w:r w:rsidR="00980ED0">
        <w:t xml:space="preserve"> </w:t>
      </w:r>
      <w:r w:rsidR="00F8408D">
        <w:t>a</w:t>
      </w:r>
      <w:r w:rsidR="000B1C60">
        <w:t xml:space="preserve"> prototypical</w:t>
      </w:r>
      <w:r w:rsidR="00F8408D">
        <w:t xml:space="preserve"> LMIC</w:t>
      </w:r>
      <w:r w:rsidR="00980ED0">
        <w:t xml:space="preserve"> under </w:t>
      </w:r>
      <w:r w:rsidR="00F8408D">
        <w:t xml:space="preserve">a range of </w:t>
      </w:r>
      <w:r w:rsidR="00980ED0">
        <w:t>diagnostic tests</w:t>
      </w:r>
      <w:r w:rsidR="00F8408D">
        <w:t xml:space="preserve"> availability</w:t>
      </w:r>
      <w:r w:rsidR="00980ED0">
        <w:t xml:space="preserve"> and different genomic surveillance strategies for variant detection.</w:t>
      </w:r>
      <w:r w:rsidR="00D36B98">
        <w:t xml:space="preserve"> W</w:t>
      </w:r>
      <w:r w:rsidR="000B1C60">
        <w:t xml:space="preserve">e </w:t>
      </w:r>
      <w:r w:rsidR="000C2036">
        <w:t xml:space="preserve">found </w:t>
      </w:r>
      <w:r w:rsidR="00D36B98">
        <w:t>that under the mean</w:t>
      </w:r>
      <w:r w:rsidR="00123D25">
        <w:t xml:space="preserve"> LMIC</w:t>
      </w:r>
      <w:r w:rsidR="00D36B98">
        <w:t xml:space="preserve"> </w:t>
      </w:r>
      <w:r w:rsidR="007F5AB3">
        <w:t>test availability</w:t>
      </w:r>
      <w:r w:rsidR="00D36B98">
        <w:t xml:space="preserve"> of 27 tests/100k/day, </w:t>
      </w:r>
      <w:r w:rsidR="000B1C60">
        <w:t>current</w:t>
      </w:r>
      <w:r w:rsidR="00D36B98">
        <w:t xml:space="preserve"> sequenc</w:t>
      </w:r>
      <w:r w:rsidR="00A235C8">
        <w:t>ing</w:t>
      </w:r>
      <w:r w:rsidR="00D36B98">
        <w:t xml:space="preserve"> sample size</w:t>
      </w:r>
      <w:r w:rsidR="000B1C60">
        <w:t xml:space="preserve"> guidance</w:t>
      </w:r>
      <w:r w:rsidR="00980ED0">
        <w:t xml:space="preserve"> provided by </w:t>
      </w:r>
      <w:r w:rsidR="00686B2D">
        <w:t xml:space="preserve">WHO </w:t>
      </w:r>
      <w:r w:rsidR="00980ED0">
        <w:t>and other academic groups</w:t>
      </w:r>
      <w:r w:rsidR="00D36B98">
        <w:t xml:space="preserve"> would</w:t>
      </w:r>
      <w:r w:rsidR="00980ED0">
        <w:t xml:space="preserve"> either </w:t>
      </w:r>
      <w:r w:rsidR="00F8408D">
        <w:t xml:space="preserve">lead to </w:t>
      </w:r>
      <w:r w:rsidR="000C2036">
        <w:t>weeks-to-months delays in new variant</w:t>
      </w:r>
      <w:r w:rsidR="00F8408D">
        <w:t xml:space="preserve"> detection </w:t>
      </w:r>
      <w:r w:rsidR="000B1C60">
        <w:t>or</w:t>
      </w:r>
      <w:r w:rsidR="00F8408D">
        <w:t xml:space="preserve"> fail</w:t>
      </w:r>
      <w:r w:rsidR="008959A5">
        <w:t>ure</w:t>
      </w:r>
      <w:r w:rsidR="00F8408D">
        <w:t xml:space="preserve"> to detect </w:t>
      </w:r>
      <w:r w:rsidR="000B1C60">
        <w:t>novel VOCs</w:t>
      </w:r>
      <w:r w:rsidR="00F8408D">
        <w:t xml:space="preserve"> at all owing to the inherent </w:t>
      </w:r>
      <w:r w:rsidR="000B1C60">
        <w:t>spatiotemporal</w:t>
      </w:r>
      <w:r w:rsidR="00F8408D">
        <w:t xml:space="preserve"> bias resulting from low testing rate</w:t>
      </w:r>
      <w:r w:rsidR="00065834">
        <w:t>s.</w:t>
      </w:r>
      <w:r w:rsidR="00F8408D">
        <w:t xml:space="preserve"> </w:t>
      </w:r>
    </w:p>
    <w:p w14:paraId="20134A00" w14:textId="73B3FD97" w:rsidR="00F8408D" w:rsidRDefault="00F8408D" w:rsidP="00C13D61"/>
    <w:p w14:paraId="5B146DE2" w14:textId="652F8C54" w:rsidR="004474B4" w:rsidRDefault="004474B4" w:rsidP="00C13D61">
      <w:r>
        <w:t xml:space="preserve">Crucially, we found that diagnostics testing rates play a far more important role in the early detection of novel SARS-CoV-2 variants and monitoring of variant growth than the amount of </w:t>
      </w:r>
      <w:r w:rsidR="00B253EA">
        <w:t>genetic sequencing</w:t>
      </w:r>
      <w:r>
        <w:t xml:space="preserve">. </w:t>
      </w:r>
      <w:r w:rsidR="00123D25">
        <w:t>Increasing testing rates to at least 100 tests/100k/day</w:t>
      </w:r>
      <w:r w:rsidR="001519F5">
        <w:t xml:space="preserve"> and sequencing 5-10% of collected specimens</w:t>
      </w:r>
      <w:r w:rsidR="00123D25">
        <w:t xml:space="preserve"> represents a critical juncture </w:t>
      </w:r>
      <w:r w:rsidR="001519F5">
        <w:t>to ensure the prompt detection of novel variants (i.e. within one month since its introduction</w:t>
      </w:r>
      <w:r w:rsidR="00950801">
        <w:t xml:space="preserve"> and &lt;25% of circulating variant proportion</w:t>
      </w:r>
      <w:r w:rsidR="001519F5">
        <w:t xml:space="preserve">) and accurate measurements of their circulating prevalence. Importantly, </w:t>
      </w:r>
      <w:r w:rsidR="0097654B">
        <w:t>other than</w:t>
      </w:r>
      <w:r w:rsidR="001519F5">
        <w:t xml:space="preserve"> population-wide surveillance</w:t>
      </w:r>
      <w:r w:rsidR="0036159C">
        <w:t xml:space="preserve"> efforts, this could just as well be achieved through</w:t>
      </w:r>
      <w:r w:rsidR="001519F5">
        <w:t xml:space="preserve"> sentinel surveillance systems</w:t>
      </w:r>
      <w:r w:rsidR="0036159C">
        <w:t xml:space="preserve"> </w:t>
      </w:r>
      <w:r w:rsidR="0097654B">
        <w:t>if selected</w:t>
      </w:r>
      <w:r w:rsidR="0036159C">
        <w:t xml:space="preserve"> sentinel sites provide sufficient geographical coverage</w:t>
      </w:r>
      <w:r w:rsidR="0097654B">
        <w:t xml:space="preserve"> of the population</w:t>
      </w:r>
      <w:r w:rsidR="0036159C">
        <w:t xml:space="preserve"> (i.e. mean ~10 samples for sequencing per 1,000,000 people per week). </w:t>
      </w:r>
    </w:p>
    <w:p w14:paraId="57AA5EA2" w14:textId="77777777" w:rsidR="004474B4" w:rsidRDefault="004474B4" w:rsidP="00C13D61"/>
    <w:p w14:paraId="110D6511" w14:textId="77777777" w:rsidR="0097654B" w:rsidRDefault="0097654B" w:rsidP="00C13D61">
      <w:r>
        <w:t>W</w:t>
      </w:r>
      <w:r w:rsidR="006702D1">
        <w:t xml:space="preserve">e </w:t>
      </w:r>
      <w:r>
        <w:t xml:space="preserve">found </w:t>
      </w:r>
      <w:r w:rsidR="006702D1">
        <w:t>that for countries with low testing capacities,</w:t>
      </w:r>
      <w:r w:rsidR="00781DAE">
        <w:t xml:space="preserve"> </w:t>
      </w:r>
      <w:r w:rsidR="00E55550">
        <w:t>investment priorities should be given</w:t>
      </w:r>
      <w:r w:rsidR="00781DAE">
        <w:t xml:space="preserve"> </w:t>
      </w:r>
      <w:r w:rsidR="00E55550">
        <w:t>to</w:t>
      </w:r>
      <w:r w:rsidR="00781DAE">
        <w:t xml:space="preserve"> </w:t>
      </w:r>
      <w:r w:rsidR="00E55550">
        <w:t>increasing</w:t>
      </w:r>
      <w:r w:rsidR="00781DAE">
        <w:t xml:space="preserve"> diagnostic tests availability and access to testing. Sequencing quantities should only be of concern after</w:t>
      </w:r>
      <w:r w:rsidR="000E3D29">
        <w:t xml:space="preserve"> a</w:t>
      </w:r>
      <w:r w:rsidR="00781DAE">
        <w:t xml:space="preserve"> </w:t>
      </w:r>
      <w:r w:rsidR="000E3D29">
        <w:t>vital</w:t>
      </w:r>
      <w:r w:rsidR="00781DAE">
        <w:t xml:space="preserve"> </w:t>
      </w:r>
      <w:r w:rsidR="000E3D29">
        <w:t xml:space="preserve">amount of </w:t>
      </w:r>
      <w:r w:rsidR="00781DAE">
        <w:t xml:space="preserve">diagnostic capacity is </w:t>
      </w:r>
      <w:r w:rsidR="000E3D29">
        <w:t xml:space="preserve">already </w:t>
      </w:r>
      <w:r w:rsidR="00781DAE">
        <w:t>in place</w:t>
      </w:r>
      <w:r w:rsidR="000E3D29">
        <w:t xml:space="preserve"> and even then, excessive boost in sequencing capacities </w:t>
      </w:r>
      <w:r w:rsidR="00123D25">
        <w:t xml:space="preserve">would </w:t>
      </w:r>
      <w:r w:rsidR="000E3D29">
        <w:t>only yield</w:t>
      </w:r>
      <w:r w:rsidR="00E55550">
        <w:t xml:space="preserve"> </w:t>
      </w:r>
      <w:r w:rsidR="000E3D29">
        <w:t>diminished returns in variant detection</w:t>
      </w:r>
      <w:r w:rsidR="00E55550">
        <w:t xml:space="preserve"> and monitoring</w:t>
      </w:r>
      <w:r w:rsidR="000E3D29">
        <w:t xml:space="preserve"> at the expense of resource wastage. </w:t>
      </w:r>
    </w:p>
    <w:p w14:paraId="589FDFFD" w14:textId="77777777" w:rsidR="0097654B" w:rsidRDefault="0097654B" w:rsidP="00C13D61"/>
    <w:p w14:paraId="5B6E0E3B" w14:textId="49EB0807" w:rsidR="00C13D61" w:rsidRDefault="005D3441" w:rsidP="00C13D61">
      <w:r>
        <w:t xml:space="preserve">While our results were derived from modelling surveillance outcomes in LMICs, our findings on the impact of diagnostic testing on genomic surveillance programs are pertinent to HICs as well, especially </w:t>
      </w:r>
      <w:r w:rsidR="00123D25">
        <w:t>since multiple</w:t>
      </w:r>
      <w:r>
        <w:t xml:space="preserve"> </w:t>
      </w:r>
      <w:r w:rsidR="00123D25">
        <w:t>countries are beginning</w:t>
      </w:r>
      <w:r>
        <w:t xml:space="preserve"> to scale down surveillance efforts in the</w:t>
      </w:r>
      <w:r w:rsidR="00123D25">
        <w:t xml:space="preserve"> current</w:t>
      </w:r>
      <w:r>
        <w:t xml:space="preserve"> post-crisis phase of the COVID-19 pandemic.</w:t>
      </w:r>
      <w:r w:rsidR="00BF1DF7">
        <w:t xml:space="preserve"> </w:t>
      </w:r>
      <w:r w:rsidR="00123D25">
        <w:t>In turn</w:t>
      </w:r>
      <w:r w:rsidR="00BF1DF7">
        <w:t xml:space="preserve">, our work </w:t>
      </w:r>
      <w:r w:rsidR="008A09D6">
        <w:t>will be of</w:t>
      </w:r>
      <w:r w:rsidR="00123D25">
        <w:t xml:space="preserve"> key </w:t>
      </w:r>
      <w:r w:rsidR="008A09D6">
        <w:t xml:space="preserve">interest </w:t>
      </w:r>
      <w:r w:rsidR="00BF1DF7">
        <w:t xml:space="preserve">to </w:t>
      </w:r>
      <w:r w:rsidR="00123D25">
        <w:t>the</w:t>
      </w:r>
      <w:r w:rsidR="00F13373">
        <w:t xml:space="preserve"> reader</w:t>
      </w:r>
      <w:r w:rsidR="00123D25">
        <w:t>s</w:t>
      </w:r>
      <w:r w:rsidR="00F13373">
        <w:t xml:space="preserve"> of The </w:t>
      </w:r>
      <w:r w:rsidR="00DF630D">
        <w:t>Lancet</w:t>
      </w:r>
      <w:r w:rsidR="00F13373">
        <w:t>, including</w:t>
      </w:r>
      <w:r w:rsidR="00123D25">
        <w:t xml:space="preserve"> governments, clinicians, epidemiologists,</w:t>
      </w:r>
      <w:r w:rsidR="00F13373">
        <w:t xml:space="preserve"> </w:t>
      </w:r>
      <w:r w:rsidR="00BF1DF7">
        <w:t>global</w:t>
      </w:r>
      <w:r w:rsidR="00123D25">
        <w:t xml:space="preserve">, </w:t>
      </w:r>
      <w:r w:rsidR="00BF1DF7">
        <w:t xml:space="preserve">and </w:t>
      </w:r>
      <w:r w:rsidR="00F13373">
        <w:t>public health experts working</w:t>
      </w:r>
      <w:r w:rsidR="008A09D6">
        <w:t xml:space="preserve"> on</w:t>
      </w:r>
      <w:r w:rsidR="00F13373">
        <w:t xml:space="preserve"> </w:t>
      </w:r>
      <w:r w:rsidR="00123D25">
        <w:t>pandemic</w:t>
      </w:r>
      <w:r w:rsidR="00F13373">
        <w:t xml:space="preserve"> </w:t>
      </w:r>
      <w:r w:rsidR="00BF1DF7">
        <w:t>mitigation and</w:t>
      </w:r>
      <w:r w:rsidR="00123D25">
        <w:t xml:space="preserve"> pathogen </w:t>
      </w:r>
      <w:r w:rsidR="00F13373">
        <w:t xml:space="preserve">surveillance. </w:t>
      </w:r>
    </w:p>
    <w:p w14:paraId="2824DECD" w14:textId="77777777" w:rsidR="00686B2D" w:rsidRDefault="00686B2D" w:rsidP="00C13D61"/>
    <w:p w14:paraId="2984317F" w14:textId="77777777" w:rsidR="00C13D61" w:rsidRPr="000754EB" w:rsidRDefault="00C13D61" w:rsidP="00C13D61">
      <w:r w:rsidRPr="000754EB">
        <w:t xml:space="preserve">Thank you for your consideration and we look forward to your decision. </w:t>
      </w:r>
    </w:p>
    <w:p w14:paraId="4F6B9281" w14:textId="77777777" w:rsidR="00C13D61" w:rsidRPr="000754EB" w:rsidRDefault="00C13D61" w:rsidP="00C13D61"/>
    <w:p w14:paraId="6CE02FA2" w14:textId="77777777" w:rsidR="00C13D61" w:rsidRPr="000754EB" w:rsidRDefault="00C13D61" w:rsidP="00C13D61">
      <w:r w:rsidRPr="000754EB">
        <w:t xml:space="preserve">Sincerely, </w:t>
      </w:r>
    </w:p>
    <w:p w14:paraId="6F9052B5" w14:textId="2867ED44" w:rsidR="00C13D61" w:rsidRDefault="00F13373">
      <w:r>
        <w:t xml:space="preserve">Alvin X. Han, Brooke E. Nichols and Colin A. Russell </w:t>
      </w:r>
      <w:r w:rsidR="00DF630D">
        <w:t>on behalf of all authors</w:t>
      </w:r>
    </w:p>
    <w:sectPr w:rsidR="00C13D61" w:rsidSect="00272F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61"/>
    <w:rsid w:val="00004295"/>
    <w:rsid w:val="0006505C"/>
    <w:rsid w:val="00065834"/>
    <w:rsid w:val="000B1C60"/>
    <w:rsid w:val="000C2036"/>
    <w:rsid w:val="000E3D29"/>
    <w:rsid w:val="001116C1"/>
    <w:rsid w:val="00123D25"/>
    <w:rsid w:val="001519F5"/>
    <w:rsid w:val="00184576"/>
    <w:rsid w:val="001977F4"/>
    <w:rsid w:val="00211381"/>
    <w:rsid w:val="002A2CB3"/>
    <w:rsid w:val="002B7A76"/>
    <w:rsid w:val="002E5AB1"/>
    <w:rsid w:val="002E6251"/>
    <w:rsid w:val="0036159C"/>
    <w:rsid w:val="003A2162"/>
    <w:rsid w:val="00411C3A"/>
    <w:rsid w:val="004474B4"/>
    <w:rsid w:val="004D72B6"/>
    <w:rsid w:val="00521CE9"/>
    <w:rsid w:val="00587A12"/>
    <w:rsid w:val="005D3441"/>
    <w:rsid w:val="005D5E8E"/>
    <w:rsid w:val="00637E99"/>
    <w:rsid w:val="006702D1"/>
    <w:rsid w:val="00686B2D"/>
    <w:rsid w:val="006F562A"/>
    <w:rsid w:val="00732F67"/>
    <w:rsid w:val="00781DAE"/>
    <w:rsid w:val="007B71CA"/>
    <w:rsid w:val="007F5AB3"/>
    <w:rsid w:val="008959A5"/>
    <w:rsid w:val="008A09D6"/>
    <w:rsid w:val="00910784"/>
    <w:rsid w:val="00947F4E"/>
    <w:rsid w:val="00950801"/>
    <w:rsid w:val="0097654B"/>
    <w:rsid w:val="00980ED0"/>
    <w:rsid w:val="009C7BF0"/>
    <w:rsid w:val="00A235C8"/>
    <w:rsid w:val="00A366AB"/>
    <w:rsid w:val="00B253EA"/>
    <w:rsid w:val="00B521CB"/>
    <w:rsid w:val="00B60FF2"/>
    <w:rsid w:val="00BB2612"/>
    <w:rsid w:val="00BF1DF7"/>
    <w:rsid w:val="00C13D61"/>
    <w:rsid w:val="00C46173"/>
    <w:rsid w:val="00C67E00"/>
    <w:rsid w:val="00C70E6C"/>
    <w:rsid w:val="00D36B98"/>
    <w:rsid w:val="00D479DC"/>
    <w:rsid w:val="00DB4AF3"/>
    <w:rsid w:val="00DF630D"/>
    <w:rsid w:val="00E0030C"/>
    <w:rsid w:val="00E07B83"/>
    <w:rsid w:val="00E26B93"/>
    <w:rsid w:val="00E55550"/>
    <w:rsid w:val="00E60A38"/>
    <w:rsid w:val="00E62B1F"/>
    <w:rsid w:val="00E91F07"/>
    <w:rsid w:val="00EA6773"/>
    <w:rsid w:val="00F13373"/>
    <w:rsid w:val="00F84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158603"/>
  <w15:chartTrackingRefBased/>
  <w15:docId w15:val="{54CEE298-E1FE-2C4F-A149-8FFFE96B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D61"/>
    <w:pPr>
      <w:spacing w:line="276"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D61"/>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7B71CA"/>
    <w:rPr>
      <w:color w:val="808080"/>
    </w:rPr>
  </w:style>
  <w:style w:type="character" w:styleId="CommentReference">
    <w:name w:val="annotation reference"/>
    <w:basedOn w:val="DefaultParagraphFont"/>
    <w:uiPriority w:val="99"/>
    <w:semiHidden/>
    <w:unhideWhenUsed/>
    <w:rsid w:val="00F13373"/>
    <w:rPr>
      <w:sz w:val="16"/>
      <w:szCs w:val="16"/>
    </w:rPr>
  </w:style>
  <w:style w:type="paragraph" w:styleId="CommentText">
    <w:name w:val="annotation text"/>
    <w:basedOn w:val="Normal"/>
    <w:link w:val="CommentTextChar"/>
    <w:uiPriority w:val="99"/>
    <w:semiHidden/>
    <w:unhideWhenUsed/>
    <w:rsid w:val="00F13373"/>
    <w:pPr>
      <w:spacing w:line="240" w:lineRule="auto"/>
    </w:pPr>
    <w:rPr>
      <w:sz w:val="20"/>
      <w:szCs w:val="20"/>
    </w:rPr>
  </w:style>
  <w:style w:type="character" w:customStyle="1" w:styleId="CommentTextChar">
    <w:name w:val="Comment Text Char"/>
    <w:basedOn w:val="DefaultParagraphFont"/>
    <w:link w:val="CommentText"/>
    <w:uiPriority w:val="99"/>
    <w:semiHidden/>
    <w:rsid w:val="00F1337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3373"/>
    <w:rPr>
      <w:b/>
      <w:bCs/>
    </w:rPr>
  </w:style>
  <w:style w:type="character" w:customStyle="1" w:styleId="CommentSubjectChar">
    <w:name w:val="Comment Subject Char"/>
    <w:basedOn w:val="CommentTextChar"/>
    <w:link w:val="CommentSubject"/>
    <w:uiPriority w:val="99"/>
    <w:semiHidden/>
    <w:rsid w:val="00F1337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13373"/>
    <w:pPr>
      <w:spacing w:line="240" w:lineRule="auto"/>
    </w:pPr>
    <w:rPr>
      <w:sz w:val="18"/>
      <w:szCs w:val="18"/>
    </w:rPr>
  </w:style>
  <w:style w:type="character" w:customStyle="1" w:styleId="BalloonTextChar">
    <w:name w:val="Balloon Text Char"/>
    <w:basedOn w:val="DefaultParagraphFont"/>
    <w:link w:val="BalloonText"/>
    <w:uiPriority w:val="99"/>
    <w:semiHidden/>
    <w:rsid w:val="00F133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1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D105-1796-4247-9529-D3626F1B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Russell, C.A.</cp:lastModifiedBy>
  <cp:revision>2</cp:revision>
  <dcterms:created xsi:type="dcterms:W3CDTF">2022-05-13T07:27:00Z</dcterms:created>
  <dcterms:modified xsi:type="dcterms:W3CDTF">2022-05-13T07:27:00Z</dcterms:modified>
</cp:coreProperties>
</file>