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87CB1" w14:textId="1CE52FEC" w:rsidR="00731CA3" w:rsidRPr="005247CB" w:rsidRDefault="000026E4" w:rsidP="003C6F88">
      <w:pPr>
        <w:pStyle w:val="Heading1"/>
      </w:pPr>
      <w:r w:rsidRPr="005247CB">
        <w:t>T</w:t>
      </w:r>
      <w:r w:rsidR="00B60886" w:rsidRPr="005247CB">
        <w:t>he</w:t>
      </w:r>
      <w:r w:rsidR="003C6F88" w:rsidRPr="005247CB">
        <w:t xml:space="preserve"> global</w:t>
      </w:r>
      <w:r w:rsidR="00B60886" w:rsidRPr="005247CB">
        <w:t xml:space="preserve"> </w:t>
      </w:r>
      <w:r w:rsidR="003C6F88" w:rsidRPr="005247CB">
        <w:t>demand and potential public health impact of oral antiviral treatment stockpile for influenza pandemics</w:t>
      </w:r>
      <w:r w:rsidR="00B60886" w:rsidRPr="005247CB">
        <w:t xml:space="preserve"> </w:t>
      </w:r>
    </w:p>
    <w:p w14:paraId="7EF8B98A" w14:textId="77777777" w:rsidR="003C6F88" w:rsidRPr="005247CB" w:rsidRDefault="003C6F88" w:rsidP="00B60886"/>
    <w:p w14:paraId="134767D9" w14:textId="75AC0951" w:rsidR="003C6F88" w:rsidRPr="005247CB" w:rsidRDefault="003C6F88" w:rsidP="00B60886">
      <w:r w:rsidRPr="005247CB">
        <w:t>Alvin X. Han</w:t>
      </w:r>
      <w:r w:rsidRPr="005247CB">
        <w:rPr>
          <w:vertAlign w:val="superscript"/>
        </w:rPr>
        <w:t>1</w:t>
      </w:r>
      <w:r w:rsidRPr="005247CB">
        <w:t>,</w:t>
      </w:r>
      <w:r w:rsidR="00EF3113" w:rsidRPr="005247CB">
        <w:t xml:space="preserve"> Katina</w:t>
      </w:r>
      <w:r w:rsidR="0050726A" w:rsidRPr="005247CB">
        <w:t xml:space="preserve"> D.</w:t>
      </w:r>
      <w:r w:rsidR="00EF3113" w:rsidRPr="005247CB">
        <w:t xml:space="preserve"> Hulme</w:t>
      </w:r>
      <w:r w:rsidR="00EF3113" w:rsidRPr="005247CB">
        <w:rPr>
          <w:vertAlign w:val="superscript"/>
        </w:rPr>
        <w:t>1</w:t>
      </w:r>
      <w:r w:rsidR="00EF3113" w:rsidRPr="005247CB">
        <w:t>,</w:t>
      </w:r>
      <w:r w:rsidRPr="005247CB">
        <w:t xml:space="preserve"> Colin A. Russell</w:t>
      </w:r>
      <w:r w:rsidR="00580840" w:rsidRPr="005247CB">
        <w:rPr>
          <w:vertAlign w:val="superscript"/>
        </w:rPr>
        <w:t xml:space="preserve"> </w:t>
      </w:r>
      <w:r w:rsidRPr="005247CB">
        <w:rPr>
          <w:vertAlign w:val="superscript"/>
        </w:rPr>
        <w:t>1</w:t>
      </w:r>
    </w:p>
    <w:p w14:paraId="1331D459" w14:textId="2AE6DED3" w:rsidR="003C6F88" w:rsidRPr="005247CB" w:rsidRDefault="003C6F88" w:rsidP="00B60886">
      <w:r w:rsidRPr="005247CB">
        <w:rPr>
          <w:vertAlign w:val="superscript"/>
        </w:rPr>
        <w:t>1</w:t>
      </w:r>
      <w:r w:rsidRPr="005247CB">
        <w:t>Department of Medical Microbiology and Infection Prevention, Amsterdam University Medical Center, University of Amsterdam, Amsterdam, The Netherlands</w:t>
      </w:r>
    </w:p>
    <w:p w14:paraId="6B7F9423" w14:textId="1862FE59" w:rsidR="00D363D2" w:rsidRPr="005247CB" w:rsidRDefault="00D363D2" w:rsidP="00B60886"/>
    <w:p w14:paraId="28C46B15" w14:textId="0763E634" w:rsidR="00D363D2" w:rsidRPr="005247CB" w:rsidRDefault="00D363D2" w:rsidP="00B60886">
      <w:r w:rsidRPr="005247CB">
        <w:t>Corresponding author: Alvin X. Han (</w:t>
      </w:r>
      <w:hyperlink r:id="rId8" w:history="1">
        <w:r w:rsidRPr="005247CB">
          <w:rPr>
            <w:rStyle w:val="Hyperlink"/>
          </w:rPr>
          <w:t>x.han@amsterdamumc.nl</w:t>
        </w:r>
      </w:hyperlink>
      <w:r w:rsidRPr="005247CB">
        <w:t xml:space="preserve">) </w:t>
      </w:r>
    </w:p>
    <w:p w14:paraId="263D7671" w14:textId="117D6990" w:rsidR="00B60886" w:rsidRPr="005247CB" w:rsidRDefault="003C6F88" w:rsidP="00B60886">
      <w:pPr>
        <w:rPr>
          <w:b/>
          <w:lang w:val="en-US"/>
        </w:rPr>
      </w:pPr>
      <w:r w:rsidRPr="005247CB">
        <w:t xml:space="preserve"> </w:t>
      </w:r>
      <w:r w:rsidR="00B60886" w:rsidRPr="005247CB">
        <w:br w:type="page"/>
      </w:r>
    </w:p>
    <w:p w14:paraId="60A8D869" w14:textId="62C69DE6" w:rsidR="00243CE6" w:rsidRPr="005247CB" w:rsidRDefault="002A339A" w:rsidP="003C6F88">
      <w:pPr>
        <w:pStyle w:val="Heading1"/>
      </w:pPr>
      <w:r w:rsidRPr="005247CB">
        <w:lastRenderedPageBreak/>
        <w:t>Abstract</w:t>
      </w:r>
    </w:p>
    <w:p w14:paraId="4C8C7177" w14:textId="07BD4975" w:rsidR="00243CE6" w:rsidRPr="005247CB" w:rsidRDefault="00D27F78" w:rsidP="000026E4">
      <w:pPr>
        <w:rPr>
          <w:lang w:val="en-US"/>
        </w:rPr>
      </w:pPr>
      <w:r w:rsidRPr="005247CB">
        <w:rPr>
          <w:lang w:val="en-US"/>
        </w:rPr>
        <w:t>Stockpiling and rapid use of o</w:t>
      </w:r>
      <w:r w:rsidR="001751C7" w:rsidRPr="005247CB">
        <w:rPr>
          <w:lang w:val="en-US"/>
        </w:rPr>
        <w:t xml:space="preserve">ral </w:t>
      </w:r>
      <w:r w:rsidR="00295B15" w:rsidRPr="005247CB">
        <w:rPr>
          <w:lang w:val="en-US"/>
        </w:rPr>
        <w:t>influenza</w:t>
      </w:r>
      <w:r w:rsidR="006C75DC" w:rsidRPr="005247CB">
        <w:rPr>
          <w:lang w:val="en-US"/>
        </w:rPr>
        <w:t xml:space="preserve"> antiviral drug</w:t>
      </w:r>
      <w:r w:rsidR="006264C8" w:rsidRPr="005247CB">
        <w:rPr>
          <w:lang w:val="en-US"/>
        </w:rPr>
        <w:t>s</w:t>
      </w:r>
      <w:r w:rsidR="001751C7" w:rsidRPr="005247CB">
        <w:rPr>
          <w:lang w:val="en-US"/>
        </w:rPr>
        <w:t xml:space="preserve"> such as oseltamivir and baloxavir marboxil (BXM)</w:t>
      </w:r>
      <w:r w:rsidR="006264C8" w:rsidRPr="005247CB">
        <w:rPr>
          <w:lang w:val="en-US"/>
        </w:rPr>
        <w:t xml:space="preserve"> </w:t>
      </w:r>
      <w:r w:rsidR="000026E4" w:rsidRPr="005247CB">
        <w:rPr>
          <w:lang w:val="en-US"/>
        </w:rPr>
        <w:t>can</w:t>
      </w:r>
      <w:r w:rsidR="0069459E" w:rsidRPr="005247CB">
        <w:rPr>
          <w:lang w:val="en-US"/>
        </w:rPr>
        <w:t xml:space="preserve"> </w:t>
      </w:r>
      <w:r w:rsidR="001751C7" w:rsidRPr="005247CB">
        <w:rPr>
          <w:lang w:val="en-US"/>
        </w:rPr>
        <w:t>reduce</w:t>
      </w:r>
      <w:r w:rsidR="0069459E" w:rsidRPr="005247CB">
        <w:rPr>
          <w:lang w:val="en-US"/>
        </w:rPr>
        <w:t xml:space="preserve"> the</w:t>
      </w:r>
      <w:r w:rsidR="006C75DC" w:rsidRPr="005247CB">
        <w:rPr>
          <w:lang w:val="en-US"/>
        </w:rPr>
        <w:t xml:space="preserve"> disease burden of</w:t>
      </w:r>
      <w:r w:rsidR="006264C8" w:rsidRPr="005247CB">
        <w:rPr>
          <w:lang w:val="en-US"/>
        </w:rPr>
        <w:t xml:space="preserve"> </w:t>
      </w:r>
      <w:r w:rsidR="001751C7" w:rsidRPr="005247CB">
        <w:rPr>
          <w:lang w:val="en-US"/>
        </w:rPr>
        <w:t xml:space="preserve">a nascent </w:t>
      </w:r>
      <w:r w:rsidR="006C75DC" w:rsidRPr="005247CB">
        <w:rPr>
          <w:lang w:val="en-US"/>
        </w:rPr>
        <w:t xml:space="preserve">influenza pandemic </w:t>
      </w:r>
      <w:r w:rsidR="000026E4" w:rsidRPr="005247CB">
        <w:rPr>
          <w:lang w:val="en-US"/>
        </w:rPr>
        <w:t>before</w:t>
      </w:r>
      <w:r w:rsidR="006C75DC" w:rsidRPr="005247CB">
        <w:rPr>
          <w:lang w:val="en-US"/>
        </w:rPr>
        <w:t xml:space="preserve"> </w:t>
      </w:r>
      <w:r w:rsidR="0056229D" w:rsidRPr="005247CB">
        <w:rPr>
          <w:lang w:val="en-US"/>
        </w:rPr>
        <w:t>vaccines are available</w:t>
      </w:r>
      <w:r w:rsidR="00092D22" w:rsidRPr="005247CB">
        <w:rPr>
          <w:lang w:val="en-US"/>
        </w:rPr>
        <w:t>.</w:t>
      </w:r>
      <w:r w:rsidRPr="005247CB">
        <w:rPr>
          <w:lang w:val="en-US"/>
        </w:rPr>
        <w:t xml:space="preserve"> Current estimates for pandemic preparedness drug stockpile size vary widely </w:t>
      </w:r>
      <w:r w:rsidR="005247CB">
        <w:rPr>
          <w:lang w:val="en-US"/>
        </w:rPr>
        <w:t>depending</w:t>
      </w:r>
      <w:r w:rsidRPr="005247CB">
        <w:rPr>
          <w:lang w:val="en-US"/>
        </w:rPr>
        <w:t xml:space="preserve"> on modeling assumptions and do not account for heterogeneities in </w:t>
      </w:r>
      <w:r w:rsidR="00382FBD">
        <w:rPr>
          <w:lang w:val="en-US"/>
        </w:rPr>
        <w:t>healthcare-seeking</w:t>
      </w:r>
      <w:r w:rsidRPr="005247CB">
        <w:rPr>
          <w:lang w:val="en-US"/>
        </w:rPr>
        <w:t xml:space="preserve"> behaviour or drug-specific transmission risk reduction. </w:t>
      </w:r>
      <w:r w:rsidR="000026E4" w:rsidRPr="005247CB">
        <w:rPr>
          <w:lang w:val="en-US"/>
        </w:rPr>
        <w:t xml:space="preserve">Here, we developed </w:t>
      </w:r>
      <w:r w:rsidR="005D32E9" w:rsidRPr="005247CB">
        <w:rPr>
          <w:lang w:val="en-US"/>
        </w:rPr>
        <w:t>a novel</w:t>
      </w:r>
      <w:r w:rsidR="003F5D20" w:rsidRPr="005247CB">
        <w:rPr>
          <w:lang w:val="en-US"/>
        </w:rPr>
        <w:t xml:space="preserve"> </w:t>
      </w:r>
      <w:r w:rsidR="000026E4" w:rsidRPr="005247CB">
        <w:rPr>
          <w:lang w:val="en-US"/>
        </w:rPr>
        <w:t xml:space="preserve">transmission </w:t>
      </w:r>
      <w:r w:rsidR="005D32E9" w:rsidRPr="005247CB">
        <w:rPr>
          <w:lang w:val="en-US"/>
        </w:rPr>
        <w:t xml:space="preserve">model that </w:t>
      </w:r>
      <w:r w:rsidR="002B1BE3" w:rsidRPr="005247CB">
        <w:rPr>
          <w:lang w:val="en-US"/>
        </w:rPr>
        <w:t>accounts for</w:t>
      </w:r>
      <w:r w:rsidR="005D32E9" w:rsidRPr="005247CB">
        <w:rPr>
          <w:lang w:val="en-US"/>
        </w:rPr>
        <w:t xml:space="preserve"> </w:t>
      </w:r>
      <w:r w:rsidR="000026E4" w:rsidRPr="005247CB">
        <w:rPr>
          <w:lang w:val="en-US"/>
        </w:rPr>
        <w:t xml:space="preserve">heterogeneous </w:t>
      </w:r>
      <w:r w:rsidR="00382FBD">
        <w:rPr>
          <w:lang w:val="en-US"/>
        </w:rPr>
        <w:t>healthcare-seeking</w:t>
      </w:r>
      <w:r w:rsidR="000026E4" w:rsidRPr="005247CB">
        <w:rPr>
          <w:lang w:val="en-US"/>
        </w:rPr>
        <w:t xml:space="preserve"> </w:t>
      </w:r>
      <w:r w:rsidR="005247CB">
        <w:rPr>
          <w:lang w:val="en-US"/>
        </w:rPr>
        <w:t>behaviour</w:t>
      </w:r>
      <w:r w:rsidR="000026E4" w:rsidRPr="005247CB">
        <w:rPr>
          <w:lang w:val="en-US"/>
        </w:rPr>
        <w:t xml:space="preserve"> and</w:t>
      </w:r>
      <w:r w:rsidR="003F5D20" w:rsidRPr="005247CB">
        <w:rPr>
          <w:lang w:val="en-US"/>
        </w:rPr>
        <w:t xml:space="preserve"> recent</w:t>
      </w:r>
      <w:r w:rsidR="000026E4" w:rsidRPr="005247CB">
        <w:rPr>
          <w:lang w:val="en-US"/>
        </w:rPr>
        <w:t xml:space="preserve"> estimates of</w:t>
      </w:r>
      <w:r w:rsidR="003F5D20" w:rsidRPr="005247CB">
        <w:rPr>
          <w:lang w:val="en-US"/>
        </w:rPr>
        <w:t xml:space="preserve"> </w:t>
      </w:r>
      <w:r w:rsidR="007E3383" w:rsidRPr="005247CB">
        <w:rPr>
          <w:lang w:val="en-US"/>
        </w:rPr>
        <w:t>transmission risk reduction</w:t>
      </w:r>
      <w:r w:rsidR="000026E4" w:rsidRPr="005247CB">
        <w:rPr>
          <w:lang w:val="en-US"/>
        </w:rPr>
        <w:t xml:space="preserve"> </w:t>
      </w:r>
      <w:r w:rsidR="007E3383" w:rsidRPr="005247CB">
        <w:rPr>
          <w:lang w:val="en-US"/>
        </w:rPr>
        <w:t>by antivirals</w:t>
      </w:r>
      <w:r w:rsidR="00B433C5" w:rsidRPr="005247CB">
        <w:rPr>
          <w:lang w:val="en-US"/>
        </w:rPr>
        <w:t xml:space="preserve"> to estimate</w:t>
      </w:r>
      <w:r w:rsidR="004D6AA5" w:rsidRPr="005247CB">
        <w:rPr>
          <w:lang w:val="en-US"/>
        </w:rPr>
        <w:t xml:space="preserve"> </w:t>
      </w:r>
      <w:r w:rsidR="000026E4" w:rsidRPr="005247CB">
        <w:rPr>
          <w:lang w:val="en-US"/>
        </w:rPr>
        <w:t>country-specific</w:t>
      </w:r>
      <w:r w:rsidR="004D6AA5" w:rsidRPr="005247CB">
        <w:rPr>
          <w:lang w:val="en-US"/>
        </w:rPr>
        <w:t xml:space="preserve"> demand</w:t>
      </w:r>
      <w:r w:rsidR="000026E4" w:rsidRPr="005247CB">
        <w:rPr>
          <w:lang w:val="en-US"/>
        </w:rPr>
        <w:t xml:space="preserve"> and impact of distributing</w:t>
      </w:r>
      <w:r w:rsidR="004D6AA5" w:rsidRPr="005247CB">
        <w:rPr>
          <w:lang w:val="en-US"/>
        </w:rPr>
        <w:t xml:space="preserve"> oseltamivir and </w:t>
      </w:r>
      <w:r w:rsidR="00EA7848" w:rsidRPr="005247CB">
        <w:rPr>
          <w:lang w:val="en-US"/>
        </w:rPr>
        <w:t>BXM</w:t>
      </w:r>
      <w:r w:rsidR="000026E4" w:rsidRPr="005247CB">
        <w:rPr>
          <w:lang w:val="en-US"/>
        </w:rPr>
        <w:t xml:space="preserve"> </w:t>
      </w:r>
      <w:r w:rsidR="00AC4B8D" w:rsidRPr="005247CB">
        <w:rPr>
          <w:lang w:val="en-US"/>
        </w:rPr>
        <w:t>in 186 countries</w:t>
      </w:r>
      <w:r w:rsidR="004D6AA5" w:rsidRPr="005247CB">
        <w:rPr>
          <w:lang w:val="en-US"/>
        </w:rPr>
        <w:t>.</w:t>
      </w:r>
      <w:r w:rsidR="00AC4B8D" w:rsidRPr="005247CB">
        <w:rPr>
          <w:lang w:val="en-US"/>
        </w:rPr>
        <w:t xml:space="preserve"> </w:t>
      </w:r>
      <w:r w:rsidR="005247CB">
        <w:rPr>
          <w:lang w:val="en-US"/>
        </w:rPr>
        <w:t>Due to its</w:t>
      </w:r>
      <w:r w:rsidR="001338D2" w:rsidRPr="005247CB">
        <w:rPr>
          <w:lang w:val="en-US"/>
        </w:rPr>
        <w:t xml:space="preserve"> transmission reducing properties</w:t>
      </w:r>
      <w:r w:rsidR="0073213D" w:rsidRPr="005247CB">
        <w:rPr>
          <w:lang w:val="en-US"/>
        </w:rPr>
        <w:t>,</w:t>
      </w:r>
      <w:r w:rsidR="00842ED8" w:rsidRPr="005247CB">
        <w:rPr>
          <w:lang w:val="en-US"/>
        </w:rPr>
        <w:t xml:space="preserve"> </w:t>
      </w:r>
      <w:r w:rsidR="00636D0C" w:rsidRPr="005247CB">
        <w:rPr>
          <w:lang w:val="en-US"/>
        </w:rPr>
        <w:t>BXM</w:t>
      </w:r>
      <w:r w:rsidR="000026E4" w:rsidRPr="005247CB">
        <w:rPr>
          <w:lang w:val="en-US"/>
        </w:rPr>
        <w:t xml:space="preserve"> </w:t>
      </w:r>
      <w:r w:rsidR="004D3C88" w:rsidRPr="005247CB">
        <w:rPr>
          <w:lang w:val="en-US"/>
        </w:rPr>
        <w:t>could maximally</w:t>
      </w:r>
      <w:r w:rsidR="00636D0C" w:rsidRPr="005247CB">
        <w:rPr>
          <w:lang w:val="en-US"/>
        </w:rPr>
        <w:t xml:space="preserve"> double the</w:t>
      </w:r>
      <w:r w:rsidR="00842ED8" w:rsidRPr="005247CB">
        <w:rPr>
          <w:lang w:val="en-US"/>
        </w:rPr>
        <w:t xml:space="preserve"> median</w:t>
      </w:r>
      <w:r w:rsidR="00636D0C" w:rsidRPr="005247CB">
        <w:rPr>
          <w:lang w:val="en-US"/>
        </w:rPr>
        <w:t xml:space="preserve"> percentage of</w:t>
      </w:r>
      <w:r w:rsidR="007D7B39" w:rsidRPr="005247CB">
        <w:rPr>
          <w:lang w:val="en-US"/>
        </w:rPr>
        <w:t xml:space="preserve"> </w:t>
      </w:r>
      <w:r w:rsidR="00085407" w:rsidRPr="005247CB">
        <w:rPr>
          <w:lang w:val="en-US"/>
        </w:rPr>
        <w:t>mean</w:t>
      </w:r>
      <w:r w:rsidR="00636D0C" w:rsidRPr="005247CB">
        <w:rPr>
          <w:lang w:val="en-US"/>
        </w:rPr>
        <w:t xml:space="preserve"> pandemic deaths averted</w:t>
      </w:r>
      <w:r w:rsidR="000026E4" w:rsidRPr="005247CB">
        <w:rPr>
          <w:lang w:val="en-US"/>
        </w:rPr>
        <w:t xml:space="preserve"> (37%-68%)</w:t>
      </w:r>
      <w:r w:rsidR="0073213D" w:rsidRPr="005247CB">
        <w:rPr>
          <w:lang w:val="en-US"/>
        </w:rPr>
        <w:t xml:space="preserve"> relative to oseltamivir</w:t>
      </w:r>
      <w:r w:rsidR="000026E4" w:rsidRPr="005247CB">
        <w:rPr>
          <w:lang w:val="en-US"/>
        </w:rPr>
        <w:t xml:space="preserve"> </w:t>
      </w:r>
      <w:r w:rsidR="00636D0C" w:rsidRPr="005247CB">
        <w:rPr>
          <w:lang w:val="en-US"/>
        </w:rPr>
        <w:t xml:space="preserve">with </w:t>
      </w:r>
      <w:r w:rsidR="007D7B39" w:rsidRPr="005247CB">
        <w:rPr>
          <w:lang w:val="en-US"/>
        </w:rPr>
        <w:t>~5</w:t>
      </w:r>
      <w:r w:rsidR="004A44BE" w:rsidRPr="005247CB">
        <w:rPr>
          <w:lang w:val="en-US"/>
        </w:rPr>
        <w:t>%</w:t>
      </w:r>
      <w:r w:rsidR="000026E4" w:rsidRPr="005247CB">
        <w:rPr>
          <w:lang w:val="en-US"/>
        </w:rPr>
        <w:t>-</w:t>
      </w:r>
      <w:r w:rsidR="007D7B39" w:rsidRPr="005247CB">
        <w:rPr>
          <w:lang w:val="en-US"/>
        </w:rPr>
        <w:t xml:space="preserve">10% </w:t>
      </w:r>
      <w:r w:rsidR="00B433C5" w:rsidRPr="005247CB">
        <w:rPr>
          <w:lang w:val="en-US"/>
        </w:rPr>
        <w:t>with smaller stockpile size</w:t>
      </w:r>
      <w:r w:rsidR="009935B7" w:rsidRPr="005247CB">
        <w:rPr>
          <w:lang w:val="en-US"/>
        </w:rPr>
        <w:t xml:space="preserve"> </w:t>
      </w:r>
      <w:r w:rsidR="000026E4" w:rsidRPr="005247CB">
        <w:rPr>
          <w:lang w:val="en-US"/>
        </w:rPr>
        <w:t>(</w:t>
      </w:r>
      <w:r w:rsidR="00842ED8" w:rsidRPr="005247CB">
        <w:rPr>
          <w:lang w:val="en-US"/>
        </w:rPr>
        <w:t>7</w:t>
      </w:r>
      <w:r w:rsidR="004A44BE" w:rsidRPr="005247CB">
        <w:rPr>
          <w:lang w:val="en-US"/>
        </w:rPr>
        <w:t>%</w:t>
      </w:r>
      <w:r w:rsidR="000026E4" w:rsidRPr="005247CB">
        <w:rPr>
          <w:lang w:val="en-US"/>
        </w:rPr>
        <w:t>-</w:t>
      </w:r>
      <w:r w:rsidR="00842ED8" w:rsidRPr="005247CB">
        <w:rPr>
          <w:lang w:val="en-US"/>
        </w:rPr>
        <w:t>34%</w:t>
      </w:r>
      <w:r w:rsidR="00F50997" w:rsidRPr="005247CB">
        <w:rPr>
          <w:lang w:val="en-US"/>
        </w:rPr>
        <w:t xml:space="preserve"> per-capita</w:t>
      </w:r>
      <w:r w:rsidR="000026E4" w:rsidRPr="005247CB">
        <w:rPr>
          <w:lang w:val="en-US"/>
        </w:rPr>
        <w:t>)</w:t>
      </w:r>
      <w:r w:rsidR="00842ED8" w:rsidRPr="005247CB">
        <w:rPr>
          <w:lang w:val="en-US"/>
        </w:rPr>
        <w:t>.</w:t>
      </w:r>
      <w:r w:rsidR="00030B3A" w:rsidRPr="005247CB">
        <w:rPr>
          <w:lang w:val="en-US"/>
        </w:rPr>
        <w:t xml:space="preserve"> </w:t>
      </w:r>
      <w:r w:rsidR="000026E4" w:rsidRPr="005247CB">
        <w:rPr>
          <w:lang w:val="en-US"/>
        </w:rPr>
        <w:t>Under limited drug availability, a</w:t>
      </w:r>
      <w:r w:rsidR="00D14477" w:rsidRPr="005247CB">
        <w:rPr>
          <w:lang w:val="en-US"/>
        </w:rPr>
        <w:t>ge-based rationing</w:t>
      </w:r>
      <w:r w:rsidR="00CA4EDE" w:rsidRPr="005247CB">
        <w:rPr>
          <w:lang w:val="en-US"/>
        </w:rPr>
        <w:t xml:space="preserve"> does not </w:t>
      </w:r>
      <w:r w:rsidR="00493362" w:rsidRPr="005247CB">
        <w:rPr>
          <w:lang w:val="en-US"/>
        </w:rPr>
        <w:t xml:space="preserve">meaningfully </w:t>
      </w:r>
      <w:r w:rsidR="00CA4EDE" w:rsidRPr="005247CB">
        <w:rPr>
          <w:lang w:val="en-US"/>
        </w:rPr>
        <w:t>lower</w:t>
      </w:r>
      <w:r w:rsidR="00D14477" w:rsidRPr="005247CB">
        <w:rPr>
          <w:lang w:val="en-US"/>
        </w:rPr>
        <w:t xml:space="preserve"> total</w:t>
      </w:r>
      <w:r w:rsidR="00CA4EDE" w:rsidRPr="005247CB">
        <w:rPr>
          <w:lang w:val="en-US"/>
        </w:rPr>
        <w:t xml:space="preserve"> antiviral demand </w:t>
      </w:r>
      <w:r w:rsidR="002B1BE3" w:rsidRPr="005247CB">
        <w:rPr>
          <w:lang w:val="en-US"/>
        </w:rPr>
        <w:t xml:space="preserve">and </w:t>
      </w:r>
      <w:r w:rsidR="004D3C88" w:rsidRPr="005247CB">
        <w:rPr>
          <w:lang w:val="en-US"/>
        </w:rPr>
        <w:t>drug priority should be given to</w:t>
      </w:r>
      <w:r w:rsidR="002B1BE3" w:rsidRPr="005247CB">
        <w:rPr>
          <w:lang w:val="en-US"/>
        </w:rPr>
        <w:t xml:space="preserve"> </w:t>
      </w:r>
      <w:r w:rsidR="000026E4" w:rsidRPr="005247CB">
        <w:rPr>
          <w:lang w:val="en-US"/>
        </w:rPr>
        <w:t>treatment</w:t>
      </w:r>
      <w:r w:rsidR="002B1BE3" w:rsidRPr="005247CB">
        <w:rPr>
          <w:lang w:val="en-US"/>
        </w:rPr>
        <w:t xml:space="preserve"> </w:t>
      </w:r>
      <w:r w:rsidR="000026E4" w:rsidRPr="005247CB">
        <w:rPr>
          <w:lang w:val="en-US"/>
        </w:rPr>
        <w:t>over</w:t>
      </w:r>
      <w:r w:rsidR="00004E67" w:rsidRPr="005247CB">
        <w:rPr>
          <w:lang w:val="en-US"/>
        </w:rPr>
        <w:t xml:space="preserve"> post-exposure </w:t>
      </w:r>
      <w:r w:rsidR="000026E4" w:rsidRPr="005247CB">
        <w:rPr>
          <w:lang w:val="en-US"/>
        </w:rPr>
        <w:t>prophyla</w:t>
      </w:r>
      <w:r w:rsidR="002B1BE3" w:rsidRPr="005247CB">
        <w:rPr>
          <w:lang w:val="en-US"/>
        </w:rPr>
        <w:t>xis</w:t>
      </w:r>
      <w:r w:rsidR="00CA4EDE" w:rsidRPr="005247CB">
        <w:rPr>
          <w:lang w:val="en-US"/>
        </w:rPr>
        <w:t>.</w:t>
      </w:r>
      <w:r w:rsidR="000026E4" w:rsidRPr="005247CB">
        <w:rPr>
          <w:lang w:val="en-US"/>
        </w:rPr>
        <w:t xml:space="preserve"> </w:t>
      </w:r>
      <w:r w:rsidR="00243CE6" w:rsidRPr="005247CB">
        <w:br w:type="page"/>
      </w:r>
    </w:p>
    <w:p w14:paraId="7A9D072E" w14:textId="6EE31CEA" w:rsidR="00A93F88" w:rsidRPr="005247CB" w:rsidRDefault="00EE75D6" w:rsidP="003C6F88">
      <w:pPr>
        <w:pStyle w:val="Heading1"/>
      </w:pPr>
      <w:r>
        <w:lastRenderedPageBreak/>
        <w:t>Introduction</w:t>
      </w:r>
      <w:r w:rsidR="00A93F88" w:rsidRPr="005247CB">
        <w:t xml:space="preserve"> </w:t>
      </w:r>
    </w:p>
    <w:p w14:paraId="3F524124" w14:textId="682B744A" w:rsidR="00377840" w:rsidRPr="00401568" w:rsidRDefault="00AF3D7A" w:rsidP="00B60886">
      <w:pPr>
        <w:rPr>
          <w:lang w:val="en-US"/>
        </w:rPr>
      </w:pPr>
      <w:r w:rsidRPr="005247CB">
        <w:rPr>
          <w:lang w:val="en-US"/>
        </w:rPr>
        <w:t xml:space="preserve">Influenza </w:t>
      </w:r>
      <w:r w:rsidR="00C1791C" w:rsidRPr="005247CB">
        <w:rPr>
          <w:lang w:val="en-US"/>
        </w:rPr>
        <w:t xml:space="preserve">A </w:t>
      </w:r>
      <w:r w:rsidRPr="005247CB">
        <w:rPr>
          <w:lang w:val="en-US"/>
        </w:rPr>
        <w:t>virus</w:t>
      </w:r>
      <w:r w:rsidR="005263CB">
        <w:rPr>
          <w:lang w:val="en-US"/>
        </w:rPr>
        <w:t>es</w:t>
      </w:r>
      <w:r w:rsidR="005D7C26" w:rsidRPr="005247CB">
        <w:rPr>
          <w:lang w:val="en-US"/>
        </w:rPr>
        <w:t xml:space="preserve"> (IAV)</w:t>
      </w:r>
      <w:r w:rsidR="00EC0D7A" w:rsidRPr="005247CB">
        <w:rPr>
          <w:lang w:val="en-US"/>
        </w:rPr>
        <w:t xml:space="preserve"> </w:t>
      </w:r>
      <w:r w:rsidR="005D7C26" w:rsidRPr="005247CB">
        <w:rPr>
          <w:lang w:val="en-US"/>
        </w:rPr>
        <w:t>remain</w:t>
      </w:r>
      <w:r w:rsidRPr="005247CB">
        <w:rPr>
          <w:lang w:val="en-US"/>
        </w:rPr>
        <w:t xml:space="preserve"> an emerging threat to human healt</w:t>
      </w:r>
      <w:r w:rsidR="00D8623E" w:rsidRPr="005247CB">
        <w:rPr>
          <w:lang w:val="en-US"/>
        </w:rPr>
        <w:t>h</w:t>
      </w:r>
      <w:r w:rsidR="00EF7A88" w:rsidRPr="005247CB">
        <w:rPr>
          <w:lang w:val="en-US"/>
        </w:rPr>
        <w:t xml:space="preserve"> </w:t>
      </w:r>
      <w:r w:rsidR="005D7C26" w:rsidRPr="005247CB">
        <w:rPr>
          <w:lang w:val="en-US"/>
        </w:rPr>
        <w:t xml:space="preserve">owing to persistent </w:t>
      </w:r>
      <w:r w:rsidR="00B60BFA" w:rsidRPr="005247CB">
        <w:rPr>
          <w:lang w:val="en-US"/>
        </w:rPr>
        <w:t>spillover risk of</w:t>
      </w:r>
      <w:r w:rsidR="00EF7A88" w:rsidRPr="005247CB">
        <w:rPr>
          <w:lang w:val="en-US"/>
        </w:rPr>
        <w:t xml:space="preserve"> novel </w:t>
      </w:r>
      <w:r w:rsidR="005D7C26" w:rsidRPr="005247CB">
        <w:rPr>
          <w:lang w:val="en-US"/>
        </w:rPr>
        <w:t>IAV</w:t>
      </w:r>
      <w:r w:rsidR="00EF7A88" w:rsidRPr="005247CB">
        <w:rPr>
          <w:lang w:val="en-US"/>
        </w:rPr>
        <w:t xml:space="preserve"> subtypes from reservoir species. </w:t>
      </w:r>
      <w:r w:rsidR="00B83A15" w:rsidRPr="005247CB">
        <w:rPr>
          <w:lang w:val="en-US"/>
        </w:rPr>
        <w:t>G</w:t>
      </w:r>
      <w:r w:rsidR="00F13DF0" w:rsidRPr="005247CB">
        <w:rPr>
          <w:lang w:val="en-US"/>
        </w:rPr>
        <w:t xml:space="preserve">iven their antiviral activity against </w:t>
      </w:r>
      <w:r w:rsidR="00501784" w:rsidRPr="005247CB">
        <w:rPr>
          <w:lang w:val="en-US"/>
        </w:rPr>
        <w:t>diverse</w:t>
      </w:r>
      <w:r w:rsidR="00F13DF0" w:rsidRPr="005247CB">
        <w:rPr>
          <w:lang w:val="en-US"/>
        </w:rPr>
        <w:t xml:space="preserve"> </w:t>
      </w:r>
      <w:r w:rsidR="003739EE" w:rsidRPr="005247CB">
        <w:rPr>
          <w:lang w:val="en-US"/>
        </w:rPr>
        <w:t>IAV</w:t>
      </w:r>
      <w:r w:rsidR="00EC0D7A" w:rsidRPr="005247CB">
        <w:rPr>
          <w:lang w:val="en-US"/>
        </w:rPr>
        <w:t xml:space="preserve"> </w:t>
      </w:r>
      <w:r w:rsidR="00F13DF0" w:rsidRPr="005247CB">
        <w:rPr>
          <w:lang w:val="en-US"/>
        </w:rPr>
        <w:t>subtypes</w:t>
      </w:r>
      <w:r w:rsidR="005C6396" w:rsidRPr="005247CB">
        <w:rPr>
          <w:lang w:val="en-US"/>
        </w:rPr>
        <w:t xml:space="preserve"> and</w:t>
      </w:r>
      <w:r w:rsidR="004F3F61" w:rsidRPr="005247CB">
        <w:rPr>
          <w:lang w:val="en-US"/>
        </w:rPr>
        <w:t xml:space="preserve"> the</w:t>
      </w:r>
      <w:r w:rsidR="005C6396" w:rsidRPr="005247CB">
        <w:rPr>
          <w:lang w:val="en-US"/>
        </w:rPr>
        <w:t xml:space="preserve"> convenience of administration,</w:t>
      </w:r>
      <w:r w:rsidR="00F13DF0" w:rsidRPr="005247CB">
        <w:rPr>
          <w:lang w:val="en-US"/>
        </w:rPr>
        <w:t xml:space="preserve"> o</w:t>
      </w:r>
      <w:r w:rsidR="00375D20" w:rsidRPr="005247CB">
        <w:rPr>
          <w:lang w:val="en-US"/>
        </w:rPr>
        <w:t>ral</w:t>
      </w:r>
      <w:r w:rsidR="00753106" w:rsidRPr="005247CB">
        <w:rPr>
          <w:lang w:val="en-US"/>
        </w:rPr>
        <w:t xml:space="preserve">ly or inhalation administered </w:t>
      </w:r>
      <w:r w:rsidR="00EE20FA" w:rsidRPr="005247CB">
        <w:rPr>
          <w:lang w:val="en-US"/>
        </w:rPr>
        <w:t xml:space="preserve">influenza </w:t>
      </w:r>
      <w:r w:rsidR="00375D20" w:rsidRPr="005247CB">
        <w:rPr>
          <w:lang w:val="en-US"/>
        </w:rPr>
        <w:t>antiviral</w:t>
      </w:r>
      <w:r w:rsidRPr="005247CB">
        <w:rPr>
          <w:lang w:val="en-US"/>
        </w:rPr>
        <w:t xml:space="preserve"> drugs </w:t>
      </w:r>
      <w:r w:rsidR="00BB331F" w:rsidRPr="005247CB">
        <w:rPr>
          <w:lang w:val="en-US"/>
        </w:rPr>
        <w:t>are potentially</w:t>
      </w:r>
      <w:r w:rsidR="002A04B2" w:rsidRPr="005247CB">
        <w:rPr>
          <w:lang w:val="en-US"/>
        </w:rPr>
        <w:t xml:space="preserve"> </w:t>
      </w:r>
      <w:r w:rsidR="005C6396" w:rsidRPr="005247CB">
        <w:rPr>
          <w:lang w:val="en-US"/>
        </w:rPr>
        <w:t xml:space="preserve">effective </w:t>
      </w:r>
      <w:r w:rsidR="002329F5" w:rsidRPr="005247CB">
        <w:rPr>
          <w:lang w:val="en-US"/>
        </w:rPr>
        <w:t>countermeasure</w:t>
      </w:r>
      <w:r w:rsidR="00405543" w:rsidRPr="005247CB">
        <w:rPr>
          <w:lang w:val="en-US"/>
        </w:rPr>
        <w:t>s</w:t>
      </w:r>
      <w:r w:rsidR="002A04B2" w:rsidRPr="005247CB">
        <w:rPr>
          <w:lang w:val="en-US"/>
        </w:rPr>
        <w:t xml:space="preserve"> to mitigate the </w:t>
      </w:r>
      <w:r w:rsidR="00FC1EB7" w:rsidRPr="005247CB">
        <w:rPr>
          <w:lang w:val="en-US"/>
        </w:rPr>
        <w:t>impact</w:t>
      </w:r>
      <w:r w:rsidR="002A04B2" w:rsidRPr="005247CB">
        <w:rPr>
          <w:lang w:val="en-US"/>
        </w:rPr>
        <w:t xml:space="preserve"> of a nascent</w:t>
      </w:r>
      <w:r w:rsidR="00C34EA3" w:rsidRPr="005247CB">
        <w:rPr>
          <w:lang w:val="en-US"/>
        </w:rPr>
        <w:t xml:space="preserve"> influenza</w:t>
      </w:r>
      <w:r w:rsidR="002A04B2" w:rsidRPr="005247CB">
        <w:rPr>
          <w:lang w:val="en-US"/>
        </w:rPr>
        <w:t xml:space="preserve"> pandemic</w:t>
      </w:r>
      <w:r w:rsidR="00FC1EB7" w:rsidRPr="005247CB">
        <w:rPr>
          <w:lang w:val="en-US"/>
        </w:rPr>
        <w:t xml:space="preserve"> prior to the availability of a targeted vaccine</w:t>
      </w:r>
      <w:r w:rsidR="00F13DF0" w:rsidRPr="005247CB">
        <w:rPr>
          <w:lang w:val="en-US"/>
        </w:rPr>
        <w:t xml:space="preserve">. </w:t>
      </w:r>
      <w:r w:rsidR="0063262F" w:rsidRPr="005247CB">
        <w:rPr>
          <w:lang w:val="en-US"/>
        </w:rPr>
        <w:t xml:space="preserve">Several approved drugs </w:t>
      </w:r>
      <w:r w:rsidR="00E30051" w:rsidRPr="005247CB">
        <w:rPr>
          <w:lang w:val="en-US"/>
        </w:rPr>
        <w:t>could be</w:t>
      </w:r>
      <w:r w:rsidR="00705E36" w:rsidRPr="005247CB">
        <w:rPr>
          <w:lang w:val="en-US"/>
        </w:rPr>
        <w:t xml:space="preserve"> </w:t>
      </w:r>
      <w:r w:rsidR="0063262F" w:rsidRPr="005247CB">
        <w:rPr>
          <w:lang w:val="en-US"/>
        </w:rPr>
        <w:t xml:space="preserve">considered for </w:t>
      </w:r>
      <w:r w:rsidR="00EC3FC0" w:rsidRPr="005247CB">
        <w:rPr>
          <w:lang w:val="en-US"/>
        </w:rPr>
        <w:t xml:space="preserve">pandemic preparedness </w:t>
      </w:r>
      <w:r w:rsidR="0063262F" w:rsidRPr="005247CB">
        <w:rPr>
          <w:lang w:val="en-US"/>
        </w:rPr>
        <w:t xml:space="preserve">stockpiling, </w:t>
      </w:r>
      <w:r w:rsidR="00377840" w:rsidRPr="005247CB">
        <w:rPr>
          <w:lang w:val="en-US"/>
        </w:rPr>
        <w:t>including</w:t>
      </w:r>
      <w:r w:rsidR="00D76256" w:rsidRPr="005247CB">
        <w:rPr>
          <w:lang w:val="en-US"/>
        </w:rPr>
        <w:t xml:space="preserve"> </w:t>
      </w:r>
      <w:r w:rsidR="00336002" w:rsidRPr="005247CB">
        <w:rPr>
          <w:lang w:val="en-US"/>
        </w:rPr>
        <w:t xml:space="preserve">adamantanes, </w:t>
      </w:r>
      <w:r w:rsidR="00337501" w:rsidRPr="005247CB">
        <w:rPr>
          <w:lang w:val="en-US"/>
        </w:rPr>
        <w:t xml:space="preserve">M2 ion-channel </w:t>
      </w:r>
      <w:r w:rsidR="00235053" w:rsidRPr="005247CB">
        <w:rPr>
          <w:lang w:val="en-US"/>
        </w:rPr>
        <w:t>blockers</w:t>
      </w:r>
      <w:r w:rsidR="00336002" w:rsidRPr="005247CB">
        <w:rPr>
          <w:lang w:val="en-US"/>
        </w:rPr>
        <w:t xml:space="preserve"> </w:t>
      </w:r>
      <w:r w:rsidR="00235053" w:rsidRPr="005247CB">
        <w:rPr>
          <w:lang w:val="en-US"/>
        </w:rPr>
        <w:t>prevent</w:t>
      </w:r>
      <w:r w:rsidR="00336002" w:rsidRPr="005247CB">
        <w:rPr>
          <w:lang w:val="en-US"/>
        </w:rPr>
        <w:t>ing</w:t>
      </w:r>
      <w:r w:rsidR="00337501" w:rsidRPr="005247CB">
        <w:rPr>
          <w:lang w:val="en-US"/>
        </w:rPr>
        <w:t xml:space="preserve"> the initiation of viral replication</w:t>
      </w:r>
      <w:r w:rsidR="00D76256" w:rsidRPr="005247CB">
        <w:rPr>
          <w:lang w:val="en-US"/>
        </w:rPr>
        <w:t xml:space="preserve">, </w:t>
      </w:r>
      <w:r w:rsidR="00337501" w:rsidRPr="005247CB">
        <w:rPr>
          <w:lang w:val="en-US"/>
        </w:rPr>
        <w:t>neuraminidase inhibitor</w:t>
      </w:r>
      <w:r w:rsidR="00D76256" w:rsidRPr="005247CB">
        <w:rPr>
          <w:lang w:val="en-US"/>
        </w:rPr>
        <w:t>s such as oseltamivir, laninamivir</w:t>
      </w:r>
      <w:r w:rsidR="00753106" w:rsidRPr="005247CB">
        <w:rPr>
          <w:lang w:val="en-US"/>
        </w:rPr>
        <w:t xml:space="preserve"> </w:t>
      </w:r>
      <w:r w:rsidR="00D76256" w:rsidRPr="005247CB">
        <w:rPr>
          <w:lang w:val="en-US"/>
        </w:rPr>
        <w:t>and zanamivir</w:t>
      </w:r>
      <w:r w:rsidR="000A78ED" w:rsidRPr="005247CB">
        <w:rPr>
          <w:lang w:val="en-US"/>
        </w:rPr>
        <w:t xml:space="preserve"> </w:t>
      </w:r>
      <w:r w:rsidR="00336002" w:rsidRPr="005247CB">
        <w:rPr>
          <w:lang w:val="en-US"/>
        </w:rPr>
        <w:t>that</w:t>
      </w:r>
      <w:r w:rsidR="00337501" w:rsidRPr="005247CB">
        <w:rPr>
          <w:lang w:val="en-US"/>
        </w:rPr>
        <w:t xml:space="preserve"> </w:t>
      </w:r>
      <w:r w:rsidR="000A78ED" w:rsidRPr="005247CB">
        <w:rPr>
          <w:lang w:val="en-US"/>
        </w:rPr>
        <w:t>attenuates</w:t>
      </w:r>
      <w:r w:rsidR="00337501" w:rsidRPr="005247CB">
        <w:rPr>
          <w:lang w:val="en-US"/>
        </w:rPr>
        <w:t xml:space="preserve"> the release of progeny virions from infected cell</w:t>
      </w:r>
      <w:r w:rsidR="00235053" w:rsidRPr="005247CB">
        <w:rPr>
          <w:lang w:val="en-US"/>
        </w:rPr>
        <w:t>s</w:t>
      </w:r>
      <w:r w:rsidR="00D76256" w:rsidRPr="005247CB">
        <w:rPr>
          <w:lang w:val="en-US"/>
        </w:rPr>
        <w:t>,</w:t>
      </w:r>
      <w:r w:rsidR="00235053" w:rsidRPr="005247CB">
        <w:rPr>
          <w:lang w:val="en-US"/>
        </w:rPr>
        <w:t xml:space="preserve"> polymerase inhibitor</w:t>
      </w:r>
      <w:r w:rsidR="00D76256" w:rsidRPr="005247CB">
        <w:rPr>
          <w:lang w:val="en-US"/>
        </w:rPr>
        <w:t>s such as baloxavir marboxil (BXM) and favipiravir</w:t>
      </w:r>
      <w:r w:rsidR="00235053" w:rsidRPr="005247CB">
        <w:rPr>
          <w:lang w:val="en-US"/>
        </w:rPr>
        <w:t xml:space="preserve"> that blocks viral replication</w:t>
      </w:r>
      <w:r w:rsidR="00D76256" w:rsidRPr="005247CB">
        <w:rPr>
          <w:lang w:val="en-US"/>
        </w:rPr>
        <w:t>, as well as umifenovir, a fusion inhibitor that prevents virus fusion to host cells</w:t>
      </w:r>
      <w:r w:rsidR="00235053" w:rsidRPr="005247CB">
        <w:rPr>
          <w:lang w:val="en-US"/>
        </w:rPr>
        <w:t>.</w:t>
      </w:r>
      <w:r w:rsidR="00A140E2" w:rsidRPr="005247CB">
        <w:rPr>
          <w:lang w:val="en-US"/>
        </w:rPr>
        <w:t xml:space="preserve"> </w:t>
      </w:r>
      <w:r w:rsidR="00753106" w:rsidRPr="005247CB">
        <w:rPr>
          <w:lang w:val="en-US"/>
        </w:rPr>
        <w:t>Although laninamivir and</w:t>
      </w:r>
      <w:r w:rsidR="001B7A98" w:rsidRPr="005247CB">
        <w:rPr>
          <w:lang w:val="en-US"/>
        </w:rPr>
        <w:t xml:space="preserve"> zanamivir</w:t>
      </w:r>
      <w:r w:rsidR="00753106" w:rsidRPr="005247CB">
        <w:rPr>
          <w:lang w:val="en-US"/>
        </w:rPr>
        <w:t xml:space="preserve"> are currently recommended </w:t>
      </w:r>
      <w:r w:rsidR="00A205AC" w:rsidRPr="005247CB">
        <w:rPr>
          <w:lang w:val="en-US"/>
        </w:rPr>
        <w:t>for</w:t>
      </w:r>
      <w:r w:rsidR="00753106" w:rsidRPr="005247CB">
        <w:rPr>
          <w:lang w:val="en-US"/>
        </w:rPr>
        <w:t xml:space="preserve"> post-exposure </w:t>
      </w:r>
      <w:r w:rsidR="00A205AC" w:rsidRPr="005247CB">
        <w:rPr>
          <w:lang w:val="en-US"/>
        </w:rPr>
        <w:t>prophylactic use</w:t>
      </w:r>
      <w:r w:rsidR="00753106" w:rsidRPr="005247CB">
        <w:rPr>
          <w:lang w:val="en-US"/>
        </w:rPr>
        <w:t xml:space="preserve">, </w:t>
      </w:r>
      <w:r w:rsidR="00C77D12">
        <w:rPr>
          <w:lang w:val="en-US"/>
        </w:rPr>
        <w:t>they,</w:t>
      </w:r>
      <w:r w:rsidR="00650814" w:rsidRPr="005247CB">
        <w:rPr>
          <w:lang w:val="en-US"/>
        </w:rPr>
        <w:t xml:space="preserve"> alongside favirpiravir and umifenovir</w:t>
      </w:r>
      <w:r w:rsidR="00976E42" w:rsidRPr="005247CB">
        <w:rPr>
          <w:lang w:val="en-US"/>
        </w:rPr>
        <w:t xml:space="preserve">, </w:t>
      </w:r>
      <w:r w:rsidR="001B7A98" w:rsidRPr="005247CB">
        <w:rPr>
          <w:lang w:val="en-US"/>
        </w:rPr>
        <w:t>are</w:t>
      </w:r>
      <w:r w:rsidR="00753106" w:rsidRPr="005247CB">
        <w:rPr>
          <w:lang w:val="en-US"/>
        </w:rPr>
        <w:t xml:space="preserve"> not recommended by</w:t>
      </w:r>
      <w:r w:rsidR="001B7A98" w:rsidRPr="005247CB">
        <w:rPr>
          <w:lang w:val="en-US"/>
        </w:rPr>
        <w:t xml:space="preserve"> the World Health Organization</w:t>
      </w:r>
      <w:r w:rsidR="00753106" w:rsidRPr="005247CB">
        <w:rPr>
          <w:lang w:val="en-US"/>
        </w:rPr>
        <w:t xml:space="preserve"> </w:t>
      </w:r>
      <w:r w:rsidR="001B7A98" w:rsidRPr="005247CB">
        <w:rPr>
          <w:lang w:val="en-US"/>
        </w:rPr>
        <w:t>for tr</w:t>
      </w:r>
      <w:r w:rsidR="00753106" w:rsidRPr="005247CB">
        <w:rPr>
          <w:lang w:val="en-US"/>
        </w:rPr>
        <w:t>eatment</w:t>
      </w:r>
      <w:r w:rsidR="00A46674" w:rsidRPr="005247CB">
        <w:rPr>
          <w:lang w:val="en-US"/>
        </w:rPr>
        <w:t xml:space="preserve"> of both severe and non-severe influenza</w:t>
      </w:r>
      <w:r w:rsidR="001B7A98" w:rsidRPr="005247CB">
        <w:rPr>
          <w:lang w:val="en-US"/>
        </w:rPr>
        <w:t xml:space="preserve"> </w:t>
      </w:r>
      <w:r w:rsidR="00A46674" w:rsidRPr="005247CB">
        <w:rPr>
          <w:lang w:val="en-US"/>
        </w:rPr>
        <w:t xml:space="preserve">infections </w:t>
      </w:r>
      <w:r w:rsidR="001B7A98" w:rsidRPr="005247CB">
        <w:rPr>
          <w:lang w:val="en-US"/>
        </w:rPr>
        <w:t>given</w:t>
      </w:r>
      <w:r w:rsidR="00C77D12">
        <w:rPr>
          <w:lang w:val="en-US"/>
        </w:rPr>
        <w:t xml:space="preserve"> their</w:t>
      </w:r>
      <w:r w:rsidR="001B7A98" w:rsidRPr="005247CB">
        <w:rPr>
          <w:lang w:val="en-US"/>
        </w:rPr>
        <w:t xml:space="preserve"> </w:t>
      </w:r>
      <w:r w:rsidR="00C77D12">
        <w:rPr>
          <w:lang w:val="en-US"/>
        </w:rPr>
        <w:t>limited</w:t>
      </w:r>
      <w:r w:rsidR="001B7A98" w:rsidRPr="005247CB">
        <w:rPr>
          <w:lang w:val="en-US"/>
        </w:rPr>
        <w:t xml:space="preserve"> effects in reducing illness duration</w:t>
      </w:r>
      <w:r w:rsidR="0019012A">
        <w:rPr>
          <w:lang w:val="en-US"/>
        </w:rPr>
        <w:t xml:space="preserve"> </w:t>
      </w:r>
      <w:r w:rsidR="00A46674" w:rsidRPr="005247CB">
        <w:rPr>
          <w:lang w:val="en-US"/>
        </w:rPr>
        <w:fldChar w:fldCharType="begin"/>
      </w:r>
      <w:r w:rsidR="006A263E">
        <w:rPr>
          <w:lang w:val="en-US"/>
        </w:rPr>
        <w:instrText xml:space="preserve"> ADDIN ZOTERO_ITEM CSL_CITATION {"citationID":"arp707b1og","properties":{"formattedCitation":"(Gao et al., 2025, 2024; World Health Organization, 2024; Zhao et al., 2024)","plainCitation":"(Gao et al., 2025, 2024; World Health Organization, 2024; Zhao et al., 2024)","noteIndex":0},"citationItems":[{"id":215,"uris":["http://zotero.org/users/local/0pdZPGmr/items/TJ22WZRH","http://zotero.org/users/9596130/items/TJ22WZRH"],"itemData":{"id":215,"type":"webpage","abstract":"This WHO Clinical practice guideline for influenza is an update and expansion from the previously published WHO guideline on the clinical management of patients with severe influenza or at risk of severe influenza. These updated guidelines provide recommendations on the management of both severe and non-severe influenza and also includes recommendations on the use of antiviral medications to prevent influenza virus infection in individuals exposed to the virus in the previous 48 hours. This update applies to patients with seasonal influenza viruses, pandemic influenza viruses and novel influenza A viruses known to cause severe illness in infected humans.","language":"en","title":"Clinical practice guidelines for influenza","URL":"https://www.who.int/publications/i/item/9789240097759","author":[{"literal":"World Health Organization"}],"accessed":{"date-parts":[["2025",3,4]]},"issued":{"date-parts":[["2024",9,12]]}}},{"id":98,"uris":["http://zotero.org/users/local/0pdZPGmr/items/IGYA24Z2","http://zotero.org/users/9596130/items/IGYA24Z2"],"itemData":{"id":98,"type":"article-journal","container-title":"The Lancet","DOI":"10.1016/S0140-6736(24)01357-6","ISSN":"0140-6736","issue":"10454","note":"publisher: Elsevier","page":"764-772","title":"Antivirals for post-exposure prophylaxis of influenza: a systematic review and network meta-analysis","volume":"404","author":[{"family":"Zhao","given":"Yunli"},{"family":"Gao","given":"Ya"},{"family":"Guyatt","given":"Gordon"},{"family":"Uyeki","given":"Timothy M"},{"family":"Liu","given":"Ping"},{"family":"Liu","given":"Ming"},{"family":"Shen","given":"Yanjiao"},{"family":"Chen","given":"Xiaoyan"},{"family":"Luo","given":"Shuyue"},{"family":"Li","given":"Xingsheng"},{"family":"Huang","given":"Rongzhong"},{"family":"Hao","given":"Qiukui"}],"issued":{"date-parts":[["2024",8,24]]}}},{"id":218,"uris":["http://zotero.org/users/local/0pdZPGmr/items/S5FRXJ3K","http://zotero.org/users/9596130/items/S5FRXJ3K"],"itemData":{"id":218,"type":"article-journal","container-title":"The Lancet","DOI":"10.1016/S0140-6736(24)01307-2","ISSN":"0140-6736","issue":"10454","note":"publisher: Elsevier","page":"753-763","title":"Antivirals for treatment of severe influenza: a systematic review and network meta-analysis of randomised controlled trials","volume":"404","author":[{"family":"Gao","given":"Ya"},{"family":"Guyatt","given":"Gordon"},{"family":"Uyeki","given":"Timothy M"},{"family":"Liu","given":"Ming"},{"family":"Chen","given":"Yamin"},{"family":"Zhao","given":"Yunli"},{"family":"Shen","given":"Yanjiao"},{"family":"Xu","given":"Jianguo"},{"family":"Zheng","given":"Qingyong"},{"family":"Li","given":"Zhifan"},{"family":"Zhao","given":"Wanyu"},{"family":"Luo","given":"Shuyue"},{"family":"Chen","given":"Xiaoyan"},{"family":"Tian","given":"Jinhui"},{"family":"Hao","given":"Qiukui"}],"issued":{"date-parts":[["2024",8,24]]}}},{"id":217,"uris":["http://zotero.org/users/local/0pdZPGmr/items/2VFEJL9K","http://zotero.org/users/9596130/items/2VFEJL9K"],"itemData":{"id":217,"type":"article-journal","abstract":"The optimal antiviral drug for treatment of nonsevere influenza remains unclear.To compare effects of antiviral drugs for treating nonsevere influenza.MEDLINE, Embase, CENTRAL, CINAHL, Global Health, Epistemonikos, and ClinicalTrials.gov were searched from database inception to September 20, 2023.Randomized clinical trials comparing direct-acting influenza antiviral drugs to placebo, standard care, or another antiviral drug for treating people with nonsevere influenza.Paired reviewers independently performed data extraction and risk of bias assessment. A frequentist network meta-analysis was performed to summarize the evidence and the certainty of evidence was evaluated using the GRADE approach.Mortality, admission to hospital, admission to the intensive care unit, duration of hospitalization, time to alleviation of symptoms, emergence of resistance, and adverse events.Overall, 73 trials with 34 332 participants proved eligible. Compared with standard care or placebo, all antiviral drugs had little or no effect on mortality for low-risk patients and high-risk patients (all high certainty). All antiviral drugs (no data for peramivir and amantadine) had little or no effect on hospital admission for low-risk patients (high certainty). For hospital admission in high-risk patients, oseltamivir (risk difference [RD], −0.4%; 95% CI, −1.0 to 0.4; high certainty) had little or no effect and baloxavir may have reduced risk (RD, −1.6%; 95% CI, −2.0 to 0.4; low certainty); all other drugs may have had little or uncertain effect. For time to alleviation of symptoms, baloxavir probably reduced symptom duration (mean difference [MD], −1.02 days; 95% CI, −1.41 to −0.63; moderate certainty); umifenovir may have reduced symptom duration (MD, −1.10 days; 95% CI, −1.57 to −0.63; low certainty); oseltamivir probably had no important effect (MD, −0.75 days; 95% CI, −0.93 to −0.57; moderate certainty). For adverse events related to treatment, baloxavir (RD, −3.2%; 95% CI, −5.2 to −0.6; high certainty) had few or no adverse events; oseltamivir (RD, 2.8%; 95% CI, 1.2 to 4.8; moderate certainty) probably increased adverse events.This systematic review and meta-analysis found that baloxavir probably reduced risk of hospital admission for high-risk patients and may reduce time to alleviation of symptoms, without increasing adverse events related to treatment in patients with nonsevere influenza. All other antiviral drugs either probably have little or no effect, or uncertain effects on patient-important outcomes.","container-title":"JAMA Internal Medicine","DOI":"10.1001/jamainternmed.2024.7193","ISSN":"2168-6106","issue":"3","journalAbbreviation":"JAMA Internal Medicine","page":"293-301","title":"Antiviral Medications for Treatment of Nonsevere Influenza: A Systematic Review and Network Meta-Analysis","volume":"185","author":[{"family":"Gao","given":"Ya"},{"family":"Zhao","given":"Yunli"},{"family":"Liu","given":"Ming"},{"family":"Luo","given":"Shuyue"},{"family":"Chen","given":"Yamin"},{"family":"Chen","given":"Xiaoyan"},{"family":"Zheng","given":"Qingyong"},{"family":"Xu","given":"Jianguo"},{"family":"Shen","given":"Yanjiao"},{"family":"Zhao","given":"Wanyu"},{"family":"Li","given":"Zhifan"},{"family":"Huang","given":"Sha"},{"family":"Huang","given":"Jie"},{"family":"Tian","given":"Jinhui"},{"family":"Guyatt","given":"Gordon"},{"family":"Hao","given":"Qiukui"}],"issued":{"date-parts":[["2025",3,1]]}}}],"schema":"https://github.com/citation-style-language/schema/raw/master/csl-citation.json"} </w:instrText>
      </w:r>
      <w:r w:rsidR="00A46674" w:rsidRPr="005247CB">
        <w:rPr>
          <w:lang w:val="en-US"/>
        </w:rPr>
        <w:fldChar w:fldCharType="separate"/>
      </w:r>
      <w:r w:rsidR="006A263E">
        <w:rPr>
          <w:lang w:val="en-US"/>
        </w:rPr>
        <w:t>(Gao et al., 2025, 2024; World Health Organization, 2024; Zhao et al., 2024)</w:t>
      </w:r>
      <w:r w:rsidR="00A46674" w:rsidRPr="005247CB">
        <w:rPr>
          <w:lang w:val="en-US"/>
        </w:rPr>
        <w:fldChar w:fldCharType="end"/>
      </w:r>
      <w:r w:rsidR="0019012A">
        <w:rPr>
          <w:lang w:val="en-US"/>
        </w:rPr>
        <w:t>,</w:t>
      </w:r>
      <w:r w:rsidR="001B7A98" w:rsidRPr="005247CB">
        <w:rPr>
          <w:lang w:val="en-US"/>
        </w:rPr>
        <w:t xml:space="preserve"> </w:t>
      </w:r>
      <w:r w:rsidR="00C77D12">
        <w:rPr>
          <w:lang w:val="en-US"/>
        </w:rPr>
        <w:t xml:space="preserve">and thus unlikely going to be the primary antiviral stockpile. </w:t>
      </w:r>
      <w:r w:rsidR="00235053" w:rsidRPr="005247CB">
        <w:rPr>
          <w:lang w:val="en-US"/>
        </w:rPr>
        <w:t xml:space="preserve">Adamantanes are </w:t>
      </w:r>
      <w:r w:rsidR="00C77D12">
        <w:rPr>
          <w:lang w:val="en-US"/>
        </w:rPr>
        <w:t xml:space="preserve">also </w:t>
      </w:r>
      <w:r w:rsidR="00235053" w:rsidRPr="005247CB">
        <w:rPr>
          <w:lang w:val="en-US"/>
        </w:rPr>
        <w:t>unlikel</w:t>
      </w:r>
      <w:r w:rsidR="00CF2BA0" w:rsidRPr="005247CB">
        <w:rPr>
          <w:lang w:val="en-US"/>
        </w:rPr>
        <w:t>y</w:t>
      </w:r>
      <w:r w:rsidR="00B428F9" w:rsidRPr="005247CB">
        <w:rPr>
          <w:lang w:val="en-US"/>
        </w:rPr>
        <w:t xml:space="preserve"> </w:t>
      </w:r>
      <w:r w:rsidR="00377840" w:rsidRPr="005247CB">
        <w:rPr>
          <w:lang w:val="en-US"/>
        </w:rPr>
        <w:t>useful</w:t>
      </w:r>
      <w:r w:rsidR="00C77D12">
        <w:rPr>
          <w:lang w:val="en-US"/>
        </w:rPr>
        <w:t xml:space="preserve"> as the</w:t>
      </w:r>
      <w:r w:rsidR="00377840" w:rsidRPr="005247CB">
        <w:rPr>
          <w:lang w:val="en-US"/>
        </w:rPr>
        <w:t xml:space="preserve"> </w:t>
      </w:r>
      <w:r w:rsidR="00A140E2" w:rsidRPr="005247CB">
        <w:rPr>
          <w:lang w:val="en-US"/>
        </w:rPr>
        <w:t xml:space="preserve">primary </w:t>
      </w:r>
      <w:r w:rsidR="00336002" w:rsidRPr="005247CB">
        <w:rPr>
          <w:lang w:val="en-US"/>
        </w:rPr>
        <w:t>antiviral</w:t>
      </w:r>
      <w:r w:rsidR="00C77D12">
        <w:rPr>
          <w:lang w:val="en-US"/>
        </w:rPr>
        <w:t xml:space="preserve"> drug</w:t>
      </w:r>
      <w:r w:rsidR="00336002" w:rsidRPr="005247CB">
        <w:rPr>
          <w:lang w:val="en-US"/>
        </w:rPr>
        <w:t xml:space="preserve"> due</w:t>
      </w:r>
      <w:r w:rsidR="00CF2BA0" w:rsidRPr="005247CB">
        <w:rPr>
          <w:lang w:val="en-US"/>
        </w:rPr>
        <w:t xml:space="preserve"> </w:t>
      </w:r>
      <w:r w:rsidR="00B428F9" w:rsidRPr="005247CB">
        <w:rPr>
          <w:lang w:val="en-US"/>
        </w:rPr>
        <w:t>to the high propensity of</w:t>
      </w:r>
      <w:r w:rsidR="00235053" w:rsidRPr="005247CB">
        <w:rPr>
          <w:lang w:val="en-US"/>
        </w:rPr>
        <w:t xml:space="preserve"> developing resistance </w:t>
      </w:r>
      <w:r w:rsidR="006A0A66" w:rsidRPr="005247CB">
        <w:rPr>
          <w:lang w:val="en-US"/>
        </w:rPr>
        <w:t>among adamantane-treated individuals</w:t>
      </w:r>
      <w:r w:rsidR="00984667">
        <w:rPr>
          <w:lang w:val="en-US"/>
        </w:rPr>
        <w:t xml:space="preserve"> </w:t>
      </w:r>
      <w:r w:rsidR="00235053" w:rsidRPr="005247CB">
        <w:rPr>
          <w:lang w:val="en-US"/>
        </w:rPr>
        <w:fldChar w:fldCharType="begin"/>
      </w:r>
      <w:r w:rsidR="006A263E">
        <w:rPr>
          <w:lang w:val="en-US"/>
        </w:rPr>
        <w:instrText xml:space="preserve"> ADDIN ZOTERO_ITEM CSL_CITATION {"citationID":"kbkUjmDM","properties":{"formattedCitation":"(Hayden and Pavia, 2006)","plainCitation":"(Hayden and Pavia, 2006)","noteIndex":0},"citationItems":[{"id":143,"uris":["http://zotero.org/users/local/0pdZPGmr/items/MS2NAI6C","http://zotero.org/users/9596130/items/MS2NAI6C"],"itemData":{"id":143,"type":"article-journal","abstract":"The goals of antiviral treatment for influenza are to decrease symptoms and functional disability and, more important, to decrease associated complications, hospitalizations, and mortality. Four drugs have been approved for treatment of and prophylaxis against influenza in the United States, but they are underutilized. The M2 ion channel inhibitors amantadine and rimantadine are effective for prophylaxis, and they decrease the duration of symptoms if they are used for early treatment of influenza A. The rapid emergence of resistance during therapy and, recently, the circulation of resistant H3N2 viruses in the community have decreased the usefulness of these M2 ion channel inhibitors. Early therapy with neuraminidase (NA) inhibitors, either oseltamivir or zanamivir, reduces the duration of symptoms, the duration of disability, and the risk of lower respiratory tract complications. Oseltamivir has been shown to decrease antibiotic use, the number of hospitalizations, and, probably, the risk of death after influenza. NA inhibitors might provide substantial benefits in the treatment of pandemic influenza, with reductions in the numbers of hospitalizations and deaths occurring if such treatment (1) is made available in sufficient time, through rapid distribution, and (2) is available in sufficient quantities as a result of stockpiling. Both of the aforementioned NA inhibitors are highly effective for prophylaxis. Geographically targeted mass chemoprophylaxis might contain the spread of a pandemic virus, but multiple hurdles to successful implementation exist. Resistance to oseltamivir occurs with the H274Y variant in viruses that contain N1; however, to date, such variants have been less fit, have not been transmitted from person to person, and have retained susceptibility to zanamivir. Alternative agents and approaches, including parenteral and combination therapy, for the treatment of influenza are needed in the near and long term.","container-title":"The Journal of Infectious Diseases","DOI":"10.1086/507552","ISSN":"0022-1899","issue":"Supplement_2","journalAbbreviation":"The Journal of Infectious Diseases","page":"S119-S126","title":"Antiviral Management of Seasonal and Pandemic Influenza","volume":"194","author":[{"family":"Hayden","given":"Frederick G."},{"family":"Pavia","given":"Andrew T."}],"issued":{"date-parts":[["2006",11,1]]}}}],"schema":"https://github.com/citation-style-language/schema/raw/master/csl-citation.json"} </w:instrText>
      </w:r>
      <w:r w:rsidR="00235053" w:rsidRPr="005247CB">
        <w:rPr>
          <w:lang w:val="en-US"/>
        </w:rPr>
        <w:fldChar w:fldCharType="separate"/>
      </w:r>
      <w:r w:rsidR="006A263E">
        <w:rPr>
          <w:lang w:val="en-US"/>
        </w:rPr>
        <w:t>(Hayden and Pavia, 2006)</w:t>
      </w:r>
      <w:r w:rsidR="00235053" w:rsidRPr="005247CB">
        <w:rPr>
          <w:lang w:val="en-US"/>
        </w:rPr>
        <w:fldChar w:fldCharType="end"/>
      </w:r>
      <w:r w:rsidR="00984667">
        <w:rPr>
          <w:lang w:val="en-US"/>
        </w:rPr>
        <w:t>.</w:t>
      </w:r>
      <w:r w:rsidR="00D76256" w:rsidRPr="005247CB">
        <w:rPr>
          <w:lang w:val="en-US"/>
        </w:rPr>
        <w:t xml:space="preserve"> </w:t>
      </w:r>
      <w:r w:rsidR="00A140E2" w:rsidRPr="005247CB">
        <w:rPr>
          <w:lang w:val="en-US"/>
        </w:rPr>
        <w:t xml:space="preserve">Although </w:t>
      </w:r>
      <w:r w:rsidR="000D4447" w:rsidRPr="005247CB">
        <w:rPr>
          <w:lang w:val="en-US"/>
        </w:rPr>
        <w:t xml:space="preserve">the </w:t>
      </w:r>
      <w:r w:rsidR="00A140E2" w:rsidRPr="005247CB">
        <w:rPr>
          <w:lang w:val="en-US"/>
        </w:rPr>
        <w:t>emergence and spread of oseltamivir</w:t>
      </w:r>
      <w:r w:rsidR="002E0C03" w:rsidRPr="005247CB">
        <w:rPr>
          <w:lang w:val="en-US"/>
        </w:rPr>
        <w:t xml:space="preserve"> and BXM</w:t>
      </w:r>
      <w:r w:rsidR="00A140E2" w:rsidRPr="005247CB">
        <w:rPr>
          <w:lang w:val="en-US"/>
        </w:rPr>
        <w:t xml:space="preserve"> resistance </w:t>
      </w:r>
      <w:r w:rsidR="002E0C03" w:rsidRPr="005247CB">
        <w:rPr>
          <w:lang w:val="en-US"/>
        </w:rPr>
        <w:t>are</w:t>
      </w:r>
      <w:r w:rsidR="00A140E2" w:rsidRPr="005247CB">
        <w:rPr>
          <w:lang w:val="en-US"/>
        </w:rPr>
        <w:t xml:space="preserve"> also</w:t>
      </w:r>
      <w:r w:rsidR="002E0C03" w:rsidRPr="005247CB">
        <w:rPr>
          <w:lang w:val="en-US"/>
        </w:rPr>
        <w:t xml:space="preserve"> of concern</w:t>
      </w:r>
      <w:r w:rsidR="00A140E2" w:rsidRPr="005247CB">
        <w:rPr>
          <w:lang w:val="en-US"/>
        </w:rPr>
        <w:t xml:space="preserve">, </w:t>
      </w:r>
      <w:r w:rsidR="000D4447" w:rsidRPr="005247CB">
        <w:rPr>
          <w:lang w:val="en-US"/>
        </w:rPr>
        <w:t>prompt</w:t>
      </w:r>
      <w:r w:rsidR="00A140E2" w:rsidRPr="005247CB">
        <w:rPr>
          <w:lang w:val="en-US"/>
        </w:rPr>
        <w:t xml:space="preserve"> treatment with </w:t>
      </w:r>
      <w:r w:rsidR="002E0C03" w:rsidRPr="005247CB">
        <w:rPr>
          <w:lang w:val="en-US"/>
        </w:rPr>
        <w:t xml:space="preserve">either </w:t>
      </w:r>
      <w:r w:rsidR="00405543" w:rsidRPr="005247CB">
        <w:rPr>
          <w:lang w:val="en-US"/>
        </w:rPr>
        <w:t xml:space="preserve">drug </w:t>
      </w:r>
      <w:r w:rsidR="00A140E2" w:rsidRPr="005247CB">
        <w:rPr>
          <w:lang w:val="en-US"/>
        </w:rPr>
        <w:t>reduces symptom duration and risk of severe disease outcomes</w:t>
      </w:r>
      <w:r w:rsidR="00706E53">
        <w:rPr>
          <w:lang w:val="en-US"/>
        </w:rPr>
        <w:t xml:space="preserve"> </w:t>
      </w:r>
      <w:r w:rsidR="00A140E2" w:rsidRPr="005247CB">
        <w:rPr>
          <w:lang w:val="en-US"/>
        </w:rPr>
        <w:fldChar w:fldCharType="begin"/>
      </w:r>
      <w:r w:rsidR="006A263E">
        <w:rPr>
          <w:lang w:val="en-US"/>
        </w:rPr>
        <w:instrText xml:space="preserve"> ADDIN ZOTERO_ITEM CSL_CITATION {"citationID":"anoj7srr65","properties":{"formattedCitation":"(Hayden and Pavia, 2006; Hayden Frederick G. et al., 2018)","plainCitation":"(Hayden and Pavia, 2006; Hayden Frederick G. et al., 2018)","noteIndex":0},"citationItems":[{"id":143,"uris":["http://zotero.org/users/local/0pdZPGmr/items/MS2NAI6C","http://zotero.org/users/9596130/items/MS2NAI6C"],"itemData":{"id":143,"type":"article-journal","abstract":"The goals of antiviral treatment for influenza are to decrease symptoms and functional disability and, more important, to decrease associated complications, hospitalizations, and mortality. Four drugs have been approved for treatment of and prophylaxis against influenza in the United States, but they are underutilized. The M2 ion channel inhibitors amantadine and rimantadine are effective for prophylaxis, and they decrease the duration of symptoms if they are used for early treatment of influenza A. The rapid emergence of resistance during therapy and, recently, the circulation of resistant H3N2 viruses in the community have decreased the usefulness of these M2 ion channel inhibitors. Early therapy with neuraminidase (NA) inhibitors, either oseltamivir or zanamivir, reduces the duration of symptoms, the duration of disability, and the risk of lower respiratory tract complications. Oseltamivir has been shown to decrease antibiotic use, the number of hospitalizations, and, probably, the risk of death after influenza. NA inhibitors might provide substantial benefits in the treatment of pandemic influenza, with reductions in the numbers of hospitalizations and deaths occurring if such treatment (1) is made available in sufficient time, through rapid distribution, and (2) is available in sufficient quantities as a result of stockpiling. Both of the aforementioned NA inhibitors are highly effective for prophylaxis. Geographically targeted mass chemoprophylaxis might contain the spread of a pandemic virus, but multiple hurdles to successful implementation exist. Resistance to oseltamivir occurs with the H274Y variant in viruses that contain N1; however, to date, such variants have been less fit, have not been transmitted from person to person, and have retained susceptibility to zanamivir. Alternative agents and approaches, including parenteral and combination therapy, for the treatment of influenza are needed in the near and long term.","container-title":"The Journal of Infectious Diseases","DOI":"10.1086/507552","ISSN":"0022-1899","issue":"Supplement_2","journalAbbreviation":"The Journal of Infectious Diseases","page":"S119-S126","title":"Antiviral Management of Seasonal and Pandemic Influenza","volume":"194","author":[{"family":"Hayden","given":"Frederick G."},{"family":"Pavia","given":"Andrew T."}],"issued":{"date-parts":[["2006",11,1]]}}},{"id":9,"uris":["http://zotero.org/users/local/0pdZPGmr/items/LU5QH5UX","http://zotero.org/users/9596130/items/LU5QH5UX"],"itemData":{"id":9,"type":"article-journal","abstract":"In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00A140E2" w:rsidRPr="005247CB">
        <w:rPr>
          <w:lang w:val="en-US"/>
        </w:rPr>
        <w:fldChar w:fldCharType="separate"/>
      </w:r>
      <w:r w:rsidR="006A263E">
        <w:rPr>
          <w:lang w:val="en-US"/>
        </w:rPr>
        <w:t>(Hayden and Pavia, 2006; Hayden Frederick G. et al., 2018)</w:t>
      </w:r>
      <w:r w:rsidR="00A140E2" w:rsidRPr="005247CB">
        <w:rPr>
          <w:lang w:val="en-US"/>
        </w:rPr>
        <w:fldChar w:fldCharType="end"/>
      </w:r>
      <w:r w:rsidR="00706E53">
        <w:rPr>
          <w:lang w:val="en-US"/>
        </w:rPr>
        <w:t>.</w:t>
      </w:r>
      <w:r w:rsidR="00B428F9" w:rsidRPr="005247CB">
        <w:rPr>
          <w:lang w:val="en-US"/>
        </w:rPr>
        <w:t xml:space="preserve"> Both treatments are also effective post-exposure prophylactic drugs that lower infection risk</w:t>
      </w:r>
      <w:r w:rsidR="00706E53">
        <w:rPr>
          <w:lang w:val="en-US"/>
        </w:rPr>
        <w:t xml:space="preserve"> </w:t>
      </w:r>
      <w:r w:rsidR="00B428F9" w:rsidRPr="005247CB">
        <w:rPr>
          <w:lang w:val="en-US"/>
        </w:rPr>
        <w:fldChar w:fldCharType="begin"/>
      </w:r>
      <w:r w:rsidR="006A263E">
        <w:rPr>
          <w:lang w:val="en-US"/>
        </w:rPr>
        <w:instrText xml:space="preserve"> ADDIN ZOTERO_ITEM CSL_CITATION {"citationID":"a2fpit2d0a2","properties":{"formattedCitation":"(Zhao et al., 2024)","plainCitation":"(Zhao et al., 2024)","noteIndex":0},"citationItems":[{"id":98,"uris":["http://zotero.org/users/local/0pdZPGmr/items/IGYA24Z2","http://zotero.org/users/9596130/items/IGYA24Z2"],"itemData":{"id":98,"type":"article-journal","container-title":"The Lancet","DOI":"10.1016/S0140-6736(24)01357-6","ISSN":"0140-6736","issue":"10454","note":"publisher: Elsevier","page":"764-772","title":"Antivirals for post-exposure prophylaxis of influenza: a systematic review and network meta-analysis","volume":"404","author":[{"family":"Zhao","given":"Yunli"},{"family":"Gao","given":"Ya"},{"family":"Guyatt","given":"Gordon"},{"family":"Uyeki","given":"Timothy M"},{"family":"Liu","given":"Ping"},{"family":"Liu","given":"Ming"},{"family":"Shen","given":"Yanjiao"},{"family":"Chen","given":"Xiaoyan"},{"family":"Luo","given":"Shuyue"},{"family":"Li","given":"Xingsheng"},{"family":"Huang","given":"Rongzhong"},{"family":"Hao","given":"Qiukui"}],"issued":{"date-parts":[["2024",8,24]]}}}],"schema":"https://github.com/citation-style-language/schema/raw/master/csl-citation.json"} </w:instrText>
      </w:r>
      <w:r w:rsidR="00B428F9" w:rsidRPr="005247CB">
        <w:rPr>
          <w:lang w:val="en-US"/>
        </w:rPr>
        <w:fldChar w:fldCharType="separate"/>
      </w:r>
      <w:r w:rsidR="006A263E">
        <w:rPr>
          <w:lang w:val="en-US"/>
        </w:rPr>
        <w:t>(Zhao et al., 2024)</w:t>
      </w:r>
      <w:r w:rsidR="00B428F9" w:rsidRPr="005247CB">
        <w:rPr>
          <w:lang w:val="en-US"/>
        </w:rPr>
        <w:fldChar w:fldCharType="end"/>
      </w:r>
      <w:r w:rsidR="00706E53">
        <w:rPr>
          <w:lang w:val="en-US"/>
        </w:rPr>
        <w:t>.</w:t>
      </w:r>
      <w:r w:rsidR="00B428F9" w:rsidRPr="005247CB">
        <w:rPr>
          <w:lang w:val="en-US"/>
        </w:rPr>
        <w:t xml:space="preserve"> </w:t>
      </w:r>
      <w:r w:rsidR="00C77D12">
        <w:rPr>
          <w:lang w:val="en-US"/>
        </w:rPr>
        <w:t>Importantly</w:t>
      </w:r>
      <w:r w:rsidR="002E0C03" w:rsidRPr="005247CB">
        <w:rPr>
          <w:lang w:val="en-US"/>
        </w:rPr>
        <w:t>, treatment with BXM</w:t>
      </w:r>
      <w:r w:rsidR="00A835A2" w:rsidRPr="005247CB">
        <w:rPr>
          <w:lang w:val="en-US"/>
        </w:rPr>
        <w:t xml:space="preserve"> </w:t>
      </w:r>
      <w:r w:rsidR="00FF6869" w:rsidRPr="005247CB">
        <w:rPr>
          <w:lang w:val="en-US"/>
        </w:rPr>
        <w:t>has</w:t>
      </w:r>
      <w:r w:rsidR="003F4EDF" w:rsidRPr="005247CB">
        <w:rPr>
          <w:lang w:val="en-US"/>
        </w:rPr>
        <w:t xml:space="preserve"> </w:t>
      </w:r>
      <w:r w:rsidR="00C77D12" w:rsidRPr="00401568">
        <w:rPr>
          <w:lang w:val="en-US"/>
        </w:rPr>
        <w:t>recently been</w:t>
      </w:r>
      <w:r w:rsidR="0044794F" w:rsidRPr="00401568">
        <w:rPr>
          <w:lang w:val="en-US"/>
        </w:rPr>
        <w:t xml:space="preserve"> </w:t>
      </w:r>
      <w:r w:rsidR="003F4EDF" w:rsidRPr="00401568">
        <w:rPr>
          <w:lang w:val="en-US"/>
        </w:rPr>
        <w:t>demonstrate</w:t>
      </w:r>
      <w:r w:rsidR="00A835A2" w:rsidRPr="00401568">
        <w:rPr>
          <w:lang w:val="en-US"/>
        </w:rPr>
        <w:t>d</w:t>
      </w:r>
      <w:r w:rsidR="00C77D12" w:rsidRPr="00401568">
        <w:rPr>
          <w:lang w:val="en-US"/>
        </w:rPr>
        <w:t xml:space="preserve"> to provide</w:t>
      </w:r>
      <w:r w:rsidR="003F4EDF" w:rsidRPr="00401568">
        <w:rPr>
          <w:lang w:val="en-US"/>
        </w:rPr>
        <w:t xml:space="preserve"> a</w:t>
      </w:r>
      <w:r w:rsidR="00574F17" w:rsidRPr="00401568">
        <w:rPr>
          <w:lang w:val="en-US"/>
        </w:rPr>
        <w:t xml:space="preserve"> significant</w:t>
      </w:r>
      <w:r w:rsidR="00A835A2" w:rsidRPr="00401568">
        <w:rPr>
          <w:lang w:val="en-US"/>
        </w:rPr>
        <w:t xml:space="preserve"> clinical</w:t>
      </w:r>
      <w:r w:rsidR="003F4EDF" w:rsidRPr="00401568">
        <w:rPr>
          <w:lang w:val="en-US"/>
        </w:rPr>
        <w:t xml:space="preserve"> benefit in </w:t>
      </w:r>
      <w:r w:rsidR="00FF6869" w:rsidRPr="00401568">
        <w:rPr>
          <w:lang w:val="en-US"/>
        </w:rPr>
        <w:t>preventing</w:t>
      </w:r>
      <w:r w:rsidR="003F4EDF" w:rsidRPr="00401568">
        <w:rPr>
          <w:lang w:val="en-US"/>
        </w:rPr>
        <w:t xml:space="preserve"> onward transmission</w:t>
      </w:r>
      <w:r w:rsidR="002E0C03" w:rsidRPr="00401568">
        <w:rPr>
          <w:lang w:val="en-US"/>
        </w:rPr>
        <w:t>s</w:t>
      </w:r>
      <w:r w:rsidR="00401568" w:rsidRPr="00401568">
        <w:rPr>
          <w:lang w:val="en-US"/>
        </w:rPr>
        <w:t xml:space="preserve"> </w:t>
      </w:r>
      <w:r w:rsidR="00A07E8E" w:rsidRPr="00401568">
        <w:rPr>
          <w:lang w:val="en-US"/>
        </w:rPr>
        <w:fldChar w:fldCharType="begin"/>
      </w:r>
      <w:r w:rsidR="00980AE9">
        <w:rPr>
          <w:lang w:val="en-US"/>
        </w:rPr>
        <w:instrText xml:space="preserve"> ADDIN ZOTERO_ITEM CSL_CITATION {"citationID":"a2np5u09cvf","properties":{"formattedCitation":"(Monto Arnold S. et al., 2025)","plainCitation":"(Monto Arnold S. et al., 2025)","noteIndex":0},"citationItems":[{"id":288,"uris":["http://zotero.org/users/9596130/items/HVVT3WY6"],"itemData":{"id":288,"type":"article-journal","container-title":"New England Journal of Medicine","DOI":"10.1056/NEJMoa2413156","issue":"16","journalAbbreviation":"New England Journal of Medicine","note":"publisher: Massachusetts Medical Society","page":"1582-1593","title":"Efficacy of Baloxavir Treatment in Preventing Transmission of Influenza","volume":"392","author":[{"literal":"Monto Arnold S."},{"literal":"Kuhlbusch Klaus"},{"literal":"Bernasconi Corrado"},{"literal":"Cao Bin"},{"literal":"Cohen Herman Avner"},{"literal":"Graham Emily"},{"literal":"Hurt Aeron C."},{"literal":"Katugampola Laurie"},{"literal":"Kamezawa Takashi"},{"literal":"Lauring Adam S."},{"literal":"McLean Barry"},{"literal":"Takazono Takahiro"},{"literal":"Widmer Andreas"},{"literal":"Wildum Steffen"},{"literal":"Cowling Benjamin J."}],"issued":{"date-parts":[["2025",4,23]]}}}],"schema":"https://github.com/citation-style-language/schema/raw/master/csl-citation.json"} </w:instrText>
      </w:r>
      <w:r w:rsidR="00A07E8E" w:rsidRPr="00401568">
        <w:rPr>
          <w:lang w:val="en-US"/>
        </w:rPr>
        <w:fldChar w:fldCharType="separate"/>
      </w:r>
      <w:r w:rsidR="00980AE9" w:rsidRPr="00980AE9">
        <w:rPr>
          <w:lang w:val="en-US"/>
        </w:rPr>
        <w:t>(Monto Arnold S. et al., 2025)</w:t>
      </w:r>
      <w:r w:rsidR="00A07E8E" w:rsidRPr="00401568">
        <w:rPr>
          <w:lang w:val="en-US"/>
        </w:rPr>
        <w:fldChar w:fldCharType="end"/>
      </w:r>
      <w:r w:rsidR="00401568">
        <w:rPr>
          <w:lang w:val="en-US"/>
        </w:rPr>
        <w:t>.</w:t>
      </w:r>
      <w:r w:rsidR="00A07E8E" w:rsidRPr="00401568">
        <w:rPr>
          <w:lang w:val="en-US"/>
        </w:rPr>
        <w:t xml:space="preserve"> </w:t>
      </w:r>
    </w:p>
    <w:p w14:paraId="01058C83" w14:textId="5D418BE2" w:rsidR="002E7477" w:rsidRPr="005247CB" w:rsidRDefault="00095569" w:rsidP="00B60886">
      <w:pPr>
        <w:rPr>
          <w:lang w:val="en-US"/>
        </w:rPr>
      </w:pPr>
      <w:r w:rsidRPr="00401568">
        <w:rPr>
          <w:lang w:val="en-US"/>
        </w:rPr>
        <w:t>M</w:t>
      </w:r>
      <w:r w:rsidR="008F5B9C" w:rsidRPr="00401568">
        <w:rPr>
          <w:lang w:val="en-US"/>
        </w:rPr>
        <w:t>athematical modelling</w:t>
      </w:r>
      <w:r w:rsidR="00D35154" w:rsidRPr="00401568">
        <w:rPr>
          <w:lang w:val="en-US"/>
        </w:rPr>
        <w:t xml:space="preserve"> is a useful </w:t>
      </w:r>
      <w:r w:rsidR="00E93C0B" w:rsidRPr="00401568">
        <w:rPr>
          <w:lang w:val="en-US"/>
        </w:rPr>
        <w:t>tool</w:t>
      </w:r>
      <w:r w:rsidR="008F5B9C" w:rsidRPr="00401568">
        <w:rPr>
          <w:lang w:val="en-US"/>
        </w:rPr>
        <w:t xml:space="preserve"> </w:t>
      </w:r>
      <w:r w:rsidR="00233756" w:rsidRPr="00401568">
        <w:rPr>
          <w:lang w:val="en-US"/>
        </w:rPr>
        <w:t>to</w:t>
      </w:r>
      <w:r w:rsidR="00F866BD" w:rsidRPr="00401568">
        <w:rPr>
          <w:lang w:val="en-US"/>
        </w:rPr>
        <w:t xml:space="preserve"> rationally</w:t>
      </w:r>
      <w:r w:rsidR="008F5B9C" w:rsidRPr="005247CB">
        <w:rPr>
          <w:lang w:val="en-US"/>
        </w:rPr>
        <w:t xml:space="preserve"> </w:t>
      </w:r>
      <w:r w:rsidR="00152B4E" w:rsidRPr="005247CB">
        <w:rPr>
          <w:lang w:val="en-US"/>
        </w:rPr>
        <w:t>design</w:t>
      </w:r>
      <w:r w:rsidR="00F866BD" w:rsidRPr="005247CB">
        <w:rPr>
          <w:lang w:val="en-US"/>
        </w:rPr>
        <w:t xml:space="preserve"> evidence-based</w:t>
      </w:r>
      <w:r w:rsidR="008F5B9C" w:rsidRPr="005247CB">
        <w:rPr>
          <w:lang w:val="en-US"/>
        </w:rPr>
        <w:t xml:space="preserve"> </w:t>
      </w:r>
      <w:r w:rsidR="00336002" w:rsidRPr="005247CB">
        <w:rPr>
          <w:lang w:val="en-US"/>
        </w:rPr>
        <w:t>antiviral</w:t>
      </w:r>
      <w:r w:rsidR="00AF2185" w:rsidRPr="005247CB">
        <w:rPr>
          <w:lang w:val="en-US"/>
        </w:rPr>
        <w:t xml:space="preserve"> stockpiling</w:t>
      </w:r>
      <w:r w:rsidR="005A2CA0" w:rsidRPr="005247CB">
        <w:rPr>
          <w:lang w:val="en-US"/>
        </w:rPr>
        <w:t xml:space="preserve"> </w:t>
      </w:r>
      <w:r w:rsidR="00152B4E" w:rsidRPr="005247CB">
        <w:rPr>
          <w:lang w:val="en-US"/>
        </w:rPr>
        <w:t>options</w:t>
      </w:r>
      <w:r w:rsidR="00BA0410" w:rsidRPr="005247CB">
        <w:rPr>
          <w:lang w:val="en-US"/>
        </w:rPr>
        <w:t xml:space="preserve"> </w:t>
      </w:r>
      <w:r w:rsidR="00CA60B1" w:rsidRPr="005247CB">
        <w:rPr>
          <w:lang w:val="en-US"/>
        </w:rPr>
        <w:t xml:space="preserve">amidst uncertainties </w:t>
      </w:r>
      <w:r w:rsidR="0006093C" w:rsidRPr="005247CB">
        <w:rPr>
          <w:lang w:val="en-US"/>
        </w:rPr>
        <w:t>about the</w:t>
      </w:r>
      <w:r w:rsidR="00CA60B1" w:rsidRPr="005247CB">
        <w:rPr>
          <w:lang w:val="en-US"/>
        </w:rPr>
        <w:t xml:space="preserve"> </w:t>
      </w:r>
      <w:r w:rsidR="0006093C" w:rsidRPr="005247CB">
        <w:rPr>
          <w:lang w:val="en-US"/>
        </w:rPr>
        <w:t>future</w:t>
      </w:r>
      <w:r w:rsidR="00CA60B1" w:rsidRPr="005247CB">
        <w:rPr>
          <w:lang w:val="en-US"/>
        </w:rPr>
        <w:t xml:space="preserve"> influenza pandemic</w:t>
      </w:r>
      <w:r w:rsidR="00480AB4" w:rsidRPr="005247CB">
        <w:rPr>
          <w:lang w:val="en-US"/>
        </w:rPr>
        <w:t>. However,</w:t>
      </w:r>
      <w:r w:rsidR="00381009" w:rsidRPr="005247CB">
        <w:rPr>
          <w:lang w:val="en-US"/>
        </w:rPr>
        <w:t xml:space="preserve"> </w:t>
      </w:r>
      <w:bookmarkStart w:id="0" w:name="OLE_LINK1"/>
      <w:bookmarkStart w:id="1" w:name="OLE_LINK2"/>
      <w:r w:rsidR="00381009" w:rsidRPr="005247CB">
        <w:rPr>
          <w:lang w:val="en-US"/>
        </w:rPr>
        <w:t xml:space="preserve">existing studies </w:t>
      </w:r>
      <w:r w:rsidR="00480AB4" w:rsidRPr="005247CB">
        <w:rPr>
          <w:lang w:val="en-US"/>
        </w:rPr>
        <w:t>have yielded</w:t>
      </w:r>
      <w:r w:rsidR="00233756" w:rsidRPr="005247CB">
        <w:rPr>
          <w:lang w:val="en-US"/>
        </w:rPr>
        <w:t xml:space="preserve"> inconsistent</w:t>
      </w:r>
      <w:r w:rsidR="00951A88" w:rsidRPr="005247CB">
        <w:rPr>
          <w:lang w:val="en-US"/>
        </w:rPr>
        <w:t xml:space="preserve"> </w:t>
      </w:r>
      <w:r w:rsidR="00233756" w:rsidRPr="005247CB">
        <w:rPr>
          <w:lang w:val="en-US"/>
        </w:rPr>
        <w:t xml:space="preserve">and </w:t>
      </w:r>
      <w:r w:rsidR="003B44B8" w:rsidRPr="005247CB">
        <w:rPr>
          <w:lang w:val="en-US"/>
        </w:rPr>
        <w:t>even</w:t>
      </w:r>
      <w:r w:rsidR="00233756" w:rsidRPr="005247CB">
        <w:rPr>
          <w:lang w:val="en-US"/>
        </w:rPr>
        <w:t xml:space="preserve"> conflicting</w:t>
      </w:r>
      <w:r w:rsidR="00480AB4" w:rsidRPr="005247CB">
        <w:rPr>
          <w:lang w:val="en-US"/>
        </w:rPr>
        <w:t xml:space="preserve"> results</w:t>
      </w:r>
      <w:r w:rsidR="008B320A" w:rsidRPr="005247CB">
        <w:rPr>
          <w:lang w:val="en-US"/>
        </w:rPr>
        <w:t xml:space="preserve"> owing to differences in </w:t>
      </w:r>
      <w:r w:rsidR="00BE4463" w:rsidRPr="005247CB">
        <w:rPr>
          <w:lang w:val="en-US"/>
        </w:rPr>
        <w:t xml:space="preserve">modelling </w:t>
      </w:r>
      <w:r w:rsidR="008B320A" w:rsidRPr="005247CB">
        <w:rPr>
          <w:lang w:val="en-US"/>
        </w:rPr>
        <w:t>objectives, approaches and assumptions</w:t>
      </w:r>
      <w:r w:rsidR="00811F7A" w:rsidRPr="005247CB">
        <w:rPr>
          <w:lang w:val="en-US"/>
        </w:rPr>
        <w:t>,</w:t>
      </w:r>
      <w:r w:rsidR="00233756" w:rsidRPr="005247CB">
        <w:rPr>
          <w:lang w:val="en-US"/>
        </w:rPr>
        <w:t xml:space="preserve"> </w:t>
      </w:r>
      <w:r w:rsidR="00811F7A" w:rsidRPr="005247CB">
        <w:rPr>
          <w:lang w:val="en-US"/>
        </w:rPr>
        <w:t>making</w:t>
      </w:r>
      <w:r w:rsidR="00233756" w:rsidRPr="005247CB">
        <w:rPr>
          <w:lang w:val="en-US"/>
        </w:rPr>
        <w:t xml:space="preserve"> </w:t>
      </w:r>
      <w:r w:rsidR="008F5B9C" w:rsidRPr="005247CB">
        <w:rPr>
          <w:lang w:val="en-US"/>
        </w:rPr>
        <w:t xml:space="preserve">it </w:t>
      </w:r>
      <w:r w:rsidR="009D4308" w:rsidRPr="005247CB">
        <w:rPr>
          <w:lang w:val="en-US"/>
        </w:rPr>
        <w:t>challenging</w:t>
      </w:r>
      <w:r w:rsidR="008F5B9C" w:rsidRPr="005247CB">
        <w:rPr>
          <w:lang w:val="en-US"/>
        </w:rPr>
        <w:t xml:space="preserve"> to</w:t>
      </w:r>
      <w:r w:rsidR="00233756" w:rsidRPr="005247CB">
        <w:rPr>
          <w:lang w:val="en-US"/>
        </w:rPr>
        <w:t xml:space="preserve"> meaningfully</w:t>
      </w:r>
      <w:r w:rsidR="008F5B9C" w:rsidRPr="005247CB">
        <w:rPr>
          <w:lang w:val="en-US"/>
        </w:rPr>
        <w:t xml:space="preserve"> synthes</w:t>
      </w:r>
      <w:r w:rsidR="005247CB">
        <w:rPr>
          <w:lang w:val="en-US"/>
        </w:rPr>
        <w:t>ise</w:t>
      </w:r>
      <w:r w:rsidR="008F5B9C" w:rsidRPr="005247CB">
        <w:rPr>
          <w:lang w:val="en-US"/>
        </w:rPr>
        <w:t xml:space="preserve"> </w:t>
      </w:r>
      <w:r w:rsidR="00FB2089" w:rsidRPr="005247CB">
        <w:rPr>
          <w:lang w:val="en-US"/>
        </w:rPr>
        <w:t xml:space="preserve">their </w:t>
      </w:r>
      <w:r w:rsidR="008F5B9C" w:rsidRPr="005247CB">
        <w:rPr>
          <w:lang w:val="en-US"/>
        </w:rPr>
        <w:t xml:space="preserve">findings </w:t>
      </w:r>
      <w:r w:rsidR="003C132A" w:rsidRPr="005247CB">
        <w:rPr>
          <w:lang w:val="en-US"/>
        </w:rPr>
        <w:t>for</w:t>
      </w:r>
      <w:r w:rsidR="001654C3" w:rsidRPr="005247CB">
        <w:rPr>
          <w:lang w:val="en-US"/>
        </w:rPr>
        <w:t xml:space="preserve"> </w:t>
      </w:r>
      <w:r w:rsidR="008F5B9C" w:rsidRPr="005247CB">
        <w:rPr>
          <w:lang w:val="en-US"/>
        </w:rPr>
        <w:t>public health</w:t>
      </w:r>
      <w:r w:rsidR="00881D3A" w:rsidRPr="005247CB">
        <w:rPr>
          <w:lang w:val="en-US"/>
        </w:rPr>
        <w:t xml:space="preserve"> </w:t>
      </w:r>
      <w:r w:rsidR="00951A88" w:rsidRPr="005247CB">
        <w:rPr>
          <w:lang w:val="en-US"/>
        </w:rPr>
        <w:t>planning</w:t>
      </w:r>
      <w:r w:rsidR="008F5B9C" w:rsidRPr="005247CB">
        <w:rPr>
          <w:lang w:val="en-US"/>
        </w:rPr>
        <w:t>.</w:t>
      </w:r>
      <w:r w:rsidR="005A2CA0" w:rsidRPr="005247CB">
        <w:rPr>
          <w:lang w:val="en-US"/>
        </w:rPr>
        <w:t xml:space="preserve"> </w:t>
      </w:r>
      <w:bookmarkEnd w:id="0"/>
      <w:bookmarkEnd w:id="1"/>
      <w:r w:rsidR="00F44E40" w:rsidRPr="005247CB">
        <w:rPr>
          <w:lang w:val="en-US"/>
        </w:rPr>
        <w:t xml:space="preserve">For example, focusing </w:t>
      </w:r>
      <w:r w:rsidR="00022AF8" w:rsidRPr="005247CB">
        <w:rPr>
          <w:lang w:val="en-US"/>
        </w:rPr>
        <w:t>on</w:t>
      </w:r>
      <w:r w:rsidR="005A2CA0" w:rsidRPr="005247CB">
        <w:rPr>
          <w:lang w:val="en-US"/>
        </w:rPr>
        <w:t xml:space="preserve"> </w:t>
      </w:r>
      <w:r w:rsidR="00B02B00" w:rsidRPr="005247CB">
        <w:rPr>
          <w:lang w:val="en-US"/>
        </w:rPr>
        <w:t>treatment</w:t>
      </w:r>
      <w:r w:rsidR="005A2CA0" w:rsidRPr="005247CB">
        <w:rPr>
          <w:lang w:val="en-US"/>
        </w:rPr>
        <w:t xml:space="preserve"> demand</w:t>
      </w:r>
      <w:r w:rsidR="00CC255D" w:rsidRPr="005247CB">
        <w:rPr>
          <w:lang w:val="en-US"/>
        </w:rPr>
        <w:t xml:space="preserve"> estimation</w:t>
      </w:r>
      <w:r w:rsidR="005A2CA0" w:rsidRPr="005247CB">
        <w:rPr>
          <w:lang w:val="en-US"/>
        </w:rPr>
        <w:t xml:space="preserve">, a </w:t>
      </w:r>
      <w:r w:rsidR="002E7477" w:rsidRPr="005247CB">
        <w:rPr>
          <w:lang w:val="en-US"/>
        </w:rPr>
        <w:t>neuraminidase inhibitor s</w:t>
      </w:r>
      <w:r w:rsidR="00402450" w:rsidRPr="005247CB">
        <w:rPr>
          <w:lang w:val="en-US"/>
        </w:rPr>
        <w:t>tockpile</w:t>
      </w:r>
      <w:r w:rsidR="00D91F13" w:rsidRPr="005247CB">
        <w:rPr>
          <w:lang w:val="en-US"/>
        </w:rPr>
        <w:t xml:space="preserve"> covering ~30% of the population </w:t>
      </w:r>
      <w:r w:rsidR="00405543" w:rsidRPr="005247CB">
        <w:rPr>
          <w:lang w:val="en-US"/>
        </w:rPr>
        <w:t xml:space="preserve">was </w:t>
      </w:r>
      <w:r w:rsidR="00F44E40" w:rsidRPr="005247CB">
        <w:rPr>
          <w:lang w:val="en-US"/>
        </w:rPr>
        <w:t>estimated to be</w:t>
      </w:r>
      <w:r w:rsidR="00405543" w:rsidRPr="005247CB">
        <w:rPr>
          <w:lang w:val="en-US"/>
        </w:rPr>
        <w:t xml:space="preserve"> </w:t>
      </w:r>
      <w:r w:rsidR="005A2CA0" w:rsidRPr="005247CB">
        <w:rPr>
          <w:lang w:val="en-US"/>
        </w:rPr>
        <w:t xml:space="preserve">sufficient </w:t>
      </w:r>
      <w:r w:rsidR="00D87C1D" w:rsidRPr="005247CB">
        <w:rPr>
          <w:lang w:val="en-US"/>
        </w:rPr>
        <w:t xml:space="preserve">to treat all </w:t>
      </w:r>
      <w:r w:rsidR="00D91F13" w:rsidRPr="005247CB">
        <w:rPr>
          <w:lang w:val="en-US"/>
        </w:rPr>
        <w:t xml:space="preserve">symptomatic individuals </w:t>
      </w:r>
      <w:r w:rsidR="00B62B6F" w:rsidRPr="005247CB">
        <w:rPr>
          <w:lang w:val="en-US"/>
        </w:rPr>
        <w:t>infected</w:t>
      </w:r>
      <w:r w:rsidR="00402450" w:rsidRPr="005247CB">
        <w:rPr>
          <w:lang w:val="en-US"/>
        </w:rPr>
        <w:t xml:space="preserve"> by the pandemic virus</w:t>
      </w:r>
      <w:r w:rsidR="00D87C1D" w:rsidRPr="005247CB">
        <w:rPr>
          <w:lang w:val="en-US"/>
        </w:rPr>
        <w:t xml:space="preserve"> </w:t>
      </w:r>
      <w:r w:rsidR="00080D9C" w:rsidRPr="005247CB">
        <w:rPr>
          <w:lang w:val="en-US"/>
        </w:rPr>
        <w:t>that</w:t>
      </w:r>
      <w:r w:rsidR="008F5B9C" w:rsidRPr="005247CB">
        <w:rPr>
          <w:lang w:val="en-US"/>
        </w:rPr>
        <w:t xml:space="preserve"> </w:t>
      </w:r>
      <w:r w:rsidR="002E1135" w:rsidRPr="005247CB">
        <w:rPr>
          <w:lang w:val="en-US"/>
        </w:rPr>
        <w:t>s</w:t>
      </w:r>
      <w:r w:rsidR="005A692F" w:rsidRPr="005247CB">
        <w:rPr>
          <w:lang w:val="en-US"/>
        </w:rPr>
        <w:t>eek</w:t>
      </w:r>
      <w:r w:rsidR="008F5B9C" w:rsidRPr="005247CB">
        <w:rPr>
          <w:lang w:val="en-US"/>
        </w:rPr>
        <w:t xml:space="preserve"> care</w:t>
      </w:r>
      <w:r w:rsidR="005A2CA0" w:rsidRPr="005247CB">
        <w:rPr>
          <w:lang w:val="en-US"/>
        </w:rPr>
        <w:t xml:space="preserve"> in the US</w:t>
      </w:r>
      <w:r w:rsidR="00F44E40" w:rsidRPr="005247CB">
        <w:rPr>
          <w:lang w:val="en-US"/>
        </w:rPr>
        <w:t xml:space="preserve"> during a nascent pandemic</w:t>
      </w:r>
      <w:r w:rsidR="007D156E">
        <w:rPr>
          <w:lang w:val="en-US"/>
        </w:rPr>
        <w:t xml:space="preserve"> </w:t>
      </w:r>
      <w:r w:rsidR="00152B4E" w:rsidRPr="005247CB">
        <w:rPr>
          <w:lang w:val="en-US"/>
        </w:rPr>
        <w:fldChar w:fldCharType="begin"/>
      </w:r>
      <w:r w:rsidR="006A263E">
        <w:rPr>
          <w:lang w:val="en-US"/>
        </w:rPr>
        <w:instrText xml:space="preserve"> ADDIN ZOTERO_ITEM CSL_CITATION {"citationID":"14mR3XaP","properties":{"formattedCitation":"(O\\uc0\\u8217{}Hagan et al., 2015)","plainCitation":"(O’Hagan et al., 2015)","noteIndex":0},"citationItems":[{"id":156,"uris":["http://zotero.org/users/local/0pdZPGmr/items/L8TJP235","http://zotero.org/users/9596130/items/L8TJP235"],"itemData":{"id":156,"type":"article-journal","abstract":"Following the detection of a novel influenza strain A(H7N9), we modeled the use of antiviral treatment in the United States to mitigate severe disease across a range of hypothetical pandemic scenarios. Our outcomes were total demand for antiviral (neuraminidase inhibitor) treatment and the number of hospitalizations and deaths averted. The model included estimates of attack rate, healthcare-seeking behavior, prescription rates, adherence, disease severity, and the potential effect of antivirals on the risks of hospitalization and death. Based on these inputs, the total antiviral regimens estimated to be available in the United States (as of April 2013) were sufficient to meet treatment needs for the scenarios considered. However, distribution logistics were not examined and should be addressed in future work. Treatment was estimated to avert many severe outcomes (5200–248 000 deaths; 4800–504 000 hospitalizations); however, large numbers remained (25 000–425 000 deaths; 580 000–3 700 000 hospitalizations), suggesting that the impact of combinations of interventions should be examined.","container-title":"Clinical Infectious Diseases","DOI":"10.1093/cid/civ084","ISSN":"1058-4838","issue":"suppl_1","journalAbbreviation":"Clinical Infectious Diseases","page":"S30-S41","title":"Estimating the United States Demand for Influenza Antivirals and the Effect on Severe Influenza Disease During a Potential Pandemic","volume":"60","author":[{"family":"O'Hagan","given":"Justin J."},{"family":"Wong","given":"Karen K."},{"family":"Campbell","given":"Angela P."},{"family":"Patel","given":"Anita"},{"family":"Swerdlow","given":"David L."},{"family":"Fry","given":"Alicia M."},{"family":"Koonin","given":"Lisa M."},{"family":"Meltzer","given":"Martin I."}],"issued":{"date-parts":[["2015",5,1]]}}}],"schema":"https://github.com/citation-style-language/schema/raw/master/csl-citation.json"} </w:instrText>
      </w:r>
      <w:r w:rsidR="00152B4E" w:rsidRPr="005247CB">
        <w:rPr>
          <w:lang w:val="en-US"/>
        </w:rPr>
        <w:fldChar w:fldCharType="separate"/>
      </w:r>
      <w:r w:rsidR="006A263E" w:rsidRPr="006A263E">
        <w:rPr>
          <w:lang w:val="en-US"/>
        </w:rPr>
        <w:t>(O’Hagan et al., 2015)</w:t>
      </w:r>
      <w:r w:rsidR="00152B4E" w:rsidRPr="005247CB">
        <w:rPr>
          <w:lang w:val="en-US"/>
        </w:rPr>
        <w:fldChar w:fldCharType="end"/>
      </w:r>
      <w:r w:rsidR="00405543" w:rsidRPr="005247CB">
        <w:rPr>
          <w:lang w:val="en-US"/>
        </w:rPr>
        <w:t>.</w:t>
      </w:r>
      <w:r w:rsidR="00A37231" w:rsidRPr="005247CB">
        <w:rPr>
          <w:lang w:val="en-US"/>
        </w:rPr>
        <w:t xml:space="preserve"> </w:t>
      </w:r>
      <w:r w:rsidR="00405543" w:rsidRPr="005247CB">
        <w:rPr>
          <w:lang w:val="en-US"/>
        </w:rPr>
        <w:t xml:space="preserve">Conversely, </w:t>
      </w:r>
      <w:r w:rsidR="00952F83" w:rsidRPr="005247CB">
        <w:rPr>
          <w:lang w:val="en-US"/>
        </w:rPr>
        <w:t xml:space="preserve">a </w:t>
      </w:r>
      <w:r w:rsidR="00F44E40" w:rsidRPr="005247CB">
        <w:rPr>
          <w:lang w:val="en-US"/>
        </w:rPr>
        <w:lastRenderedPageBreak/>
        <w:t xml:space="preserve">separate study estimated a </w:t>
      </w:r>
      <w:r w:rsidR="008F5B9C" w:rsidRPr="005247CB">
        <w:rPr>
          <w:lang w:val="en-US"/>
        </w:rPr>
        <w:t>much</w:t>
      </w:r>
      <w:r w:rsidR="00952F83" w:rsidRPr="005247CB">
        <w:rPr>
          <w:lang w:val="en-US"/>
        </w:rPr>
        <w:t xml:space="preserve"> larger </w:t>
      </w:r>
      <w:r w:rsidR="008F5B9C" w:rsidRPr="005247CB">
        <w:rPr>
          <w:lang w:val="en-US"/>
        </w:rPr>
        <w:t>antiviral demand</w:t>
      </w:r>
      <w:r w:rsidR="005A2CA0" w:rsidRPr="005247CB">
        <w:rPr>
          <w:lang w:val="en-US"/>
        </w:rPr>
        <w:t xml:space="preserve"> </w:t>
      </w:r>
      <w:r w:rsidR="006E2291" w:rsidRPr="005247CB">
        <w:rPr>
          <w:lang w:val="en-US"/>
        </w:rPr>
        <w:t>covering</w:t>
      </w:r>
      <w:r w:rsidR="00402450" w:rsidRPr="005247CB">
        <w:rPr>
          <w:lang w:val="en-US"/>
        </w:rPr>
        <w:t xml:space="preserve"> 40-</w:t>
      </w:r>
      <w:r w:rsidR="00952F83" w:rsidRPr="005247CB">
        <w:rPr>
          <w:lang w:val="en-US"/>
        </w:rPr>
        <w:t>144%</w:t>
      </w:r>
      <w:r w:rsidR="006E2291" w:rsidRPr="005247CB">
        <w:rPr>
          <w:lang w:val="en-US"/>
        </w:rPr>
        <w:t xml:space="preserve"> of the Canadian </w:t>
      </w:r>
      <w:r w:rsidR="00952F83" w:rsidRPr="005247CB">
        <w:rPr>
          <w:lang w:val="en-US"/>
        </w:rPr>
        <w:t xml:space="preserve">population </w:t>
      </w:r>
      <w:r w:rsidR="00F44E40" w:rsidRPr="005247CB">
        <w:rPr>
          <w:lang w:val="en-US"/>
        </w:rPr>
        <w:t xml:space="preserve">to </w:t>
      </w:r>
      <w:r w:rsidR="00CC1AAF" w:rsidRPr="005247CB">
        <w:rPr>
          <w:lang w:val="en-US"/>
        </w:rPr>
        <w:t>account for</w:t>
      </w:r>
      <w:r w:rsidR="00D87C1D" w:rsidRPr="005247CB">
        <w:rPr>
          <w:lang w:val="en-US"/>
        </w:rPr>
        <w:t xml:space="preserve"> </w:t>
      </w:r>
      <w:r w:rsidR="008F5B9C" w:rsidRPr="005247CB">
        <w:rPr>
          <w:lang w:val="en-US"/>
        </w:rPr>
        <w:t>additional contingencie</w:t>
      </w:r>
      <w:r w:rsidR="007767A2" w:rsidRPr="005247CB">
        <w:rPr>
          <w:lang w:val="en-US"/>
        </w:rPr>
        <w:t xml:space="preserve">s such as </w:t>
      </w:r>
      <w:r w:rsidR="008F5B9C" w:rsidRPr="005247CB">
        <w:rPr>
          <w:lang w:val="en-US"/>
        </w:rPr>
        <w:t>treating</w:t>
      </w:r>
      <w:r w:rsidR="00402450" w:rsidRPr="005247CB">
        <w:rPr>
          <w:lang w:val="en-US"/>
        </w:rPr>
        <w:t xml:space="preserve"> non-specific infections</w:t>
      </w:r>
      <w:r w:rsidR="00D87C1D" w:rsidRPr="005247CB">
        <w:rPr>
          <w:lang w:val="en-US"/>
        </w:rPr>
        <w:t xml:space="preserve"> </w:t>
      </w:r>
      <w:r w:rsidR="008F5B9C" w:rsidRPr="005247CB">
        <w:rPr>
          <w:lang w:val="en-US"/>
        </w:rPr>
        <w:t xml:space="preserve">that </w:t>
      </w:r>
      <w:r w:rsidR="007767A2" w:rsidRPr="005247CB">
        <w:rPr>
          <w:lang w:val="en-US"/>
        </w:rPr>
        <w:t>also present</w:t>
      </w:r>
      <w:r w:rsidR="00402450" w:rsidRPr="005247CB">
        <w:rPr>
          <w:lang w:val="en-US"/>
        </w:rPr>
        <w:t xml:space="preserve"> influenza-like </w:t>
      </w:r>
      <w:r w:rsidR="003B3DB1" w:rsidRPr="005247CB">
        <w:rPr>
          <w:lang w:val="en-US"/>
        </w:rPr>
        <w:t>illness</w:t>
      </w:r>
      <w:r w:rsidR="00283C22">
        <w:rPr>
          <w:lang w:val="en-US"/>
        </w:rPr>
        <w:t xml:space="preserve"> </w:t>
      </w:r>
      <w:r w:rsidR="00B852AE" w:rsidRPr="005247CB">
        <w:rPr>
          <w:lang w:val="en-US"/>
        </w:rPr>
        <w:fldChar w:fldCharType="begin"/>
      </w:r>
      <w:r w:rsidR="006A263E">
        <w:rPr>
          <w:lang w:val="en-US"/>
        </w:rPr>
        <w:instrText xml:space="preserve"> ADDIN ZOTERO_ITEM CSL_CITATION {"citationID":"3YZnYosd","properties":{"formattedCitation":"(Greer and Schanzer, 2013)","plainCitation":"(Greer and Schanzer, 2013)","noteIndex":0},"citationItems":[{"id":157,"uris":["http://zotero.org/users/local/0pdZPGmr/items/EJE6QFE4","http://zotero.org/users/9596130/items/EJE6QFE4"],"itemData":{"id":157,"type":"article-journal","abstract":"Background The Canadian National Antiviral Stockpile (NAS) contains treatment for 17.5% of Canadians. This assumes no concurrent intervention strategies and no wastage due to non-influenza respiratory infections. A dynamic model can provide a mechanism to consider complex scenarios to support decisions regarding the optimal NAS size under uncertainty.  Methods We developed a dynamic model for pandemic influenza in Canada that is structured by age and risk to calculate the demand for antivirals to treat persons with pandemic influenza under a wide-range of scenarios that incorporated transmission dynamics, disease severity, and intervention strategies. The anticipated per capita number of acute respiratory infections due to viruses other than influenza was estimated for the full pandemic period from surveys based on criteria to identify potential respiratory infections.  Results Our results demonstrate that up to two thirds of the population could develop respiratory symptoms as a result of infection with a pandemic strain. In the case of perfect antiviral allocation, up to 39.8% of the population could request antiviral treatment. As transmission dynamics, severity and timing of the emergence of a novel influenza strain are unknown, the sensitivity analysis produced considerable variation in potential demand (median: 11%, IQR: 2–21%). If the next pandemic strain emerges in late spring or summer and a vaccine is available before the anticipated fall wave, the median prediction was reduced to 6% and IQR to 0.7–14%. Under the strategy of offering empirical treatment to all patients with influenza like symptoms who present for care, demand could increase to between 65 and 144%.  Conclusions The demand for antivirals during a pandemic is uncertain. Unless an accurate, timely and cost-effective test is available to identify influenza cases, demand for antivirals from persons infected with other respiratory viruses will be substantial and have a significant impact on the NAS.","container-title":"PLOS ONE","DOI":"10.1371/journal.pone.0067253","issue":"6","journalAbbreviation":"PLOS ONE","note":"publisher: Public Library of Science","page":"e67253","title":"Using a Dynamic Model to Consider Optimal Antiviral Stockpile Size in the Face of Pandemic Influenza Uncertainty","volume":"8","author":[{"family":"Greer","given":"Amy L."},{"family":"Schanzer","given":"Dena"}],"issued":{"date-parts":[["2013",6,21]]}}}],"schema":"https://github.com/citation-style-language/schema/raw/master/csl-citation.json"} </w:instrText>
      </w:r>
      <w:r w:rsidR="00B852AE" w:rsidRPr="005247CB">
        <w:rPr>
          <w:lang w:val="en-US"/>
        </w:rPr>
        <w:fldChar w:fldCharType="separate"/>
      </w:r>
      <w:r w:rsidR="006A263E">
        <w:rPr>
          <w:lang w:val="en-US"/>
        </w:rPr>
        <w:t>(Greer and Schanzer, 2013)</w:t>
      </w:r>
      <w:r w:rsidR="00B852AE" w:rsidRPr="005247CB">
        <w:rPr>
          <w:lang w:val="en-US"/>
        </w:rPr>
        <w:fldChar w:fldCharType="end"/>
      </w:r>
      <w:r w:rsidR="00283C22">
        <w:rPr>
          <w:lang w:val="en-US"/>
        </w:rPr>
        <w:t>.</w:t>
      </w:r>
      <w:r w:rsidR="00B852AE" w:rsidRPr="005247CB">
        <w:rPr>
          <w:lang w:val="en-US"/>
        </w:rPr>
        <w:t xml:space="preserve"> </w:t>
      </w:r>
      <w:r w:rsidR="00F54ED5" w:rsidRPr="005247CB">
        <w:rPr>
          <w:lang w:val="en-US"/>
        </w:rPr>
        <w:t>S</w:t>
      </w:r>
      <w:r w:rsidR="00D87C1D" w:rsidRPr="005247CB">
        <w:rPr>
          <w:lang w:val="en-US"/>
        </w:rPr>
        <w:t>everal studies</w:t>
      </w:r>
      <w:r w:rsidR="00855DF9" w:rsidRPr="005247CB">
        <w:rPr>
          <w:lang w:val="en-US"/>
        </w:rPr>
        <w:t xml:space="preserve"> separately</w:t>
      </w:r>
      <w:r w:rsidR="00733EE6" w:rsidRPr="005247CB">
        <w:rPr>
          <w:lang w:val="en-US"/>
        </w:rPr>
        <w:t xml:space="preserve"> </w:t>
      </w:r>
      <w:r w:rsidR="00A424A7" w:rsidRPr="005247CB">
        <w:rPr>
          <w:lang w:val="en-US"/>
        </w:rPr>
        <w:t>used</w:t>
      </w:r>
      <w:r w:rsidR="00126607">
        <w:rPr>
          <w:lang w:val="en-US"/>
        </w:rPr>
        <w:t xml:space="preserve"> simpler</w:t>
      </w:r>
      <w:r w:rsidR="00A424A7" w:rsidRPr="005247CB">
        <w:rPr>
          <w:lang w:val="en-US"/>
        </w:rPr>
        <w:t xml:space="preserve"> </w:t>
      </w:r>
      <w:r w:rsidR="00733EE6" w:rsidRPr="005247CB">
        <w:rPr>
          <w:lang w:val="en-US"/>
        </w:rPr>
        <w:t xml:space="preserve">decision-tree approaches </w:t>
      </w:r>
      <w:r w:rsidR="00126607">
        <w:rPr>
          <w:lang w:val="en-US"/>
        </w:rPr>
        <w:t>to</w:t>
      </w:r>
      <w:r w:rsidR="00D87C1D" w:rsidRPr="005247CB">
        <w:rPr>
          <w:lang w:val="en-US"/>
        </w:rPr>
        <w:t xml:space="preserve"> </w:t>
      </w:r>
      <w:r w:rsidR="00733EE6" w:rsidRPr="005247CB">
        <w:rPr>
          <w:lang w:val="en-US"/>
        </w:rPr>
        <w:t>design</w:t>
      </w:r>
      <w:r w:rsidR="005A2CA0" w:rsidRPr="005247CB">
        <w:rPr>
          <w:lang w:val="en-US"/>
        </w:rPr>
        <w:t xml:space="preserve"> stockpile size</w:t>
      </w:r>
      <w:r w:rsidR="00402450" w:rsidRPr="005247CB">
        <w:rPr>
          <w:lang w:val="en-US"/>
        </w:rPr>
        <w:t xml:space="preserve"> options </w:t>
      </w:r>
      <w:r w:rsidR="00733EE6" w:rsidRPr="005247CB">
        <w:rPr>
          <w:lang w:val="en-US"/>
        </w:rPr>
        <w:t>aimed at</w:t>
      </w:r>
      <w:r w:rsidR="00402450" w:rsidRPr="005247CB">
        <w:rPr>
          <w:lang w:val="en-US"/>
        </w:rPr>
        <w:t xml:space="preserve"> </w:t>
      </w:r>
      <w:r w:rsidR="00A73A09" w:rsidRPr="005247CB">
        <w:rPr>
          <w:lang w:val="en-US"/>
        </w:rPr>
        <w:t>maximiz</w:t>
      </w:r>
      <w:r w:rsidR="00733EE6" w:rsidRPr="005247CB">
        <w:rPr>
          <w:lang w:val="en-US"/>
        </w:rPr>
        <w:t>ing</w:t>
      </w:r>
      <w:r w:rsidR="00402450" w:rsidRPr="005247CB">
        <w:rPr>
          <w:lang w:val="en-US"/>
        </w:rPr>
        <w:t xml:space="preserve"> economic benefits</w:t>
      </w:r>
      <w:r w:rsidR="003B52AB" w:rsidRPr="005247CB">
        <w:rPr>
          <w:lang w:val="en-US"/>
        </w:rPr>
        <w:t>.</w:t>
      </w:r>
      <w:r w:rsidR="005A2CA0" w:rsidRPr="005247CB">
        <w:rPr>
          <w:lang w:val="en-US"/>
        </w:rPr>
        <w:t xml:space="preserve"> </w:t>
      </w:r>
      <w:r w:rsidR="003B52AB" w:rsidRPr="005247CB">
        <w:rPr>
          <w:lang w:val="en-US"/>
        </w:rPr>
        <w:t>I</w:t>
      </w:r>
      <w:r w:rsidR="005A2CA0" w:rsidRPr="005247CB">
        <w:rPr>
          <w:lang w:val="en-US"/>
        </w:rPr>
        <w:t>n Singapore</w:t>
      </w:r>
      <w:r w:rsidR="00E90E71" w:rsidRPr="005247CB">
        <w:rPr>
          <w:lang w:val="en-US"/>
        </w:rPr>
        <w:t>, the cost-effective treatment-only</w:t>
      </w:r>
      <w:r w:rsidR="00D87C1D" w:rsidRPr="005247CB">
        <w:rPr>
          <w:lang w:val="en-US"/>
        </w:rPr>
        <w:t xml:space="preserve"> oseltamivir stockpile</w:t>
      </w:r>
      <w:r w:rsidR="00E90E71" w:rsidRPr="005247CB">
        <w:rPr>
          <w:lang w:val="en-US"/>
        </w:rPr>
        <w:t xml:space="preserve"> size </w:t>
      </w:r>
      <w:r w:rsidR="00A424A7" w:rsidRPr="005247CB">
        <w:rPr>
          <w:lang w:val="en-US"/>
        </w:rPr>
        <w:t>wa</w:t>
      </w:r>
      <w:r w:rsidR="003B52AB" w:rsidRPr="005247CB">
        <w:rPr>
          <w:lang w:val="en-US"/>
        </w:rPr>
        <w:t>s</w:t>
      </w:r>
      <w:r w:rsidR="00E90E71" w:rsidRPr="005247CB">
        <w:rPr>
          <w:lang w:val="en-US"/>
        </w:rPr>
        <w:t xml:space="preserve"> estimated </w:t>
      </w:r>
      <w:r w:rsidR="00733EE6" w:rsidRPr="005247CB">
        <w:rPr>
          <w:lang w:val="en-US"/>
        </w:rPr>
        <w:t>at</w:t>
      </w:r>
      <w:r w:rsidR="00E90E71" w:rsidRPr="005247CB">
        <w:rPr>
          <w:lang w:val="en-US"/>
        </w:rPr>
        <w:t xml:space="preserve"> 40-60%</w:t>
      </w:r>
      <w:r w:rsidR="00C70215" w:rsidRPr="005247CB">
        <w:rPr>
          <w:lang w:val="en-US"/>
        </w:rPr>
        <w:t xml:space="preserve"> per-capita</w:t>
      </w:r>
      <w:r w:rsidR="00E4782A">
        <w:rPr>
          <w:lang w:val="en-US"/>
        </w:rPr>
        <w:t xml:space="preserve"> </w:t>
      </w:r>
      <w:r w:rsidR="00402450" w:rsidRPr="005247CB">
        <w:rPr>
          <w:lang w:val="en-US"/>
        </w:rPr>
        <w:fldChar w:fldCharType="begin"/>
      </w:r>
      <w:r w:rsidR="006A263E">
        <w:rPr>
          <w:lang w:val="en-US"/>
        </w:rPr>
        <w:instrText xml:space="preserve"> ADDIN ZOTERO_ITEM CSL_CITATION {"citationID":"CPZjUCoo","properties":{"formattedCitation":"(Lee et al., 2006)","plainCitation":"(Lee et al., 2006)","noteIndex":0},"citationItems":[{"id":146,"uris":["http://zotero.org/users/local/0pdZPGmr/items/8DUBFBS3","http://zotero.org/users/9596130/items/8DUBFBS3"],"itemData":{"id":146,"type":"article-journal","abstract":"We compared strategies for stockpiling neuraminidase inhibitors to treat and prevent influenza in Singapore. Cost-benefit and cost-effectiveness analyses, with Monte Carlo simulations, were used to determine economic outcomes. A pandemic in a population of 4.2 million would result in an estimated 525–1,775 deaths, 10,700–38,600 hospitalization days, and economic costs of $0.7 to $2.2 billion Singapore dollars. The treatment-only strategy had optimal economic benefits: stockpiles of antiviral agents for 40% of the population would save an estimated 418 lives and $414 million, at a cost of $52.6 million per shelf-life cycle of the stockpile. Prophylaxis was economically beneficial in high-risk subpopulations, which account for 78% of deaths, and in pandemics in which the death rate was &amp;gt;0.6%. Prophylaxis for pandemics with a 5% case-fatality rate would save 50,000 lives and $81 billion. These models can help policymakers weigh the options for pandemic planning.","container-title":"Emerging Infectious Disease journal","DOI":"10.3201/eid1201.050556","ISSN":"1080-6059","issue":"1","page":"95","title":"Economics of Neuraminidase Inhibitor Stockpiling for Pandemic Influenza, Singapore","volume":"12","author":[{"family":"Lee","given":"Vernon"},{"family":"Phua","given":"Kai Hong"},{"family":"Chen","given":"Mark"},{"family":"Chow","given":"Angela"},{"family":"Ma","given":"Stefan"},{"family":"Goh","given":"Kee Tai"},{"family":"Leo","given":"Yee Sin"}],"issued":{"date-parts":[["2006"]]}}}],"schema":"https://github.com/citation-style-language/schema/raw/master/csl-citation.json"} </w:instrText>
      </w:r>
      <w:r w:rsidR="00402450" w:rsidRPr="005247CB">
        <w:rPr>
          <w:lang w:val="en-US"/>
        </w:rPr>
        <w:fldChar w:fldCharType="separate"/>
      </w:r>
      <w:r w:rsidR="006A263E">
        <w:rPr>
          <w:lang w:val="en-US"/>
        </w:rPr>
        <w:t>(Lee et al., 2006)</w:t>
      </w:r>
      <w:r w:rsidR="00402450" w:rsidRPr="005247CB">
        <w:rPr>
          <w:lang w:val="en-US"/>
        </w:rPr>
        <w:fldChar w:fldCharType="end"/>
      </w:r>
      <w:r w:rsidR="00402450" w:rsidRPr="005247CB">
        <w:rPr>
          <w:lang w:val="en-US"/>
        </w:rPr>
        <w:t xml:space="preserve"> while</w:t>
      </w:r>
      <w:r w:rsidR="00B852AE" w:rsidRPr="005247CB">
        <w:rPr>
          <w:lang w:val="en-US"/>
        </w:rPr>
        <w:t xml:space="preserve"> </w:t>
      </w:r>
      <w:r w:rsidR="00DD0BB1" w:rsidRPr="005247CB">
        <w:rPr>
          <w:lang w:val="en-US"/>
        </w:rPr>
        <w:t xml:space="preserve">Siddiqui et al. </w:t>
      </w:r>
      <w:r w:rsidR="00D87C1D" w:rsidRPr="005247CB">
        <w:rPr>
          <w:lang w:val="en-US"/>
        </w:rPr>
        <w:t>suggest that</w:t>
      </w:r>
      <w:r w:rsidR="00DD0BB1" w:rsidRPr="005247CB">
        <w:rPr>
          <w:lang w:val="en-US"/>
        </w:rPr>
        <w:t xml:space="preserve"> </w:t>
      </w:r>
      <w:r w:rsidR="006A51F6" w:rsidRPr="005247CB">
        <w:rPr>
          <w:lang w:val="en-US"/>
        </w:rPr>
        <w:t>stockpil</w:t>
      </w:r>
      <w:r w:rsidR="00D87C1D" w:rsidRPr="005247CB">
        <w:rPr>
          <w:lang w:val="en-US"/>
        </w:rPr>
        <w:t>ing</w:t>
      </w:r>
      <w:r w:rsidR="006A51F6" w:rsidRPr="005247CB">
        <w:rPr>
          <w:lang w:val="en-US"/>
        </w:rPr>
        <w:t xml:space="preserve"> oseltamivir</w:t>
      </w:r>
      <w:r w:rsidR="00DD0BB1" w:rsidRPr="005247CB">
        <w:rPr>
          <w:lang w:val="en-US"/>
        </w:rPr>
        <w:t xml:space="preserve"> for the entire population</w:t>
      </w:r>
      <w:r w:rsidR="00A424A7" w:rsidRPr="005247CB">
        <w:rPr>
          <w:lang w:val="en-US"/>
        </w:rPr>
        <w:t xml:space="preserve"> of the UK</w:t>
      </w:r>
      <w:r w:rsidR="009A7FB0" w:rsidRPr="005247CB">
        <w:rPr>
          <w:lang w:val="en-US"/>
        </w:rPr>
        <w:t xml:space="preserve"> for treatment</w:t>
      </w:r>
      <w:r w:rsidR="00D87C1D" w:rsidRPr="005247CB">
        <w:rPr>
          <w:lang w:val="en-US"/>
        </w:rPr>
        <w:t xml:space="preserve"> </w:t>
      </w:r>
      <w:r w:rsidR="003B52AB" w:rsidRPr="005247CB">
        <w:rPr>
          <w:lang w:val="en-US"/>
        </w:rPr>
        <w:t>is</w:t>
      </w:r>
      <w:r w:rsidR="00D87C1D" w:rsidRPr="005247CB">
        <w:rPr>
          <w:lang w:val="en-US"/>
        </w:rPr>
        <w:t xml:space="preserve"> more prudent </w:t>
      </w:r>
      <w:r w:rsidR="008F5B9C" w:rsidRPr="005247CB">
        <w:rPr>
          <w:lang w:val="en-US"/>
        </w:rPr>
        <w:t xml:space="preserve">since </w:t>
      </w:r>
      <w:r w:rsidR="00B852AE" w:rsidRPr="005247CB">
        <w:rPr>
          <w:lang w:val="en-US"/>
        </w:rPr>
        <w:t>the</w:t>
      </w:r>
      <w:r w:rsidR="008F5B9C" w:rsidRPr="005247CB">
        <w:rPr>
          <w:lang w:val="en-US"/>
        </w:rPr>
        <w:t xml:space="preserve"> </w:t>
      </w:r>
      <w:r w:rsidR="006A51F6" w:rsidRPr="005247CB">
        <w:rPr>
          <w:lang w:val="en-US"/>
        </w:rPr>
        <w:t>attack rate</w:t>
      </w:r>
      <w:r w:rsidR="00B852AE" w:rsidRPr="005247CB">
        <w:rPr>
          <w:lang w:val="en-US"/>
        </w:rPr>
        <w:t xml:space="preserve"> of the</w:t>
      </w:r>
      <w:r w:rsidR="008F5B9C" w:rsidRPr="005247CB">
        <w:rPr>
          <w:lang w:val="en-US"/>
        </w:rPr>
        <w:t xml:space="preserve"> future</w:t>
      </w:r>
      <w:r w:rsidR="00B852AE" w:rsidRPr="005247CB">
        <w:rPr>
          <w:lang w:val="en-US"/>
        </w:rPr>
        <w:t xml:space="preserve"> pandemic virus</w:t>
      </w:r>
      <w:r w:rsidR="00C029FA" w:rsidRPr="005247CB">
        <w:rPr>
          <w:lang w:val="en-US"/>
        </w:rPr>
        <w:t xml:space="preserve"> is unknown</w:t>
      </w:r>
      <w:r w:rsidR="00F828FE">
        <w:rPr>
          <w:lang w:val="en-US"/>
        </w:rPr>
        <w:t xml:space="preserve"> </w:t>
      </w:r>
      <w:r w:rsidR="00DD0BB1" w:rsidRPr="005247CB">
        <w:rPr>
          <w:lang w:val="en-US"/>
        </w:rPr>
        <w:fldChar w:fldCharType="begin"/>
      </w:r>
      <w:r w:rsidR="006A263E">
        <w:rPr>
          <w:lang w:val="en-US"/>
        </w:rPr>
        <w:instrText xml:space="preserve"> ADDIN ZOTERO_ITEM CSL_CITATION {"citationID":"VcqbAruy","properties":{"formattedCitation":"(Siddiqui and Edmunds, 2008)","plainCitation":"(Siddiqui and Edmunds, 2008)","noteIndex":0},"citationItems":[{"id":151,"uris":["http://zotero.org/users/local/0pdZPGmr/items/QPTGPF5A","http://zotero.org/users/9596130/items/QPTGPF5A"],"itemData":{"id":151,"type":"article-journal","abstract":"A decision analytical model was developed to investigate the cost-effectiveness of stockpiling antiviral (AV) drugs for a potential influenza pandemic in the United Kingdom and the possible role of near-patient testing in conserving AV drug stocks. Under base-case assumptions (including a fixed stockpile that was smaller than the clinical attack rate), the treat-only option (treating all symptomatic patients with AV drugs) would be considered cost-effective (£1,900–£13,700 per quality-adjusted life year [QALY] gained, depending on the fatality scenario), compared with no intervention (nonintervention but management of cases as they arise). The test-treat option (testing all symptomatic patients but treating those with positive tests results only) would result in moderate gains in QALYs over the treat-only option but at relatively large additional costs. Stockpiling sufficient AV drugs (but not near-patient tests) to treat all patients with clinical cases would be cost-effective, provided AV drugs are effective at preventing deaths from pandemic influenza.","container-title":"Emerging Infectious Disease journal","DOI":"10.3201/eid1402.070478","ISSN":"1080-6059","issue":"2","page":"267","title":"Cost-effectiveness of Antiviral Stockpiling and Near-Patient Testing for Potential Influenza Pandemic","volume":"14","author":[{"family":"Siddiqui","given":"M. Ruby"},{"family":"Edmunds","given":"W. John"}],"issued":{"date-parts":[["2008"]]}}}],"schema":"https://github.com/citation-style-language/schema/raw/master/csl-citation.json"} </w:instrText>
      </w:r>
      <w:r w:rsidR="00DD0BB1" w:rsidRPr="005247CB">
        <w:rPr>
          <w:lang w:val="en-US"/>
        </w:rPr>
        <w:fldChar w:fldCharType="separate"/>
      </w:r>
      <w:r w:rsidR="006A263E">
        <w:rPr>
          <w:lang w:val="en-US"/>
        </w:rPr>
        <w:t>(Siddiqui and Edmunds, 2008)</w:t>
      </w:r>
      <w:r w:rsidR="00DD0BB1" w:rsidRPr="005247CB">
        <w:rPr>
          <w:lang w:val="en-US"/>
        </w:rPr>
        <w:fldChar w:fldCharType="end"/>
      </w:r>
      <w:r w:rsidR="00F828FE">
        <w:rPr>
          <w:lang w:val="en-US"/>
        </w:rPr>
        <w:t>.</w:t>
      </w:r>
      <w:r w:rsidR="00A80886" w:rsidRPr="005247CB">
        <w:rPr>
          <w:lang w:val="en-US"/>
        </w:rPr>
        <w:t xml:space="preserve"> </w:t>
      </w:r>
      <w:r w:rsidR="006A51F6" w:rsidRPr="005247CB">
        <w:rPr>
          <w:lang w:val="en-US"/>
        </w:rPr>
        <w:t>In contrast,</w:t>
      </w:r>
      <w:r w:rsidR="00242233" w:rsidRPr="005247CB">
        <w:rPr>
          <w:lang w:val="en-US"/>
        </w:rPr>
        <w:t xml:space="preserve"> a</w:t>
      </w:r>
      <w:r w:rsidR="00651241" w:rsidRPr="005247CB">
        <w:rPr>
          <w:lang w:val="en-US"/>
        </w:rPr>
        <w:t xml:space="preserve"> </w:t>
      </w:r>
      <w:r w:rsidR="00B7302B" w:rsidRPr="005247CB">
        <w:rPr>
          <w:lang w:val="en-US"/>
        </w:rPr>
        <w:t xml:space="preserve">dynamic transmission </w:t>
      </w:r>
      <w:r w:rsidR="008E1527" w:rsidRPr="005247CB">
        <w:rPr>
          <w:lang w:val="en-US"/>
        </w:rPr>
        <w:t>model</w:t>
      </w:r>
      <w:r w:rsidR="00242233" w:rsidRPr="005247CB">
        <w:rPr>
          <w:lang w:val="en-US"/>
        </w:rPr>
        <w:t xml:space="preserve"> </w:t>
      </w:r>
      <w:r w:rsidR="00651241" w:rsidRPr="005247CB">
        <w:rPr>
          <w:lang w:val="en-US"/>
        </w:rPr>
        <w:t>applied to ten countries,</w:t>
      </w:r>
      <w:r w:rsidR="00D87C1D" w:rsidRPr="005247CB">
        <w:rPr>
          <w:lang w:val="en-US"/>
        </w:rPr>
        <w:t xml:space="preserve"> </w:t>
      </w:r>
      <w:r w:rsidR="00651241" w:rsidRPr="005247CB">
        <w:rPr>
          <w:lang w:val="en-US"/>
        </w:rPr>
        <w:t>including</w:t>
      </w:r>
      <w:r w:rsidR="00D51FC7" w:rsidRPr="005247CB">
        <w:rPr>
          <w:lang w:val="en-US"/>
        </w:rPr>
        <w:t xml:space="preserve"> Singapore and UK</w:t>
      </w:r>
      <w:r w:rsidR="00242233" w:rsidRPr="005247CB">
        <w:rPr>
          <w:lang w:val="en-US"/>
        </w:rPr>
        <w:t>,</w:t>
      </w:r>
      <w:r w:rsidR="00D87C1D" w:rsidRPr="005247CB">
        <w:rPr>
          <w:lang w:val="en-US"/>
        </w:rPr>
        <w:t xml:space="preserve"> </w:t>
      </w:r>
      <w:r w:rsidR="008207C4" w:rsidRPr="005247CB">
        <w:rPr>
          <w:lang w:val="en-US"/>
        </w:rPr>
        <w:t>estimat</w:t>
      </w:r>
      <w:r w:rsidR="008E1527" w:rsidRPr="005247CB">
        <w:rPr>
          <w:lang w:val="en-US"/>
        </w:rPr>
        <w:t>e</w:t>
      </w:r>
      <w:r w:rsidR="00A424A7" w:rsidRPr="005247CB">
        <w:rPr>
          <w:lang w:val="en-US"/>
        </w:rPr>
        <w:t>d</w:t>
      </w:r>
      <w:r w:rsidR="00D87C1D" w:rsidRPr="005247CB">
        <w:rPr>
          <w:lang w:val="en-US"/>
        </w:rPr>
        <w:t xml:space="preserve"> </w:t>
      </w:r>
      <w:r w:rsidR="008207C4" w:rsidRPr="005247CB">
        <w:rPr>
          <w:lang w:val="en-US"/>
        </w:rPr>
        <w:t>a</w:t>
      </w:r>
      <w:r w:rsidR="009A7FB0" w:rsidRPr="005247CB">
        <w:rPr>
          <w:lang w:val="en-US"/>
        </w:rPr>
        <w:t xml:space="preserve"> much smaller</w:t>
      </w:r>
      <w:r w:rsidR="00F11590" w:rsidRPr="005247CB">
        <w:rPr>
          <w:lang w:val="en-US"/>
        </w:rPr>
        <w:t xml:space="preserve"> tre</w:t>
      </w:r>
      <w:r w:rsidR="00971B19" w:rsidRPr="005247CB">
        <w:rPr>
          <w:lang w:val="en-US"/>
        </w:rPr>
        <w:t>atment-only</w:t>
      </w:r>
      <w:r w:rsidR="008B2FA8" w:rsidRPr="005247CB">
        <w:rPr>
          <w:lang w:val="en-US"/>
        </w:rPr>
        <w:t xml:space="preserve"> oseltamivir stockpile</w:t>
      </w:r>
      <w:r w:rsidR="00446FEC" w:rsidRPr="005247CB">
        <w:rPr>
          <w:lang w:val="en-US"/>
        </w:rPr>
        <w:t xml:space="preserve"> size</w:t>
      </w:r>
      <w:r w:rsidR="00C173E2" w:rsidRPr="005247CB">
        <w:rPr>
          <w:lang w:val="en-US"/>
        </w:rPr>
        <w:t xml:space="preserve"> of 15-25%</w:t>
      </w:r>
      <w:r w:rsidR="00446FEC" w:rsidRPr="005247CB">
        <w:rPr>
          <w:lang w:val="en-US"/>
        </w:rPr>
        <w:t xml:space="preserve"> per-capita</w:t>
      </w:r>
      <w:r w:rsidR="006A51F6" w:rsidRPr="005247CB">
        <w:rPr>
          <w:lang w:val="en-US"/>
        </w:rPr>
        <w:t xml:space="preserve"> </w:t>
      </w:r>
      <w:r w:rsidR="008E1527" w:rsidRPr="005247CB">
        <w:rPr>
          <w:lang w:val="en-US"/>
        </w:rPr>
        <w:t>to</w:t>
      </w:r>
      <w:r w:rsidR="00F11590" w:rsidRPr="005247CB">
        <w:rPr>
          <w:lang w:val="en-US"/>
        </w:rPr>
        <w:t xml:space="preserve"> minim</w:t>
      </w:r>
      <w:r w:rsidR="005247CB">
        <w:rPr>
          <w:lang w:val="en-US"/>
        </w:rPr>
        <w:t>ise</w:t>
      </w:r>
      <w:r w:rsidR="00F11590" w:rsidRPr="005247CB">
        <w:rPr>
          <w:lang w:val="en-US"/>
        </w:rPr>
        <w:t xml:space="preserve"> mortality rates and economic costs</w:t>
      </w:r>
      <w:r w:rsidR="008B2FA8" w:rsidRPr="005247CB">
        <w:rPr>
          <w:lang w:val="en-US"/>
        </w:rPr>
        <w:t xml:space="preserve"> </w:t>
      </w:r>
      <w:r w:rsidR="00F11590" w:rsidRPr="005247CB">
        <w:rPr>
          <w:lang w:val="en-US"/>
        </w:rPr>
        <w:t>while also finding</w:t>
      </w:r>
      <w:r w:rsidR="00B62EAA" w:rsidRPr="005247CB">
        <w:rPr>
          <w:lang w:val="en-US"/>
        </w:rPr>
        <w:t xml:space="preserve"> </w:t>
      </w:r>
      <w:r w:rsidR="00D87C1D" w:rsidRPr="005247CB">
        <w:rPr>
          <w:lang w:val="en-US"/>
        </w:rPr>
        <w:t>little benefit in giving</w:t>
      </w:r>
      <w:r w:rsidR="00F11590" w:rsidRPr="005247CB">
        <w:rPr>
          <w:lang w:val="en-US"/>
        </w:rPr>
        <w:t xml:space="preserve"> antiviral prophylaxis to </w:t>
      </w:r>
      <w:r w:rsidR="00D87C1D" w:rsidRPr="005247CB">
        <w:rPr>
          <w:lang w:val="en-US"/>
        </w:rPr>
        <w:t>exposed contacts</w:t>
      </w:r>
      <w:r w:rsidR="00D0373F">
        <w:rPr>
          <w:lang w:val="en-US"/>
        </w:rPr>
        <w:t xml:space="preserve"> </w:t>
      </w:r>
      <w:r w:rsidR="006F4B58" w:rsidRPr="005247CB">
        <w:rPr>
          <w:lang w:val="en-US"/>
        </w:rPr>
        <w:fldChar w:fldCharType="begin"/>
      </w:r>
      <w:r w:rsidR="006A263E">
        <w:rPr>
          <w:lang w:val="en-US"/>
        </w:rPr>
        <w:instrText xml:space="preserve"> ADDIN ZOTERO_ITEM CSL_CITATION {"citationID":"Xa3LstLH","properties":{"formattedCitation":"(Carrasco et al., 2011)","plainCitation":"(Carrasco et al., 2011)","noteIndex":0},"citationItems":[{"id":149,"uris":["http://zotero.org/users/local/0pdZPGmr/items/38UZ29FY","http://zotero.org/users/9596130/items/38UZ29FY"],"itemData":{"id":149,"type":"article-journal","container-title":"Journal of The Royal Society Interface","DOI":"10.1098/rsif.2010.0715","issue":"62","journalAbbreviation":"Journal of The Royal Society Interface","note":"publisher: Royal Society","page":"1307-1313","title":"Strategies for antiviral stockpiling for future influenza pandemics: a global epidemic-economic perspective","volume":"8","author":[{"family":"Carrasco","given":"Luis R."},{"family":"Lee","given":"Vernon J."},{"family":"Chen","given":"Mark I."},{"family":"Matchar","given":"David B."},{"family":"Thompson","given":"James P."},{"family":"Cook","given":"Alex R."}],"issued":{"date-parts":[["2011",2,4]]}}}],"schema":"https://github.com/citation-style-language/schema/raw/master/csl-citation.json"} </w:instrText>
      </w:r>
      <w:r w:rsidR="006F4B58" w:rsidRPr="005247CB">
        <w:rPr>
          <w:lang w:val="en-US"/>
        </w:rPr>
        <w:fldChar w:fldCharType="separate"/>
      </w:r>
      <w:r w:rsidR="006A263E">
        <w:rPr>
          <w:lang w:val="en-US"/>
        </w:rPr>
        <w:t>(Carrasco et al., 2011)</w:t>
      </w:r>
      <w:r w:rsidR="006F4B58" w:rsidRPr="005247CB">
        <w:rPr>
          <w:lang w:val="en-US"/>
        </w:rPr>
        <w:fldChar w:fldCharType="end"/>
      </w:r>
      <w:r w:rsidR="00D0373F">
        <w:rPr>
          <w:lang w:val="en-US"/>
        </w:rPr>
        <w:t>.</w:t>
      </w:r>
      <w:r w:rsidR="00D6311B" w:rsidRPr="005247CB">
        <w:rPr>
          <w:lang w:val="en-US"/>
        </w:rPr>
        <w:t xml:space="preserve"> </w:t>
      </w:r>
      <w:r w:rsidR="00107D10" w:rsidRPr="005247CB">
        <w:rPr>
          <w:lang w:val="en-US"/>
        </w:rPr>
        <w:t xml:space="preserve">Other studies, </w:t>
      </w:r>
      <w:r w:rsidR="0019417D" w:rsidRPr="005247CB">
        <w:rPr>
          <w:lang w:val="en-US"/>
        </w:rPr>
        <w:t>differently conclude that restricting antivirals for treatment is</w:t>
      </w:r>
      <w:r w:rsidR="00107D10" w:rsidRPr="005247CB">
        <w:rPr>
          <w:lang w:val="en-US"/>
        </w:rPr>
        <w:t xml:space="preserve"> </w:t>
      </w:r>
      <w:r w:rsidR="00A913D1" w:rsidRPr="005247CB">
        <w:rPr>
          <w:lang w:val="en-US"/>
        </w:rPr>
        <w:t>in</w:t>
      </w:r>
      <w:r w:rsidR="00107D10" w:rsidRPr="005247CB">
        <w:rPr>
          <w:lang w:val="en-US"/>
        </w:rPr>
        <w:t>effectiv</w:t>
      </w:r>
      <w:r w:rsidR="0019417D" w:rsidRPr="005247CB">
        <w:rPr>
          <w:lang w:val="en-US"/>
        </w:rPr>
        <w:t>e</w:t>
      </w:r>
      <w:r w:rsidR="008F6AB1" w:rsidRPr="005247CB">
        <w:rPr>
          <w:lang w:val="en-US"/>
        </w:rPr>
        <w:t xml:space="preserve"> at limiting the </w:t>
      </w:r>
      <w:r w:rsidR="006A2B85" w:rsidRPr="005247CB">
        <w:rPr>
          <w:lang w:val="en-US"/>
        </w:rPr>
        <w:t>impact</w:t>
      </w:r>
      <w:r w:rsidR="008F6AB1" w:rsidRPr="005247CB">
        <w:rPr>
          <w:lang w:val="en-US"/>
        </w:rPr>
        <w:t xml:space="preserve"> of the pandemic virus</w:t>
      </w:r>
      <w:r w:rsidR="00C202D8">
        <w:rPr>
          <w:lang w:val="en-US"/>
        </w:rPr>
        <w:t xml:space="preserve"> </w:t>
      </w:r>
      <w:r w:rsidR="00A913D1" w:rsidRPr="005247CB">
        <w:rPr>
          <w:lang w:val="en-US"/>
        </w:rPr>
        <w:fldChar w:fldCharType="begin"/>
      </w:r>
      <w:r w:rsidR="006A263E">
        <w:rPr>
          <w:lang w:val="en-US"/>
        </w:rPr>
        <w:instrText xml:space="preserve"> ADDIN ZOTERO_ITEM CSL_CITATION {"citationID":"ze2NghW9","properties":{"formattedCitation":"(McCaw and McVernon, 2007)","plainCitation":"(McCaw and McVernon, 2007)","noteIndex":0},"citationItems":[{"id":155,"uris":["http://zotero.org/users/local/0pdZPGmr/items/QEEPVR3D","http://zotero.org/users/9596130/items/QEEPVR3D"],"itemData":{"id":155,"type":"article-journal","abstract":"We introduce a novel mathematical model that effectively incorporates contact tracing in a realistic distribution mechanism for antiviral drugs in an influenza pandemic scenario. A strategy focused on targeted provision of post-exposure prophylaxis, rather than treatment, will provide the greatest chance of minimising the impact of an influenza pandemic. Targeted post-exposure prophylaxis delays the onset of the pandemic and for a wide range of parameter values, a delay of the order of 6–18 months may be achievable. This may provide enough time to develop and distribute a vaccine. In contrast, a treatment based strategy typically does not delay the onset of a pandemic by an appreciable amount and, in general, is not capable of significantly reducing the attack rate from baseline.","container-title":"Mathematical Biosciences","DOI":"10.1016/j.mbs.2007.02.003","ISSN":"0025-5564","issue":"2","journalAbbreviation":"Mathematical Biosciences","page":"336-360","title":"Prophylaxis or treatment? Optimal use of an antiviral stockpile during an influenza pandemic","volume":"209","author":[{"family":"McCaw","given":"James M."},{"family":"McVernon","given":"Jodie"}],"issued":{"date-parts":[["2007",10,1]]}}}],"schema":"https://github.com/citation-style-language/schema/raw/master/csl-citation.json"} </w:instrText>
      </w:r>
      <w:r w:rsidR="00A913D1" w:rsidRPr="005247CB">
        <w:rPr>
          <w:lang w:val="en-US"/>
        </w:rPr>
        <w:fldChar w:fldCharType="separate"/>
      </w:r>
      <w:r w:rsidR="006A263E">
        <w:rPr>
          <w:lang w:val="en-US"/>
        </w:rPr>
        <w:t>(McCaw and McVernon, 2007)</w:t>
      </w:r>
      <w:r w:rsidR="00A913D1" w:rsidRPr="005247CB">
        <w:rPr>
          <w:lang w:val="en-US"/>
        </w:rPr>
        <w:fldChar w:fldCharType="end"/>
      </w:r>
      <w:r w:rsidR="00C202D8">
        <w:rPr>
          <w:lang w:val="en-US"/>
        </w:rPr>
        <w:t>,</w:t>
      </w:r>
      <w:r w:rsidR="007833B3" w:rsidRPr="005247CB">
        <w:rPr>
          <w:lang w:val="en-US"/>
        </w:rPr>
        <w:t xml:space="preserve"> </w:t>
      </w:r>
      <w:r w:rsidR="0039458F" w:rsidRPr="005247CB">
        <w:rPr>
          <w:lang w:val="en-US"/>
        </w:rPr>
        <w:t xml:space="preserve">or </w:t>
      </w:r>
      <w:r w:rsidR="00891441" w:rsidRPr="005247CB">
        <w:rPr>
          <w:lang w:val="en-US"/>
        </w:rPr>
        <w:t>that s</w:t>
      </w:r>
      <w:r w:rsidR="004E11B5" w:rsidRPr="005247CB">
        <w:rPr>
          <w:lang w:val="en-US"/>
        </w:rPr>
        <w:t>pread</w:t>
      </w:r>
      <w:r w:rsidR="004E19FF" w:rsidRPr="005247CB">
        <w:rPr>
          <w:lang w:val="en-US"/>
        </w:rPr>
        <w:t xml:space="preserve"> of the</w:t>
      </w:r>
      <w:r w:rsidR="004E11B5" w:rsidRPr="005247CB">
        <w:rPr>
          <w:lang w:val="en-US"/>
        </w:rPr>
        <w:t xml:space="preserve"> pandemic</w:t>
      </w:r>
      <w:r w:rsidR="004E19FF" w:rsidRPr="005247CB">
        <w:rPr>
          <w:lang w:val="en-US"/>
        </w:rPr>
        <w:t xml:space="preserve"> virus </w:t>
      </w:r>
      <w:r w:rsidR="009F6CF2" w:rsidRPr="005247CB">
        <w:rPr>
          <w:lang w:val="en-US"/>
        </w:rPr>
        <w:t>can</w:t>
      </w:r>
      <w:r w:rsidR="004E19FF" w:rsidRPr="005247CB">
        <w:rPr>
          <w:lang w:val="en-US"/>
        </w:rPr>
        <w:t xml:space="preserve"> only be constrained under </w:t>
      </w:r>
      <w:r w:rsidR="006B4412" w:rsidRPr="005247CB">
        <w:rPr>
          <w:lang w:val="en-US"/>
        </w:rPr>
        <w:t>wide</w:t>
      </w:r>
      <w:r w:rsidR="000778C2" w:rsidRPr="005247CB">
        <w:rPr>
          <w:lang w:val="en-US"/>
        </w:rPr>
        <w:t>spread</w:t>
      </w:r>
      <w:r w:rsidR="004E19FF" w:rsidRPr="005247CB">
        <w:rPr>
          <w:lang w:val="en-US"/>
        </w:rPr>
        <w:t xml:space="preserve"> distribution of post-exposure prophylaxis</w:t>
      </w:r>
      <w:r w:rsidR="003E66DC" w:rsidRPr="005247CB">
        <w:rPr>
          <w:lang w:val="en-US"/>
        </w:rPr>
        <w:t xml:space="preserve"> (</w:t>
      </w:r>
      <w:r w:rsidR="007153B3" w:rsidRPr="005247CB">
        <w:rPr>
          <w:lang w:val="en-US"/>
        </w:rPr>
        <w:t xml:space="preserve">PEP), </w:t>
      </w:r>
      <w:r w:rsidR="0039458F" w:rsidRPr="005247CB">
        <w:rPr>
          <w:lang w:val="en-US"/>
        </w:rPr>
        <w:t>covering</w:t>
      </w:r>
      <w:r w:rsidR="003E66DC" w:rsidRPr="005247CB">
        <w:rPr>
          <w:lang w:val="en-US"/>
        </w:rPr>
        <w:t xml:space="preserve"> 20-50% of exposed contacts</w:t>
      </w:r>
      <w:r w:rsidR="00421B5D">
        <w:rPr>
          <w:lang w:val="en-US"/>
        </w:rPr>
        <w:t xml:space="preserve"> </w:t>
      </w:r>
      <w:r w:rsidR="004E11B5" w:rsidRPr="005247CB">
        <w:rPr>
          <w:lang w:val="en-US"/>
        </w:rPr>
        <w:fldChar w:fldCharType="begin"/>
      </w:r>
      <w:r w:rsidR="006A263E">
        <w:rPr>
          <w:lang w:val="en-US"/>
        </w:rPr>
        <w:instrText xml:space="preserve"> ADDIN ZOTERO_ITEM CSL_CITATION {"citationID":"dtY0HmgR","properties":{"formattedCitation":"(McVernon et al., 2010)","plainCitation":"(McVernon et al., 2010)","noteIndex":0},"citationItems":[{"id":145,"uris":["http://zotero.org/users/local/0pdZPGmr/items/6QAZREVZ","http://zotero.org/users/9596130/items/6QAZREVZ"],"itemData":{"id":145,"type":"article-journal","abstract":"Objective\nTo define optimum use of the national antiviral stockpile during the early phases of the response to pandemic influenza in Australia, to inform the 2008 revision of the Australian Health Management Plan for Pandemic Influenza.\nMethods\nA mathematical model was used to compare strategic uses of antiviral agents for treatment and post</w:instrText>
      </w:r>
      <w:r w:rsidR="006A263E">
        <w:rPr>
          <w:rFonts w:ascii="Cambria Math" w:hAnsi="Cambria Math" w:cs="Cambria Math"/>
          <w:lang w:val="en-US"/>
        </w:rPr>
        <w:instrText>‐</w:instrText>
      </w:r>
      <w:r w:rsidR="006A263E">
        <w:rPr>
          <w:lang w:val="en-US"/>
        </w:rPr>
        <w:instrText>exposure prophylaxis to limit transmission until availability of a strain</w:instrText>
      </w:r>
      <w:r w:rsidR="006A263E">
        <w:rPr>
          <w:rFonts w:ascii="Cambria Math" w:hAnsi="Cambria Math" w:cs="Cambria Math"/>
          <w:lang w:val="en-US"/>
        </w:rPr>
        <w:instrText>‐</w:instrText>
      </w:r>
      <w:r w:rsidR="006A263E">
        <w:rPr>
          <w:lang w:val="en-US"/>
        </w:rPr>
        <w:instrText>specific vaccine. The impact of provision of pre</w:instrText>
      </w:r>
      <w:r w:rsidR="006A263E">
        <w:rPr>
          <w:rFonts w:ascii="Cambria Math" w:hAnsi="Cambria Math" w:cs="Cambria Math"/>
          <w:lang w:val="en-US"/>
        </w:rPr>
        <w:instrText>‐</w:instrText>
      </w:r>
      <w:r w:rsidR="006A263E">
        <w:rPr>
          <w:lang w:val="en-US"/>
        </w:rPr>
        <w:instrText>exposure prophylaxis to healthcare workers (HCWs) on the ability to control the epidemic was also assessed.\nResults\nOptimal constraint of epidemic growth was achieved by intensive ascertainment of contacts of cases for post</w:instrText>
      </w:r>
      <w:r w:rsidR="006A263E">
        <w:rPr>
          <w:rFonts w:ascii="Cambria Math" w:hAnsi="Cambria Math" w:cs="Cambria Math"/>
          <w:lang w:val="en-US"/>
        </w:rPr>
        <w:instrText>‐</w:instrText>
      </w:r>
      <w:r w:rsidR="006A263E">
        <w:rPr>
          <w:lang w:val="en-US"/>
        </w:rPr>
        <w:instrText>exposure prophylaxis for as long as feasible. While pre</w:instrText>
      </w:r>
      <w:r w:rsidR="006A263E">
        <w:rPr>
          <w:rFonts w:ascii="Cambria Math" w:hAnsi="Cambria Math" w:cs="Cambria Math"/>
          <w:lang w:val="en-US"/>
        </w:rPr>
        <w:instrText>‐</w:instrText>
      </w:r>
      <w:r w:rsidR="006A263E">
        <w:rPr>
          <w:lang w:val="en-US"/>
        </w:rPr>
        <w:instrText>exposure prophylaxis of healthcare workers utilised a substantial proportion of the stockpile, this did not impede disease control or the ability to treat cases. Absolute delays to outbreak depended on both the intervention strategy and the growth rate of the epidemic. As vaccination was only effective when introduced before explosive growth, this timing was critical to success.\nConclusions and implications\nLiberal distribution of antiviral drugs to limit disease spread for as long as is feasible represents optimal use of these agents to constrain epidemic growth. In reality, additional non</w:instrText>
      </w:r>
      <w:r w:rsidR="006A263E">
        <w:rPr>
          <w:rFonts w:ascii="Cambria Math" w:hAnsi="Cambria Math" w:cs="Cambria Math"/>
          <w:lang w:val="en-US"/>
        </w:rPr>
        <w:instrText>‐</w:instrText>
      </w:r>
      <w:r w:rsidR="006A263E">
        <w:rPr>
          <w:lang w:val="en-US"/>
        </w:rPr>
        <w:instrText xml:space="preserve">pharmaceutical control measures are likely to be required to control transmission until vaccines can definitively contain pandemic influenza outbreaks.","container-title":"Australian and New Zealand Journal of Public Health","DOI":"10.1111/j.1753-6405.2010.00493.x","ISSN":"1326-0200","issue":"2","journalAbbreviation":"Australian and New Zealand Journal of Public Health","page":"113-119","title":"Modelling strategic use of the national antiviral stockpile during the CONTAIN and SUSTAIN phases of an Australian pandemic influenza response","volume":"34","author":[{"family":"McVernon","given":"Jodie"},{"family":"McCaw","given":"James M."},{"family":"Nolan","given":"Terence M."}],"issued":{"date-parts":[["2010",4,1]]}}}],"schema":"https://github.com/citation-style-language/schema/raw/master/csl-citation.json"} </w:instrText>
      </w:r>
      <w:r w:rsidR="004E11B5" w:rsidRPr="005247CB">
        <w:rPr>
          <w:lang w:val="en-US"/>
        </w:rPr>
        <w:fldChar w:fldCharType="separate"/>
      </w:r>
      <w:r w:rsidR="006A263E">
        <w:rPr>
          <w:lang w:val="en-US"/>
        </w:rPr>
        <w:t>(McVernon et al., 2010)</w:t>
      </w:r>
      <w:r w:rsidR="004E11B5" w:rsidRPr="005247CB">
        <w:rPr>
          <w:lang w:val="en-US"/>
        </w:rPr>
        <w:fldChar w:fldCharType="end"/>
      </w:r>
      <w:r w:rsidR="004E19FF" w:rsidRPr="005247CB">
        <w:rPr>
          <w:lang w:val="en-US"/>
        </w:rPr>
        <w:t xml:space="preserve"> </w:t>
      </w:r>
      <w:r w:rsidR="0039458F" w:rsidRPr="005247CB">
        <w:rPr>
          <w:lang w:val="en-US"/>
        </w:rPr>
        <w:t xml:space="preserve">or </w:t>
      </w:r>
      <w:r w:rsidR="004E19FF" w:rsidRPr="005247CB">
        <w:rPr>
          <w:lang w:val="en-US"/>
        </w:rPr>
        <w:t xml:space="preserve">that </w:t>
      </w:r>
      <w:r w:rsidR="0039458F" w:rsidRPr="005247CB">
        <w:rPr>
          <w:lang w:val="en-US"/>
        </w:rPr>
        <w:t xml:space="preserve">a nascent </w:t>
      </w:r>
      <w:r w:rsidR="004E19FF" w:rsidRPr="005247CB">
        <w:rPr>
          <w:lang w:val="en-US"/>
        </w:rPr>
        <w:t xml:space="preserve">pandemic </w:t>
      </w:r>
      <w:r w:rsidR="00A925E1" w:rsidRPr="005247CB">
        <w:rPr>
          <w:lang w:val="en-US"/>
        </w:rPr>
        <w:t>can</w:t>
      </w:r>
      <w:r w:rsidR="004E19FF" w:rsidRPr="005247CB">
        <w:rPr>
          <w:lang w:val="en-US"/>
        </w:rPr>
        <w:t xml:space="preserve"> even be contained</w:t>
      </w:r>
      <w:r w:rsidR="003E4788" w:rsidRPr="005247CB">
        <w:rPr>
          <w:lang w:val="en-US"/>
        </w:rPr>
        <w:t xml:space="preserve"> at </w:t>
      </w:r>
      <w:r w:rsidR="00D20046" w:rsidRPr="005247CB">
        <w:rPr>
          <w:lang w:val="en-US"/>
        </w:rPr>
        <w:t xml:space="preserve">its source </w:t>
      </w:r>
      <w:r w:rsidR="00C33031" w:rsidRPr="005247CB">
        <w:rPr>
          <w:lang w:val="en-US"/>
        </w:rPr>
        <w:t>if</w:t>
      </w:r>
      <w:r w:rsidR="00107D10" w:rsidRPr="005247CB">
        <w:rPr>
          <w:lang w:val="en-US"/>
        </w:rPr>
        <w:t xml:space="preserve"> </w:t>
      </w:r>
      <w:r w:rsidR="008B320A" w:rsidRPr="005247CB">
        <w:rPr>
          <w:lang w:val="en-US"/>
        </w:rPr>
        <w:t>&gt;80% of exposed contacts</w:t>
      </w:r>
      <w:r w:rsidR="00891441" w:rsidRPr="005247CB">
        <w:rPr>
          <w:lang w:val="en-US"/>
        </w:rPr>
        <w:t xml:space="preserve"> </w:t>
      </w:r>
      <w:r w:rsidR="00CA74B7" w:rsidRPr="005247CB">
        <w:rPr>
          <w:lang w:val="en-US"/>
        </w:rPr>
        <w:t xml:space="preserve">were </w:t>
      </w:r>
      <w:r w:rsidR="00822DB0" w:rsidRPr="005247CB">
        <w:rPr>
          <w:lang w:val="en-US"/>
        </w:rPr>
        <w:t>given</w:t>
      </w:r>
      <w:r w:rsidR="00CA74B7" w:rsidRPr="005247CB">
        <w:rPr>
          <w:lang w:val="en-US"/>
        </w:rPr>
        <w:t xml:space="preserve"> prophylaxis</w:t>
      </w:r>
      <w:r w:rsidR="002E3BA3">
        <w:rPr>
          <w:lang w:val="en-US"/>
        </w:rPr>
        <w:t xml:space="preserve"> </w:t>
      </w:r>
      <w:r w:rsidR="00237A49" w:rsidRPr="005247CB">
        <w:rPr>
          <w:lang w:val="en-US"/>
        </w:rPr>
        <w:fldChar w:fldCharType="begin"/>
      </w:r>
      <w:r w:rsidR="006A263E">
        <w:rPr>
          <w:lang w:val="en-US"/>
        </w:rPr>
        <w:instrText xml:space="preserve"> ADDIN ZOTERO_ITEM CSL_CITATION {"citationID":"a2eou5b42ff","properties":{"formattedCitation":"(Ferguson et al., 2005; Longini et al., 2005)","plainCitation":"(Ferguson et al., 2005; Longini et al., 2005)","noteIndex":0},"citationItems":[{"id":152,"uris":["http://zotero.org/users/local/0pdZPGmr/items/77JRK7PH","http://zotero.org/users/9596130/items/77JRK7PH"],"itemData":{"id":152,"type":"article-journal","abstract":"Highly pathogenic avian influenza A (subtype H5N1) is threatening to cause a human pandemic of potentially devastating proportions. We used a stochastic influenza simulation model for rural Southeast Asia to investigate the effectiveness of targeted antiviral prophylaxis, quarantine, and pre-vaccination in containing an emerging influenza strain at the source. If the basic reproductive number (R0) was below 1.60, our simulations showed that a prepared response with targeted antivirals would have a high probability of containing the disease. In that case, an antiviral agent stockpile on the order of 100,000 to 1 million courses for treatment and prophylaxis would be sufficient. If pre-vaccination occurred, then targeted antiviral prophylaxis could be effective for containing strains with an R0 as high as 2.1. Combinations of targeted antiviral prophylaxis, pre-vaccination, and quarantine could contain strains with an R0 as high as 2.4.","container-title":"Science","DOI":"10.1126/science.1115717","issue":"5737","journalAbbreviation":"Science","note":"publisher: American Association for the Advancement of Science","page":"1083-1087","title":"Containing Pandemic Influenza at the Source","volume":"309","author":[{"family":"Longini","given":"Ira M."},{"family":"Nizam","given":"Azhar"},{"family":"Xu","given":"Shufu"},{"family":"Ungchusak","given":"Kumnuan"},{"family":"Hanshaoworakul","given":"Wanna"},{"family":"Cummings","given":"Derek A. T."},{"family":"Halloran","given":"M. Elizabeth"}],"issued":{"date-parts":[["2005",8,12]]}}},{"id":164,"uris":["http://zotero.org/users/local/0pdZPGmr/items/AFZHUSPY","http://zotero.org/users/9596130/items/AFZHUSPY"],"itemData":{"id":164,"type":"article-journal","abstract":"Highly pathogenic H5N1 influenza A viruses are now endemic in avian populations in Southeast Asia, and human cases continue to accumulate. Although currently incapable of sustained human-to-human transmission, H5N1 represents a serious pandemic threat owing to the risk of a mutation or reassortment generating a virus with increased transmissibility. Identifying public health interventions that might be able to halt a pandemic in its earliest stages is therefore a priority. Here we use a simulation model of influenza transmission in Southeast Asia to evaluate the potential effectiveness of targeted mass prophylactic use of antiviral drugs as a containment strategy. Other interventions aimed at reducing population contact rates are also examined as reinforcements to an antiviral-based containment policy. We show that elimination of a nascent pandemic may be feasible using a combination of geographically targeted prophylaxis and social distancing measures, if the basic reproduction number of the new virus is below 1.8. We predict that a stockpile of 3 million courses of antiviral drugs should be sufficient for elimination. Policy effectiveness depends critically on how quickly clinical cases are diagnosed and the speed with which antiviral drugs can be distributed.","container-title":"Nature","DOI":"10.1038/nature04017","ISSN":"1476-4687","issue":"7056","journalAbbreviation":"Nature","page":"209-214","title":"Strategies for containing an emerging influenza pandemic in Southeast Asia","volume":"437","author":[{"family":"Ferguson","given":"Neil M."},{"family":"Cummings","given":"Derek A.T."},{"family":"Cauchemez","given":"Simon"},{"family":"Fraser","given":"Christophe"},{"family":"Riley","given":"Steven"},{"family":"Meeyai","given":"Aronrag"},{"family":"Iamsirithaworn","given":"Sopon"},{"family":"Burke","given":"Donald S."}],"issued":{"date-parts":[["2005",9,1]]}}}],"schema":"https://github.com/citation-style-language/schema/raw/master/csl-citation.json"} </w:instrText>
      </w:r>
      <w:r w:rsidR="00237A49" w:rsidRPr="005247CB">
        <w:rPr>
          <w:lang w:val="en-US"/>
        </w:rPr>
        <w:fldChar w:fldCharType="separate"/>
      </w:r>
      <w:r w:rsidR="006A263E">
        <w:rPr>
          <w:lang w:val="en-US"/>
        </w:rPr>
        <w:t>(Ferguson et al., 2005; Longini et al., 2005)</w:t>
      </w:r>
      <w:r w:rsidR="00237A49" w:rsidRPr="005247CB">
        <w:rPr>
          <w:lang w:val="en-US"/>
        </w:rPr>
        <w:fldChar w:fldCharType="end"/>
      </w:r>
      <w:r w:rsidR="002E3BA3">
        <w:rPr>
          <w:lang w:val="en-US"/>
        </w:rPr>
        <w:t>.</w:t>
      </w:r>
      <w:r w:rsidR="00912880" w:rsidRPr="005247CB">
        <w:rPr>
          <w:lang w:val="en-US"/>
        </w:rPr>
        <w:t xml:space="preserve"> </w:t>
      </w:r>
    </w:p>
    <w:p w14:paraId="161A4AF0" w14:textId="1B9FE7B1" w:rsidR="0094554D" w:rsidRPr="005247CB" w:rsidRDefault="00D52E67" w:rsidP="00B60886">
      <w:pPr>
        <w:rPr>
          <w:lang w:val="en-US"/>
        </w:rPr>
      </w:pPr>
      <w:r w:rsidRPr="005247CB">
        <w:rPr>
          <w:lang w:val="en-US"/>
        </w:rPr>
        <w:t xml:space="preserve">Previous works </w:t>
      </w:r>
      <w:r w:rsidR="00430527" w:rsidRPr="005247CB">
        <w:rPr>
          <w:lang w:val="en-US"/>
        </w:rPr>
        <w:t>would likely reach different conclusions in</w:t>
      </w:r>
      <w:r w:rsidR="00500D2C" w:rsidRPr="005247CB">
        <w:rPr>
          <w:lang w:val="en-US"/>
        </w:rPr>
        <w:t xml:space="preserve"> hindsight of the</w:t>
      </w:r>
      <w:r w:rsidR="006E0A8A" w:rsidRPr="005247CB">
        <w:rPr>
          <w:lang w:val="en-US"/>
        </w:rPr>
        <w:t xml:space="preserve"> COVID-19 pandemic and</w:t>
      </w:r>
      <w:r w:rsidR="0094554D" w:rsidRPr="005247CB">
        <w:rPr>
          <w:lang w:val="en-US"/>
        </w:rPr>
        <w:t xml:space="preserve"> </w:t>
      </w:r>
      <w:r w:rsidR="006E0A8A" w:rsidRPr="005247CB">
        <w:rPr>
          <w:lang w:val="en-US"/>
        </w:rPr>
        <w:t>availability of recent clinical data</w:t>
      </w:r>
      <w:r w:rsidR="00314BCE" w:rsidRPr="005247CB">
        <w:rPr>
          <w:lang w:val="en-US"/>
        </w:rPr>
        <w:t xml:space="preserve">. First, </w:t>
      </w:r>
      <w:r w:rsidR="0094554D" w:rsidRPr="005247CB">
        <w:rPr>
          <w:lang w:val="en-US"/>
        </w:rPr>
        <w:t>all of the aforementioned</w:t>
      </w:r>
      <w:r w:rsidR="005D7BF5" w:rsidRPr="005247CB">
        <w:rPr>
          <w:lang w:val="en-US"/>
        </w:rPr>
        <w:t xml:space="preserve"> studies</w:t>
      </w:r>
      <w:r w:rsidR="0094554D" w:rsidRPr="005247CB">
        <w:rPr>
          <w:lang w:val="en-US"/>
        </w:rPr>
        <w:t xml:space="preserve"> </w:t>
      </w:r>
      <w:r w:rsidR="008B320A" w:rsidRPr="005247CB">
        <w:rPr>
          <w:lang w:val="en-US"/>
        </w:rPr>
        <w:t>assume</w:t>
      </w:r>
      <w:r w:rsidR="00314BCE" w:rsidRPr="005247CB">
        <w:rPr>
          <w:lang w:val="en-US"/>
        </w:rPr>
        <w:t>d</w:t>
      </w:r>
      <w:r w:rsidR="008B320A" w:rsidRPr="005247CB">
        <w:rPr>
          <w:lang w:val="en-US"/>
        </w:rPr>
        <w:t xml:space="preserve"> </w:t>
      </w:r>
      <w:r w:rsidR="00DB09B8" w:rsidRPr="005247CB">
        <w:rPr>
          <w:lang w:val="en-US"/>
        </w:rPr>
        <w:t>that at least 70% of</w:t>
      </w:r>
      <w:r w:rsidR="008B320A" w:rsidRPr="005247CB">
        <w:rPr>
          <w:lang w:val="en-US"/>
        </w:rPr>
        <w:t xml:space="preserve"> symptomatic </w:t>
      </w:r>
      <w:r w:rsidR="00DB09B8" w:rsidRPr="005247CB">
        <w:rPr>
          <w:lang w:val="en-US"/>
        </w:rPr>
        <w:t xml:space="preserve">infections </w:t>
      </w:r>
      <w:r w:rsidR="00F27E36" w:rsidRPr="005247CB">
        <w:rPr>
          <w:lang w:val="en-US"/>
        </w:rPr>
        <w:t>could be</w:t>
      </w:r>
      <w:r w:rsidR="00DB09B8" w:rsidRPr="005247CB">
        <w:rPr>
          <w:lang w:val="en-US"/>
        </w:rPr>
        <w:t xml:space="preserve"> </w:t>
      </w:r>
      <w:r w:rsidR="00900C20" w:rsidRPr="005247CB">
        <w:rPr>
          <w:lang w:val="en-US"/>
        </w:rPr>
        <w:t>treated</w:t>
      </w:r>
      <w:r w:rsidR="00314BCE" w:rsidRPr="005247CB">
        <w:rPr>
          <w:lang w:val="en-US"/>
        </w:rPr>
        <w:t xml:space="preserve"> within </w:t>
      </w:r>
      <w:r w:rsidR="00DB09B8" w:rsidRPr="005247CB">
        <w:rPr>
          <w:lang w:val="en-US"/>
        </w:rPr>
        <w:t>two</w:t>
      </w:r>
      <w:r w:rsidR="00314BCE" w:rsidRPr="005247CB">
        <w:rPr>
          <w:lang w:val="en-US"/>
        </w:rPr>
        <w:t xml:space="preserve"> days after symptom onset. While</w:t>
      </w:r>
      <w:r w:rsidR="00657E88" w:rsidRPr="005247CB">
        <w:rPr>
          <w:lang w:val="en-US"/>
        </w:rPr>
        <w:t xml:space="preserve"> </w:t>
      </w:r>
      <w:r w:rsidR="00314BCE" w:rsidRPr="005247CB">
        <w:rPr>
          <w:lang w:val="en-US"/>
        </w:rPr>
        <w:t>symptomatic</w:t>
      </w:r>
      <w:r w:rsidR="00900C20" w:rsidRPr="005247CB">
        <w:rPr>
          <w:lang w:val="en-US"/>
        </w:rPr>
        <w:t xml:space="preserve"> individuals</w:t>
      </w:r>
      <w:r w:rsidR="00E54349" w:rsidRPr="005247CB">
        <w:rPr>
          <w:lang w:val="en-US"/>
        </w:rPr>
        <w:t xml:space="preserve"> might</w:t>
      </w:r>
      <w:r w:rsidR="00AF2185" w:rsidRPr="005247CB">
        <w:rPr>
          <w:lang w:val="en-US"/>
        </w:rPr>
        <w:t xml:space="preserve"> readily</w:t>
      </w:r>
      <w:r w:rsidR="00900C20" w:rsidRPr="005247CB">
        <w:rPr>
          <w:lang w:val="en-US"/>
        </w:rPr>
        <w:t xml:space="preserve"> seek </w:t>
      </w:r>
      <w:r w:rsidR="00AF2185" w:rsidRPr="005247CB">
        <w:rPr>
          <w:lang w:val="en-US"/>
        </w:rPr>
        <w:t>care</w:t>
      </w:r>
      <w:r w:rsidR="00900C20" w:rsidRPr="005247CB">
        <w:rPr>
          <w:lang w:val="en-US"/>
        </w:rPr>
        <w:t xml:space="preserve"> </w:t>
      </w:r>
      <w:r w:rsidR="00314BCE" w:rsidRPr="005247CB">
        <w:rPr>
          <w:lang w:val="en-US"/>
        </w:rPr>
        <w:t>during</w:t>
      </w:r>
      <w:r w:rsidR="008B320A" w:rsidRPr="005247CB">
        <w:rPr>
          <w:lang w:val="en-US"/>
        </w:rPr>
        <w:t xml:space="preserve"> a pandemic</w:t>
      </w:r>
      <w:r w:rsidR="0048688E">
        <w:rPr>
          <w:lang w:val="en-US"/>
        </w:rPr>
        <w:t xml:space="preserve"> </w:t>
      </w:r>
      <w:r w:rsidR="00C919C5" w:rsidRPr="005247CB">
        <w:rPr>
          <w:lang w:val="en-US"/>
        </w:rPr>
        <w:fldChar w:fldCharType="begin"/>
      </w:r>
      <w:r w:rsidR="006A263E">
        <w:rPr>
          <w:lang w:val="en-US"/>
        </w:rPr>
        <w:instrText xml:space="preserve"> ADDIN ZOTERO_ITEM CSL_CITATION {"citationID":"a1j08l75mnc","properties":{"formattedCitation":"(Siegler et al., 2020)","plainCitation":"(Siegler et al., 2020)","noteIndex":0},"citationItems":[{"id":165,"uris":["http://zotero.org/users/local/0pdZPGmr/items/5KWYC764","http://zotero.org/users/9596130/items/5KWYC764"],"itemData":{"id":165,"type":"article-journal","abstract":"SARS-CoV-2 virus testing for persons with COVID-19 symptoms, and contact tracing for those testing positive, will be critical to successful epidemic control. Willingness of persons experiencing symptoms to seek testing may determine the success of this strategy.A cross-sectional online survey in the United States measured willingness to seek testing if feeling ill under different specimen collection scenarios: home-based saliva, home-based swab, drive-through facility swab, and clinic-based swab. Instructions clarified that home-collected specimens would be mailed to a laboratory for testing. We presented similar willingness questions regarding testing during follow-up care.Of 1435 participants, comprising a broad range of sociodemographic groups, 92% were willing to test with a home saliva specimen, 88% with home swab, 71% with drive-through swab, and 60% with clinic-collected swab. Moreover, 68% indicated they would be more likely to get tested if there was a home testing option. There were no significant differences in willingness items across sociodemographic variables or for those currently experiencing COVID-19 symptoms. Results were nearly identical for willingness to receive testing for follow-up COVID-19 care.We observed a hierarchy of willingness to test for SARS-CoV-2, ordered by the degree of contact required. Home specimen collection options could result in up to one-third more symptomatic persons seeking testing, facilitating contact tracing and optimal clinical care. Remote specimen collection options may ease supply chain challenges and decrease the likelihood of nosocomial transmission. As home specimen collection options receive regulatory approval, they should be scaled rapidly by health systems.","container-title":"Open Forum Infectious Diseases","DOI":"10.1093/ofid/ofaa269","ISSN":"2328-8957","issue":"7","journalAbbreviation":"Open Forum Infectious Diseases","page":"ofaa269","title":"Willingness to Seek Diagnostic Testing for SARS-CoV-2 With Home, Drive-through, and Clinic-Based Specimen Collection Locations","volume":"7","author":[{"family":"Siegler","given":"Aaron J"},{"family":"Hall","given":"Eric"},{"family":"Luisi","given":"Nicole"},{"family":"Zlotorzynska","given":"Maria"},{"family":"Wilde","given":"Gretchen"},{"family":"Sanchez","given":"Travis"},{"family":"Bradley","given":"Heather"},{"family":"Sullivan","given":"Patrick S"}],"issued":{"date-parts":[["2020",7,1]]}}}],"schema":"https://github.com/citation-style-language/schema/raw/master/csl-citation.json"} </w:instrText>
      </w:r>
      <w:r w:rsidR="00C919C5" w:rsidRPr="005247CB">
        <w:rPr>
          <w:lang w:val="en-US"/>
        </w:rPr>
        <w:fldChar w:fldCharType="separate"/>
      </w:r>
      <w:r w:rsidR="006A263E">
        <w:rPr>
          <w:lang w:val="en-US"/>
        </w:rPr>
        <w:t>(Siegler et al., 2020)</w:t>
      </w:r>
      <w:r w:rsidR="00C919C5" w:rsidRPr="005247CB">
        <w:rPr>
          <w:lang w:val="en-US"/>
        </w:rPr>
        <w:fldChar w:fldCharType="end"/>
      </w:r>
      <w:r w:rsidR="0048688E">
        <w:rPr>
          <w:lang w:val="en-US"/>
        </w:rPr>
        <w:t>,</w:t>
      </w:r>
      <w:r w:rsidR="00314BCE" w:rsidRPr="005247CB">
        <w:rPr>
          <w:lang w:val="en-US"/>
        </w:rPr>
        <w:t xml:space="preserve"> </w:t>
      </w:r>
      <w:r w:rsidR="00382FBD">
        <w:rPr>
          <w:lang w:val="en-US"/>
        </w:rPr>
        <w:t>healthcare-seeking</w:t>
      </w:r>
      <w:r w:rsidR="00855DF9" w:rsidRPr="005247CB">
        <w:rPr>
          <w:lang w:val="en-US"/>
        </w:rPr>
        <w:t xml:space="preserve"> </w:t>
      </w:r>
      <w:r w:rsidR="005247CB">
        <w:rPr>
          <w:lang w:val="en-US"/>
        </w:rPr>
        <w:t>behaviour</w:t>
      </w:r>
      <w:r w:rsidR="00AF2185" w:rsidRPr="005247CB">
        <w:rPr>
          <w:lang w:val="en-US"/>
        </w:rPr>
        <w:t>, including the</w:t>
      </w:r>
      <w:r w:rsidR="007B5CA6" w:rsidRPr="005247CB">
        <w:rPr>
          <w:lang w:val="en-US"/>
        </w:rPr>
        <w:t xml:space="preserve"> time</w:t>
      </w:r>
      <w:r w:rsidR="0026001E" w:rsidRPr="005247CB">
        <w:rPr>
          <w:lang w:val="en-US"/>
        </w:rPr>
        <w:t xml:space="preserve"> to seeking treatment</w:t>
      </w:r>
      <w:r w:rsidR="007B5CA6" w:rsidRPr="005247CB">
        <w:rPr>
          <w:lang w:val="en-US"/>
        </w:rPr>
        <w:t xml:space="preserve"> </w:t>
      </w:r>
      <w:r w:rsidR="00F27E36" w:rsidRPr="005247CB">
        <w:rPr>
          <w:lang w:val="en-US"/>
        </w:rPr>
        <w:t xml:space="preserve">since </w:t>
      </w:r>
      <w:r w:rsidR="007B5CA6" w:rsidRPr="005247CB">
        <w:rPr>
          <w:lang w:val="en-US"/>
        </w:rPr>
        <w:t>symptom onset</w:t>
      </w:r>
      <w:r w:rsidR="00AF2185" w:rsidRPr="005247CB">
        <w:rPr>
          <w:lang w:val="en-US"/>
        </w:rPr>
        <w:t xml:space="preserve">, </w:t>
      </w:r>
      <w:r w:rsidR="00657E88" w:rsidRPr="005247CB">
        <w:rPr>
          <w:lang w:val="en-US"/>
        </w:rPr>
        <w:t xml:space="preserve">is </w:t>
      </w:r>
      <w:r w:rsidR="00103894" w:rsidRPr="005247CB">
        <w:rPr>
          <w:lang w:val="en-US"/>
        </w:rPr>
        <w:t>heterogeneous</w:t>
      </w:r>
      <w:r w:rsidR="00657E88" w:rsidRPr="005247CB">
        <w:rPr>
          <w:lang w:val="en-US"/>
        </w:rPr>
        <w:t>, even</w:t>
      </w:r>
      <w:r w:rsidR="00900C20" w:rsidRPr="005247CB">
        <w:rPr>
          <w:lang w:val="en-US"/>
        </w:rPr>
        <w:t xml:space="preserve"> </w:t>
      </w:r>
      <w:r w:rsidR="007A2F03" w:rsidRPr="005247CB">
        <w:rPr>
          <w:lang w:val="en-US"/>
        </w:rPr>
        <w:t xml:space="preserve">during </w:t>
      </w:r>
      <w:r w:rsidR="00103894" w:rsidRPr="005247CB">
        <w:rPr>
          <w:lang w:val="en-US"/>
        </w:rPr>
        <w:t>a</w:t>
      </w:r>
      <w:r w:rsidR="00314BCE" w:rsidRPr="005247CB">
        <w:rPr>
          <w:lang w:val="en-US"/>
        </w:rPr>
        <w:t xml:space="preserve"> pandemic</w:t>
      </w:r>
      <w:r w:rsidR="00F1001D">
        <w:rPr>
          <w:lang w:val="en-US"/>
        </w:rPr>
        <w:t xml:space="preserve"> </w:t>
      </w:r>
      <w:r w:rsidR="00314BCE" w:rsidRPr="005247CB">
        <w:rPr>
          <w:lang w:val="en-US"/>
        </w:rPr>
        <w:fldChar w:fldCharType="begin"/>
      </w:r>
      <w:r w:rsidR="006A263E">
        <w:rPr>
          <w:lang w:val="en-US"/>
        </w:rPr>
        <w:instrText xml:space="preserve"> ADDIN ZOTERO_ITEM CSL_CITATION {"citationID":"asf3dpu4i5","properties":{"formattedCitation":"(Graham et al., 2022)","plainCitation":"(Graham et al., 2022)","noteIndex":0},"citationItems":[{"id":167,"uris":["http://zotero.org/users/local/0pdZPGmr/items/9YBMYD7M","http://zotero.org/users/9596130/items/9YBMYD7M"],"itemData":{"id":167,"type":"article-journal","abstract":"Symptomatic testing programmes are crucial to the COVID-19 pandemic response. We sought to examine United Kingdom (UK) testing rates amongst individuals with test-qualifying symptoms, and factors associated with not testing. We analysed a cohort of untested symptomatic app users (N = 1,237), nested in the Zoe COVID Symptom Study (Zoe, N = 4,394,948); and symptomatic respondents who wanted, but did not have a test (N = 1,956), drawn from a University of Maryland survey administered to Facebook users (The Global COVID-19 Trends and Impact Survey [CTIS], N = 775,746). The proportion tested among individuals with incident test-qualifying symptoms rose from ~20% to ~75% from April to December 2020 in Zoe. Testing was lower with one vs more symptoms (72.9% vs 84.6% p&lt;0.001), or short vs long symptom duration (69.9% vs 85.4% p&lt;0.001). 40.4% of survey respondents did not identify all three test-qualifying symptoms. Symptom identification decreased for every decade older (OR = 0.908 [95% CI 0.883–0.933]). Amongst symptomatic UMD-CTIS respondents who wanted but did not have a test, not knowing where to go was the most cited factor (32.4%); this increased for each decade older (OR = 1.207 [1.129–1.292]) and for every 4-years fewer in education (OR = 0.685 [0.599–0.783]). Despite current UK messaging on COVID-19 testing, there is a knowledge gap about when and where to test, and this may be contributing to the ~25% testing gap. Risk factors, including older age and less education, highlight potential opportunities to tailor public health messages. The testing gap may be ever larger in countries that do not have extensive, free testing, as the UK does.","container-title":"PLOS Global Public Health","DOI":"10.1371/journal.pgph.0000028","issue":"1","journalAbbreviation":"PLOS Global Public Health","note":"publisher: Public Library of Science","page":"e0000028","title":"Knowledge barriers in a national symptomatic-COVID-19 testing programme","volume":"2","author":[{"family":"Graham","given":"Mark S."},{"family":"May","given":"Anna"},{"family":"Varsavsky","given":"Thomas"},{"family":"Sudre","given":"Carole H."},{"family":"Murray","given":"Benjamin"},{"family":"Kläser","given":"Kerstin"},{"family":"Antonelli","given":"Michela"},{"family":"Canas","given":"Liane S."},{"family":"Molteni","given":"Erika"},{"family":"Modat","given":"Marc"},{"family":"Cardoso","given":"M. Jorge"},{"family":"Drew","given":"David A."},{"family":"Nguyen","given":"Long H."},{"family":"Rader","given":"Benjamin"},{"family":"Hu","given":"Christina"},{"family":"Capdevila","given":"Joan"},{"family":"Hammers","given":"Alexander"},{"family":"Chan","given":"Andrew T."},{"family":"Wolf","given":"Jonathan"},{"family":"Brownstein","given":"John S."},{"family":"Spector","given":"Tim D."},{"family":"Ourselin","given":"Sebastien"},{"family":"Steves","given":"Claire J."},{"family":"Astley","given":"Christina M."}],"issued":{"date-parts":[["2022",1,19]]}}}],"schema":"https://github.com/citation-style-language/schema/raw/master/csl-citation.json"} </w:instrText>
      </w:r>
      <w:r w:rsidR="00314BCE" w:rsidRPr="005247CB">
        <w:rPr>
          <w:lang w:val="en-US"/>
        </w:rPr>
        <w:fldChar w:fldCharType="separate"/>
      </w:r>
      <w:r w:rsidR="006A263E">
        <w:rPr>
          <w:lang w:val="en-US"/>
        </w:rPr>
        <w:t>(Graham et al., 2022)</w:t>
      </w:r>
      <w:r w:rsidR="00314BCE" w:rsidRPr="005247CB">
        <w:rPr>
          <w:lang w:val="en-US"/>
        </w:rPr>
        <w:fldChar w:fldCharType="end"/>
      </w:r>
      <w:r w:rsidR="00F1001D">
        <w:rPr>
          <w:lang w:val="en-US"/>
        </w:rPr>
        <w:t>,</w:t>
      </w:r>
      <w:r w:rsidR="007A2F03" w:rsidRPr="005247CB">
        <w:rPr>
          <w:lang w:val="en-US"/>
        </w:rPr>
        <w:t xml:space="preserve"> predicating </w:t>
      </w:r>
      <w:r w:rsidR="00C45F37" w:rsidRPr="005247CB">
        <w:rPr>
          <w:lang w:val="en-US"/>
        </w:rPr>
        <w:t xml:space="preserve">on </w:t>
      </w:r>
      <w:r w:rsidR="00657E88" w:rsidRPr="005247CB">
        <w:rPr>
          <w:lang w:val="en-US"/>
        </w:rPr>
        <w:t>sociodemographic factors and disease severity</w:t>
      </w:r>
      <w:r w:rsidR="008F2EA7">
        <w:rPr>
          <w:lang w:val="en-US"/>
        </w:rPr>
        <w:t xml:space="preserve"> </w:t>
      </w:r>
      <w:r w:rsidR="00C45F37" w:rsidRPr="005247CB">
        <w:rPr>
          <w:lang w:val="en-US"/>
        </w:rPr>
        <w:fldChar w:fldCharType="begin"/>
      </w:r>
      <w:r w:rsidR="006A263E">
        <w:rPr>
          <w:lang w:val="en-US"/>
        </w:rPr>
        <w:instrText xml:space="preserve"> ADDIN ZOTERO_ITEM CSL_CITATION {"citationID":"a22ikqri5lq","properties":{"formattedCitation":"(Peppa et al., 2017)","plainCitation":"(Peppa et al., 2017)","noteIndex":0},"citationItems":[{"id":166,"uris":["http://zotero.org/users/local/0pdZPGmr/items/YWQTA88B","http://zotero.org/users/9596130/items/YWQTA88B"],"itemData":{"id":166,"type":"article-journal","abstract":"Seasonal influenza epidemics place considerable strain on health services. Robust systems of surveillance are therefore required to ensure preparedness. Sentinel surveillance does not accurately capture the community burden of epidemics as it misses cases that do not present to health services. In this study, Flusurvey (an internet-based community surveillance tool) was used to examine how severity of disease influences health-seeking behaviour in the UK.","container-title":"BMC Infectious Diseases","DOI":"10.1186/s12879-017-2337-5","ISSN":"1471-2334","issue":"1","journalAbbreviation":"BMC Infectious Diseases","page":"238","title":"Disease severity determines health-seeking behaviour amongst individuals with influenza-like illness in an internet-based cohort","volume":"17","author":[{"family":"Peppa","given":"Maria"},{"family":"John Edmunds","given":"W."},{"family":"Funk","given":"Sebastian"}],"issued":{"date-parts":[["2017",3,31]]}}}],"schema":"https://github.com/citation-style-language/schema/raw/master/csl-citation.json"} </w:instrText>
      </w:r>
      <w:r w:rsidR="00C45F37" w:rsidRPr="005247CB">
        <w:rPr>
          <w:lang w:val="en-US"/>
        </w:rPr>
        <w:fldChar w:fldCharType="separate"/>
      </w:r>
      <w:r w:rsidR="006A263E">
        <w:rPr>
          <w:lang w:val="en-US"/>
        </w:rPr>
        <w:t>(Peppa et al., 2017)</w:t>
      </w:r>
      <w:r w:rsidR="00C45F37" w:rsidRPr="005247CB">
        <w:rPr>
          <w:lang w:val="en-US"/>
        </w:rPr>
        <w:fldChar w:fldCharType="end"/>
      </w:r>
      <w:r w:rsidR="008F2EA7">
        <w:rPr>
          <w:lang w:val="en-US"/>
        </w:rPr>
        <w:t>,</w:t>
      </w:r>
      <w:r w:rsidR="00C45F37" w:rsidRPr="005247CB">
        <w:rPr>
          <w:lang w:val="en-US"/>
        </w:rPr>
        <w:t xml:space="preserve"> </w:t>
      </w:r>
      <w:r w:rsidR="00FF65C2" w:rsidRPr="005247CB">
        <w:rPr>
          <w:lang w:val="en-US"/>
        </w:rPr>
        <w:t xml:space="preserve">which could in turn diminished the effectiveness of the antiviral stockpile. </w:t>
      </w:r>
      <w:r w:rsidR="000029DD" w:rsidRPr="005247CB">
        <w:rPr>
          <w:lang w:val="en-US"/>
        </w:rPr>
        <w:t xml:space="preserve">Similarly, studies proposing </w:t>
      </w:r>
      <w:r w:rsidR="00EE20FA" w:rsidRPr="005247CB">
        <w:rPr>
          <w:lang w:val="en-US"/>
        </w:rPr>
        <w:t>mass</w:t>
      </w:r>
      <w:r w:rsidR="003138FA" w:rsidRPr="005247CB">
        <w:rPr>
          <w:lang w:val="en-US"/>
        </w:rPr>
        <w:t xml:space="preserve"> distribution of</w:t>
      </w:r>
      <w:r w:rsidR="00EE20FA" w:rsidRPr="005247CB">
        <w:rPr>
          <w:lang w:val="en-US"/>
        </w:rPr>
        <w:t xml:space="preserve"> </w:t>
      </w:r>
      <w:r w:rsidR="000842D7" w:rsidRPr="005247CB">
        <w:rPr>
          <w:lang w:val="en-US"/>
        </w:rPr>
        <w:t>PEP</w:t>
      </w:r>
      <w:r w:rsidR="000029DD" w:rsidRPr="005247CB">
        <w:rPr>
          <w:lang w:val="en-US"/>
        </w:rPr>
        <w:t xml:space="preserve"> </w:t>
      </w:r>
      <w:r w:rsidR="007854AB" w:rsidRPr="005247CB">
        <w:rPr>
          <w:lang w:val="en-US"/>
        </w:rPr>
        <w:t>assume</w:t>
      </w:r>
      <w:r w:rsidR="004F3A5C" w:rsidRPr="005247CB">
        <w:rPr>
          <w:lang w:val="en-US"/>
        </w:rPr>
        <w:t xml:space="preserve"> that countries </w:t>
      </w:r>
      <w:r w:rsidR="00EE20FA" w:rsidRPr="005247CB">
        <w:rPr>
          <w:lang w:val="en-US"/>
        </w:rPr>
        <w:t>can</w:t>
      </w:r>
      <w:r w:rsidR="007854AB" w:rsidRPr="005247CB">
        <w:rPr>
          <w:lang w:val="en-US"/>
        </w:rPr>
        <w:t xml:space="preserve"> swiftly</w:t>
      </w:r>
      <w:r w:rsidR="004F3A5C" w:rsidRPr="005247CB">
        <w:rPr>
          <w:lang w:val="en-US"/>
        </w:rPr>
        <w:t xml:space="preserve"> mobili</w:t>
      </w:r>
      <w:r w:rsidR="000739AD">
        <w:rPr>
          <w:lang w:val="en-US"/>
        </w:rPr>
        <w:t>s</w:t>
      </w:r>
      <w:r w:rsidR="004F3A5C" w:rsidRPr="005247CB">
        <w:rPr>
          <w:lang w:val="en-US"/>
        </w:rPr>
        <w:t xml:space="preserve">e </w:t>
      </w:r>
      <w:r w:rsidR="00D95686" w:rsidRPr="005247CB">
        <w:rPr>
          <w:lang w:val="en-US"/>
        </w:rPr>
        <w:t>extensive</w:t>
      </w:r>
      <w:r w:rsidR="004F3A5C" w:rsidRPr="005247CB">
        <w:rPr>
          <w:lang w:val="en-US"/>
        </w:rPr>
        <w:t xml:space="preserve"> </w:t>
      </w:r>
      <w:r w:rsidR="00163833" w:rsidRPr="005247CB">
        <w:rPr>
          <w:lang w:val="en-US"/>
        </w:rPr>
        <w:t xml:space="preserve">and near-complete </w:t>
      </w:r>
      <w:r w:rsidR="003F4065" w:rsidRPr="005247CB">
        <w:rPr>
          <w:lang w:val="en-US"/>
        </w:rPr>
        <w:t>contact tracing</w:t>
      </w:r>
      <w:r w:rsidR="00EE20FA" w:rsidRPr="005247CB">
        <w:rPr>
          <w:lang w:val="en-US"/>
        </w:rPr>
        <w:t xml:space="preserve"> but this </w:t>
      </w:r>
      <w:r w:rsidR="00961069" w:rsidRPr="005247CB">
        <w:rPr>
          <w:lang w:val="en-US"/>
        </w:rPr>
        <w:t>was</w:t>
      </w:r>
      <w:r w:rsidR="00EE20FA" w:rsidRPr="005247CB">
        <w:rPr>
          <w:lang w:val="en-US"/>
        </w:rPr>
        <w:t xml:space="preserve"> demonstrably challenging during the COVID-19 pandemic even in high-resource countries</w:t>
      </w:r>
      <w:r w:rsidR="006F43EE">
        <w:rPr>
          <w:lang w:val="en-US"/>
        </w:rPr>
        <w:t xml:space="preserve"> </w:t>
      </w:r>
      <w:r w:rsidR="002C223B" w:rsidRPr="005247CB">
        <w:rPr>
          <w:lang w:val="en-US"/>
        </w:rPr>
        <w:fldChar w:fldCharType="begin"/>
      </w:r>
      <w:r w:rsidR="006A263E">
        <w:rPr>
          <w:lang w:val="en-US"/>
        </w:rPr>
        <w:instrText xml:space="preserve"> ADDIN ZOTERO_ITEM CSL_CITATION {"citationID":"aa3ma5m621","properties":{"formattedCitation":"(Clark et al., 2021; Davis et al., 2021)","plainCitation":"(Clark et al., 2021; Davis et al., 2021)","noteIndex":0},"citationItems":[{"id":168,"uris":["http://zotero.org/users/local/0pdZPGmr/items/Z72NGIBC","http://zotero.org/users/9596130/items/Z72NGIBC"],"itemData":{"id":168,"type":"article-journal","abstract":"By late April 2020, public discourse in the United States had shifted toward the idea of using more targeted case-based mitigation tactics (eg, contact tracing) to combat coronavirus disease 2019 (COVID-19) transmission while allowing for the safe “reopening” of society, in an effort to reduce the social, economic, and political ramifications associated with stricter approaches. Expanded tracing-testing efforts were touted as a key solution that would allow for a precision approach, thus preventing economies from having to shut down again. However, it is now clear that many regions of the United States were unable to mount robust enough testing-tracing programs to prevent major resurgences of disease. This viewpoint offers a discussion of why testing-tracing efforts failed to sufficiently mitigate COVID-19 across much of the nation, with the hope that such deliberation will help the US public health community better plan for the future.","container-title":"Clinical Infectious Diseases","DOI":"10.1093/cid/ciaa1155","ISSN":"1058-4838","issue":"9","journalAbbreviation":"Clinical Infectious Diseases","page":"e415-e419","title":"Why Contact Tracing Efforts Have Failed to Curb Coronavirus Disease 2019 (COVID-19) Transmission in Much of the United States","volume":"72","author":[{"family":"Clark","given":"Eva"},{"family":"Chiao","given":"Elizabeth Y"},{"family":"Amirian","given":"E Susan"}],"issued":{"date-parts":[["2021",5,1]]}}},{"id":197,"uris":["http://zotero.org/users/local/0pdZPGmr/items/CHSKQUIS","http://zotero.org/users/9596130/items/CHSKQUIS"],"itemData":{"id":197,"type":"article-journal","abstract":"Emerging evidence suggests that contact tracing has had limited success in the UK in reducing the R number across the COVID-19 pandemic. We investigate potential pitfalls and areas for improvement by extending an existing branching process contact tracing model, adding diagnostic testing and refining parameter estimates. Our results demonstrate that reporting and adherence are the most important predictors of programme impact but tracing coverage and speed plus diagnostic sensitivity also play an important role. We conclude that well-implemented contact tracing could bring small but potentially important benefits to controlling and preventing outbreaks, providing up to a 15% reduction in R. We reaffirm that contact tracing is not currently appropriate as the sole control measure.","container-title":"Nature Communications","DOI":"10.1038/s41467-021-25531-5","ISSN":"2041-1723","issue":"1","journalAbbreviation":"Nature Communications","page":"5412","title":"Contact tracing is an imperfect tool for controlling COVID-19 transmission and relies on population adherence","volume":"12","author":[{"family":"Davis","given":"Emma L."},{"family":"Lucas","given":"Tim C. D."},{"family":"Borlase","given":"Anna"},{"family":"Pollington","given":"Timothy M."},{"family":"Abbott","given":"Sam"},{"family":"Ayabina","given":"Diepreye"},{"family":"Crellen","given":"Thomas"},{"family":"Hellewell","given":"Joel"},{"family":"Pi","given":"Li"},{"family":"Lowe","given":"Rachel"},{"family":"Endo","given":"Akira"},{"family":"Davies","given":"Nicholas"},{"family":"Gore-Langton","given":"Georgia R."},{"family":"Russell","given":"Timothy W."},{"family":"Bosse","given":"Nikos I."},{"family":"Quaife","given":"Matthew"},{"family":"Kucharski","given":"Adam J."},{"family":"Nightingale","given":"Emily S."},{"family":"Pearson","given":"Carl A. B."},{"family":"Gibbs","given":"Hamish"},{"family":"O’Reilly","given":"Kathleen"},{"family":"Jombart","given":"Thibaut"},{"family":"Rees","given":"Eleanor M."},{"family":"Deol","given":"Arminder K."},{"family":"Hué","given":"Stéphane"},{"family":"Auzenbergs","given":"Megan"},{"family":"Houben","given":"Rein M. G. J."},{"family":"Funk","given":"Sebastian"},{"family":"Li","given":"Yang"},{"family":"Sun","given":"Fiona"},{"family":"Prem","given":"Kiesha"},{"family":"Quilty","given":"Billy J."},{"family":"Villabona-Arenas","given":"Julian"},{"family":"Barnard","given":"Rosanna C."},{"family":"Hodgson","given":"David"},{"family":"Foss","given":"Anna"},{"family":"Jarvis","given":"Christopher I."},{"family":"Meakin","given":"Sophie R."},{"family":"Eggo","given":"Rosalind M."},{"family":"Abbas","given":"Kaja"},{"family":"Zandvoort","given":"Kevin","dropping-particle":"van"},{"family":"Emery","given":"Jon C."},{"family":"Tully","given":"Damien C."},{"family":"Sandmann","given":"Frank G."},{"family":"Edmunds","given":"W. John"},{"family":"Gimma","given":"Amy"},{"family":"Knight","given":"Gwen"},{"family":"Munday","given":"James D."},{"family":"Diamond","given":"Charlie"},{"family":"Jit","given":"Mark"},{"family":"Leclerc","given":"Quentin"},{"family":"Rosello","given":"Alicia"},{"family":"Chan","given":"Yung-Wai Desmond"},{"family":"Simons","given":"David"},{"family":"Clifford","given":"Sam"},{"family":"Flasche","given":"Stefan"},{"family":"Procter","given":"Simon R."},{"family":"Atkins","given":"Katherine E."},{"family":"Medley","given":"Graham F."},{"family":"Hollingsworth","given":"T. Déirdre"},{"family":"Klepac","given":"Petra"},{"literal":"CMMID COVID-19 Working Group"}],"issued":{"date-parts":[["2021",9,13]]}}}],"schema":"https://github.com/citation-style-language/schema/raw/master/csl-citation.json"} </w:instrText>
      </w:r>
      <w:r w:rsidR="002C223B" w:rsidRPr="005247CB">
        <w:rPr>
          <w:lang w:val="en-US"/>
        </w:rPr>
        <w:fldChar w:fldCharType="separate"/>
      </w:r>
      <w:r w:rsidR="006A263E">
        <w:rPr>
          <w:lang w:val="en-US"/>
        </w:rPr>
        <w:t>(Clark et al., 2021; Davis et al., 2021)</w:t>
      </w:r>
      <w:r w:rsidR="002C223B" w:rsidRPr="005247CB">
        <w:rPr>
          <w:lang w:val="en-US"/>
        </w:rPr>
        <w:fldChar w:fldCharType="end"/>
      </w:r>
      <w:r w:rsidR="006F43EE">
        <w:rPr>
          <w:lang w:val="en-US"/>
        </w:rPr>
        <w:t>.</w:t>
      </w:r>
      <w:r w:rsidR="002C223B" w:rsidRPr="005247CB">
        <w:rPr>
          <w:lang w:val="en-US"/>
        </w:rPr>
        <w:t xml:space="preserve"> </w:t>
      </w:r>
      <w:r w:rsidR="00D95686" w:rsidRPr="005247CB">
        <w:rPr>
          <w:lang w:val="en-US"/>
        </w:rPr>
        <w:t xml:space="preserve">Several </w:t>
      </w:r>
      <w:r w:rsidR="00332215" w:rsidRPr="005247CB">
        <w:rPr>
          <w:lang w:val="en-US"/>
        </w:rPr>
        <w:t>studies</w:t>
      </w:r>
      <w:r w:rsidR="00720E04" w:rsidRPr="005247CB">
        <w:rPr>
          <w:lang w:val="en-US"/>
        </w:rPr>
        <w:t xml:space="preserve"> also</w:t>
      </w:r>
      <w:r w:rsidR="004564DC" w:rsidRPr="005247CB">
        <w:rPr>
          <w:lang w:val="en-US"/>
        </w:rPr>
        <w:t xml:space="preserve"> assume that the infectiousness of infected individuals treated with oseltamivir </w:t>
      </w:r>
      <w:r w:rsidR="00C255F3" w:rsidRPr="005247CB">
        <w:rPr>
          <w:lang w:val="en-US"/>
        </w:rPr>
        <w:t>is</w:t>
      </w:r>
      <w:r w:rsidR="004564DC" w:rsidRPr="005247CB">
        <w:rPr>
          <w:lang w:val="en-US"/>
        </w:rPr>
        <w:t xml:space="preserve"> reduced by &gt;60%</w:t>
      </w:r>
      <w:r w:rsidR="001C068F">
        <w:rPr>
          <w:lang w:val="en-US"/>
        </w:rPr>
        <w:t xml:space="preserve"> </w:t>
      </w:r>
      <w:r w:rsidR="006A70C7" w:rsidRPr="005247CB">
        <w:rPr>
          <w:lang w:val="en-US"/>
        </w:rPr>
        <w:fldChar w:fldCharType="begin"/>
      </w:r>
      <w:r w:rsidR="006A263E">
        <w:rPr>
          <w:lang w:val="en-US"/>
        </w:rPr>
        <w:instrText xml:space="preserve"> ADDIN ZOTERO_ITEM CSL_CITATION {"citationID":"a107rdfkhnu","properties":{"formattedCitation":"(Carrasco et al., 2011; Ferguson et al., 2005; Halloran et al., 2008; Longini et al., 2005)","plainCitation":"(Carrasco et al., 2011; Ferguson et al., 2005; Halloran et al., 2008; Longini et al., 2005)","noteIndex":0},"citationItems":[{"id":149,"uris":["http://zotero.org/users/local/0pdZPGmr/items/38UZ29FY","http://zotero.org/users/9596130/items/38UZ29FY"],"itemData":{"id":149,"type":"article-journal","container-title":"Journal of The Royal Society Interface","DOI":"10.1098/rsif.2010.0715","issue":"62","journalAbbreviation":"Journal of The Royal Society Interface","note":"publisher: Royal Society","page":"1307-1313","title":"Strategies for antiviral stockpiling for future influenza pandemics: a global epidemic-economic perspective","volume":"8","author":[{"family":"Carrasco","given":"Luis R."},{"family":"Lee","given":"Vernon J."},{"family":"Chen","given":"Mark I."},{"family":"Matchar","given":"David B."},{"family":"Thompson","given":"James P."},{"family":"Cook","given":"Alex R."}],"issued":{"date-parts":[["2011",2,4]]}}},{"id":152,"uris":["http://zotero.org/users/local/0pdZPGmr/items/77JRK7PH","http://zotero.org/users/9596130/items/77JRK7PH"],"itemData":{"id":152,"type":"article-journal","abstract":"Highly pathogenic avian influenza A (subtype H5N1) is threatening to cause a human pandemic of potentially devastating proportions. We used a stochastic influenza simulation model for rural Southeast Asia to investigate the effectiveness of targeted antiviral prophylaxis, quarantine, and pre-vaccination in containing an emerging influenza strain at the source. If the basic reproductive number (R0) was below 1.60, our simulations showed that a prepared response with targeted antivirals would have a high probability of containing the disease. In that case, an antiviral agent stockpile on the order of 100,000 to 1 million courses for treatment and prophylaxis would be sufficient. If pre-vaccination occurred, then targeted antiviral prophylaxis could be effective for containing strains with an R0 as high as 2.1. Combinations of targeted antiviral prophylaxis, pre-vaccination, and quarantine could contain strains with an R0 as high as 2.4.","container-title":"Science","DOI":"10.1126/science.1115717","issue":"5737","journalAbbreviation":"Science","note":"publisher: American Association for the Advancement of Science","page":"1083-1087","title":"Containing Pandemic Influenza at the Source","volume":"309","author":[{"family":"Longini","given":"Ira M."},{"family":"Nizam","given":"Azhar"},{"family":"Xu","given":"Shufu"},{"family":"Ungchusak","given":"Kumnuan"},{"family":"Hanshaoworakul","given":"Wanna"},{"family":"Cummings","given":"Derek A. T."},{"family":"Halloran","given":"M. Elizabeth"}],"issued":{"date-parts":[["2005",8,12]]}}},{"id":162,"uris":["http://zotero.org/users/local/0pdZPGmr/items/NXN8L4DB","http://zotero.org/users/9596130/items/NXN8L4DB"],"itemData":{"id":162,"type":"article-journal","abstract":"Planning a response to an outbreak of a pandemic strain of influenza is a high public health priority. Three research groups using different individual-based, stochastic simulation models have examined the consequences of intervention strategies chosen in consultation with U.S. public health workers. The first goal is to simulate the effectiveness of a set of potentially feasible intervention strategies. Combinations called targeted layered containment (TLC) of influenza antiviral treatment and prophylaxis and nonpharmaceutical interventions of quarantine, isolation, school closure, community social distancing, and workplace social distancing are considered. The second goal is to examine the robustness of the results to model assumptions. The comparisons focus on a pandemic outbreak in a population similar to that of Chicago, with ≈8.6 million people. The simulations suggest that at the expected transmissibility of a pandemic strain, timely implementation of a combination of targeted household antiviral prophylaxis, and social distancing measures could substantially lower the illness attack rate before a highly efficacious vaccine could become available. Timely initiation of measures and school closure play important roles. Because of the current lack of data on which to base such models, further field research is recommended to learn more about the sources of transmission and the effectiveness of social distancing measures in reducing influenza transmission.","container-title":"Proceedings of the National Academy of Sciences","DOI":"10.1073/pnas.0706849105","issue":"12","journalAbbreviation":"Proceedings of the National Academy of Sciences","note":"publisher: Proceedings of the National Academy of Sciences","page":"4639-4644","title":"Modeling targeted layered containment of an influenza pandemic in the United States","volume":"105","author":[{"family":"Halloran","given":"M. Elizabeth"},{"family":"Ferguson","given":"Neil M."},{"family":"Eubank","given":"Stephen"},{"family":"Longini","given":"Ira M."},{"family":"Cummings","given":"Derek A. T."},{"family":"Lewis","given":"Bryan"},{"family":"Xu","given":"Shufu"},{"family":"Fraser","given":"Christophe"},{"family":"Vullikanti","given":"Anil"},{"family":"Germann","given":"Timothy C."},{"family":"Wagener","given":"Diane"},{"family":"Beckman","given":"Richard"},{"family":"Kadau","given":"Kai"},{"family":"Barrett","given":"Chris"},{"family":"Macken","given":"Catherine A."},{"family":"Burke","given":"Donald S."},{"family":"Cooley","given":"Philip"}],"issued":{"date-parts":[["2008",3,25]]}}},{"id":164,"uris":["http://zotero.org/users/local/0pdZPGmr/items/AFZHUSPY","http://zotero.org/users/9596130/items/AFZHUSPY"],"itemData":{"id":164,"type":"article-journal","abstract":"Highly pathogenic H5N1 influenza A viruses are now endemic in avian populations in Southeast Asia, and human cases continue to accumulate. Although currently incapable of sustained human-to-human transmission, H5N1 represents a serious pandemic threat owing to the risk of a mutation or reassortment generating a virus with increased transmissibility. Identifying public health interventions that might be able to halt a pandemic in its earliest stages is therefore a priority. Here we use a simulation model of influenza transmission in Southeast Asia to evaluate the potential effectiveness of targeted mass prophylactic use of antiviral drugs as a containment strategy. Other interventions aimed at reducing population contact rates are also examined as reinforcements to an antiviral-based containment policy. We show that elimination of a nascent pandemic may be feasible using a combination of geographically targeted prophylaxis and social distancing measures, if the basic reproduction number of the new virus is below 1.8. We predict that a stockpile of 3 million courses of antiviral drugs should be sufficient for elimination. Policy effectiveness depends critically on how quickly clinical cases are diagnosed and the speed with which antiviral drugs can be distributed.","container-title":"Nature","DOI":"10.1038/nature04017","ISSN":"1476-4687","issue":"7056","journalAbbreviation":"Nature","page":"209-214","title":"Strategies for containing an emerging influenza pandemic in Southeast Asia","volume":"437","author":[{"family":"Ferguson","given":"Neil M."},{"family":"Cummings","given":"Derek A.T."},{"family":"Cauchemez","given":"Simon"},{"family":"Fraser","given":"Christophe"},{"family":"Riley","given":"Steven"},{"family":"Meeyai","given":"Aronrag"},{"family":"Iamsirithaworn","given":"Sopon"},{"family":"Burke","given":"Donald S."}],"issued":{"date-parts":[["2005",9,1]]}}}],"schema":"https://github.com/citation-style-language/schema/raw/master/csl-citation.json"} </w:instrText>
      </w:r>
      <w:r w:rsidR="006A70C7" w:rsidRPr="005247CB">
        <w:rPr>
          <w:lang w:val="en-US"/>
        </w:rPr>
        <w:fldChar w:fldCharType="separate"/>
      </w:r>
      <w:r w:rsidR="006A263E">
        <w:rPr>
          <w:lang w:val="en-US"/>
        </w:rPr>
        <w:t>(Carrasco et al., 2011; Ferguson et al., 2005; Halloran et al., 2008; Longini et al., 2005)</w:t>
      </w:r>
      <w:r w:rsidR="006A70C7" w:rsidRPr="005247CB">
        <w:rPr>
          <w:lang w:val="en-US"/>
        </w:rPr>
        <w:fldChar w:fldCharType="end"/>
      </w:r>
      <w:r w:rsidR="00332215" w:rsidRPr="005247CB">
        <w:rPr>
          <w:lang w:val="en-US"/>
        </w:rPr>
        <w:t xml:space="preserve"> </w:t>
      </w:r>
      <w:r w:rsidR="004564DC" w:rsidRPr="005247CB">
        <w:rPr>
          <w:lang w:val="en-US"/>
        </w:rPr>
        <w:t>based on post-hoc analys</w:t>
      </w:r>
      <w:r w:rsidR="00C255F3" w:rsidRPr="005247CB">
        <w:rPr>
          <w:lang w:val="en-US"/>
        </w:rPr>
        <w:t>e</w:t>
      </w:r>
      <w:r w:rsidR="004564DC" w:rsidRPr="005247CB">
        <w:rPr>
          <w:lang w:val="en-US"/>
        </w:rPr>
        <w:t>s</w:t>
      </w:r>
      <w:r w:rsidR="002C75C6">
        <w:rPr>
          <w:lang w:val="en-US"/>
        </w:rPr>
        <w:t xml:space="preserve"> </w:t>
      </w:r>
      <w:r w:rsidR="008B320A" w:rsidRPr="005247CB">
        <w:rPr>
          <w:lang w:val="en-US"/>
        </w:rPr>
        <w:fldChar w:fldCharType="begin"/>
      </w:r>
      <w:r w:rsidR="006A263E">
        <w:rPr>
          <w:lang w:val="en-US"/>
        </w:rPr>
        <w:instrText xml:space="preserve"> ADDIN ZOTERO_ITEM CSL_CITATION {"citationID":"a2e286mvcqo","properties":{"formattedCitation":"(Yang et al., 2006)","plainCitation":"(Yang et al., 2006)","noteIndex":0},"citationItems":[{"id":161,"uris":["http://zotero.org/users/local/0pdZPGmr/items/TZPXF59U","http://zotero.org/users/9596130/items/TZPXF59U"],"itemData":{"id":161,"type":"article-journal","abstract":"Prophylaxis of contacts of infectious cases such as household members and treatment of infectious cases are methods to prevent the spread of infectious diseases. We develop a method based on maximum likelihood to estimate the efficacy of such interventions and the transmission probabilities. We consider both the design with prospective follow-up of close contact groups and the design with ascertainment of close contact groups by an index case as well as randomization by groups and by individuals. We compare the designs by using simulations. We estimate the efficacy of the influenza antiviral agent oseltamivir in reducing susceptibility and infectiousness in two case-ascertained household trials.","container-title":"Journal of the Royal Statistical Society Series C: Applied Statistics","DOI":"10.1111/j.1467-9876.2006.00539.x","ISSN":"0035-9254","issue":"3","journalAbbreviation":"Journal of the Royal Statistical Society Series C: Applied Statistics","page":"317-330","title":"Design and Evaluation of Prophylactic Interventions Using Infectious Disease Incidence Data from Close Contact Groups","volume":"55","author":[{"family":"Yang","given":"Yang"},{"family":"Longini","given":"Ira M.","suffix":"Jr"},{"family":"Halloran","given":"M. Elizabeth"}],"issued":{"date-parts":[["2006",5,1]]}}}],"schema":"https://github.com/citation-style-language/schema/raw/master/csl-citation.json"} </w:instrText>
      </w:r>
      <w:r w:rsidR="008B320A" w:rsidRPr="005247CB">
        <w:rPr>
          <w:lang w:val="en-US"/>
        </w:rPr>
        <w:fldChar w:fldCharType="separate"/>
      </w:r>
      <w:r w:rsidR="006A263E">
        <w:rPr>
          <w:lang w:val="en-US"/>
        </w:rPr>
        <w:t>(Yang et al., 2006)</w:t>
      </w:r>
      <w:r w:rsidR="008B320A" w:rsidRPr="005247CB">
        <w:rPr>
          <w:lang w:val="en-US"/>
        </w:rPr>
        <w:fldChar w:fldCharType="end"/>
      </w:r>
      <w:r w:rsidR="008B320A" w:rsidRPr="005247CB">
        <w:rPr>
          <w:lang w:val="en-US"/>
        </w:rPr>
        <w:t xml:space="preserve"> </w:t>
      </w:r>
      <w:r w:rsidR="00E56D53" w:rsidRPr="005247CB">
        <w:rPr>
          <w:lang w:val="en-US"/>
        </w:rPr>
        <w:t xml:space="preserve">of </w:t>
      </w:r>
      <w:r w:rsidR="005A14C9" w:rsidRPr="005247CB">
        <w:rPr>
          <w:lang w:val="en-US"/>
        </w:rPr>
        <w:t xml:space="preserve">past </w:t>
      </w:r>
      <w:r w:rsidR="006775FD" w:rsidRPr="005247CB">
        <w:rPr>
          <w:lang w:val="en-US"/>
        </w:rPr>
        <w:t>clinical trial data</w:t>
      </w:r>
      <w:r w:rsidR="00E56D53" w:rsidRPr="005247CB">
        <w:rPr>
          <w:lang w:val="en-US"/>
        </w:rPr>
        <w:t xml:space="preserve"> </w:t>
      </w:r>
      <w:r w:rsidR="00BB29B6" w:rsidRPr="005247CB">
        <w:rPr>
          <w:lang w:val="en-US"/>
        </w:rPr>
        <w:t>that</w:t>
      </w:r>
      <w:r w:rsidR="00916106" w:rsidRPr="005247CB">
        <w:rPr>
          <w:lang w:val="en-US"/>
        </w:rPr>
        <w:t xml:space="preserve"> originally</w:t>
      </w:r>
      <w:r w:rsidR="00BB29B6" w:rsidRPr="005247CB">
        <w:rPr>
          <w:lang w:val="en-US"/>
        </w:rPr>
        <w:t xml:space="preserve"> investigated</w:t>
      </w:r>
      <w:r w:rsidR="00E56D53" w:rsidRPr="005247CB">
        <w:rPr>
          <w:lang w:val="en-US"/>
        </w:rPr>
        <w:t xml:space="preserve"> the efficacy of oseltamivir as </w:t>
      </w:r>
      <w:r w:rsidR="000842D7" w:rsidRPr="005247CB">
        <w:rPr>
          <w:lang w:val="en-US"/>
        </w:rPr>
        <w:t>PEP</w:t>
      </w:r>
      <w:r w:rsidR="00E56D53" w:rsidRPr="005247CB">
        <w:rPr>
          <w:lang w:val="en-US"/>
        </w:rPr>
        <w:t xml:space="preserve"> to prevent infections among </w:t>
      </w:r>
      <w:r w:rsidR="00E56D53" w:rsidRPr="005247CB">
        <w:rPr>
          <w:lang w:val="en-US"/>
        </w:rPr>
        <w:lastRenderedPageBreak/>
        <w:t>uninfected household contacts</w:t>
      </w:r>
      <w:r w:rsidR="0035372C" w:rsidRPr="005247CB">
        <w:rPr>
          <w:lang w:val="en-US"/>
        </w:rPr>
        <w:t xml:space="preserve"> with no direct assessment of transmission risk reduction benefits of treatment among infected index patients</w:t>
      </w:r>
      <w:r w:rsidR="007F494D">
        <w:rPr>
          <w:lang w:val="en-US"/>
        </w:rPr>
        <w:t xml:space="preserve"> </w:t>
      </w:r>
      <w:r w:rsidR="00651241" w:rsidRPr="005247CB">
        <w:rPr>
          <w:lang w:val="en-US"/>
        </w:rPr>
        <w:fldChar w:fldCharType="begin"/>
      </w:r>
      <w:r w:rsidR="006A263E">
        <w:rPr>
          <w:lang w:val="en-US"/>
        </w:rPr>
        <w:instrText xml:space="preserve"> ADDIN ZOTERO_ITEM CSL_CITATION {"citationID":"a37icaobav","properties":{"formattedCitation":"(Hayden et al., 2004; Welliver et al., 2001)","plainCitation":"(Hayden et al., 2004; Welliver et al., 2001)","noteIndex":0},"citationItems":[{"id":158,"uris":["http://zotero.org/users/local/0pdZPGmr/items/ACKD54ME","http://zotero.org/users/9596130/items/ACKD54ME"],"itemData":{"id":158,"type":"article-journal","abstract":"ContextInfluenza virus is easily spread among the household contacts of an\ninfected person, and prevention of influenza in household contacts can control\nspread of influenza in the community.ObjectiveTo investigate the efficacy of oseltamivir in preventing spread of influenza\nto household contacts of influenza-infected index cases (ICs).Design and SettingRandomized, double-blind, placebo-controlled study conducted at 76 centers\nin North America and Europe during the winter of 1998-1999.ParticipantsThree hundred seventy-seven ICs, 163 (43%) of whom had laboratory-confirmed\ninfluenza infection, and 955 household contacts (aged ≥12 years) of all\nICs (415 contacts of influenza-positive ICs).InterventionsHousehold contacts were randomly assigned by household cluster to take\n75 mg of oseltamivir (n = 493) or placebo (n = 462) once daily for 7 days\nwithin 48 hours of symptom onset in the IC. The ICs did not receive antiviral\ntreatment.Main Outcome MeasureClinical influenza in contacts of influenza-positive ICs, confirmed\nin a laboratory by detection of virus shedding in nose and throat swabs or\na 4-fold or greater increase in influenza-specific serum antibody titer between\nbaseline and convalescent serum samples.ResultsIn contacts of an influenza-positive IC, the overall protective efficacy\nof oseltamivir against clinical influenza was 89% for individuals (95% confidence\ninterval [CI], 67%-97%; P&amp;lt;.001) and 84% for households\n(95% CI, 49%-95%; P&amp;lt;.001). In contacts of all\nICs, oseltamivir also significantly reduced incidence of clinical influenza,\nwith 89% protective efficacy (95% CI, 71%-96%; P&amp;lt;.001).\nViral shedding was inhibited in contacts taking oseltamivir, with 84% protective\nefficacy (95% CI, 57%-95%; P&amp;lt;.001). All virus\nisolates from oseltamivir recipients retained sensitivity to the active metabolite.\nOseltamivir was well tolerated; gastrointestinal tract effects were reported\nwith similar frequency in oseltamivir (9.3%) and placebo (7.2%) recipients.ConclusionIn our sample, postexposure prophylaxis with oseltamivir, 75 mg once\ndaily for 7 days, protected close contacts of influenza-infected persons against\ninfluenza illness, prevented outbreaks within households, and was well tolerated.","container-title":"JAMA","DOI":"10.1001/jama.285.6.748","ISSN":"0098-7484","issue":"6","journalAbbreviation":"JAMA","page":"748-754","title":"Effectiveness of Oseltamivir in Preventing Influenza in Household ContactsA Randomized Controlled Trial","volume":"285","author":[{"family":"Welliver","given":"Robert"},{"family":"Monto","given":"Arnold S."},{"family":"Carewicz","given":"Otmar"},{"family":"Schatteman","given":"Edwig"},{"family":"Hassman","given":"Michael"},{"family":"Hedrick","given":"James"},{"family":"Jackson","given":"Helen C."},{"family":"Huson","given":"Les"},{"family":"Ward","given":"Penelope"},{"family":"Oxford","given":"John S."},{"literal":"for the Oseltamivir Post Exposure Prophylaxis Investigator Group"}],"issued":{"date-parts":[["2001",2,14]]}}},{"id":160,"uris":["http://zotero.org/users/local/0pdZPGmr/items/8ILGT86R","http://zotero.org/users/9596130/items/8ILGT86R"],"itemData":{"id":160,"type":"article-journal","abstract":"We determined the efficacy of postexposure prophylaxis (PEP) and treatment of ill index cases with oseltamivir, in an attempt to prevent influenza transmission in households, in a study conducted in 277 households with 298 index cases (62% with laboratory-confirmed influenza) and 812 contacts aged </w:instrText>
      </w:r>
      <w:r w:rsidR="006A263E">
        <w:rPr>
          <w:rFonts w:ascii="Cambria Math" w:hAnsi="Cambria Math" w:cs="Cambria Math"/>
          <w:lang w:val="en-US"/>
        </w:rPr>
        <w:instrText>⩾</w:instrText>
      </w:r>
      <w:r w:rsidR="006A263E">
        <w:rPr>
          <w:lang w:val="en-US"/>
        </w:rPr>
        <w:instrText xml:space="preserve">1 year. Contacts were randomized by household to receive treatment (5 days; n=402), if illness developed, or PEP for 10 days (n=410), and the number of households with at least 1 contact developing laboratory-confirmed influenza was measured. PEP provided a protective efficacy of 58.5% (95% confidence interval [CI], 15.6%–79.6%; P=.0114) for households against proven influenza and 68.0% (95% CI, 34.9%–84.2%; P=.0017) for individual contacts, compared with treatment of index cases alone. No oseltamivir-resistant variants were detected in treated index cases or contacts. PEP of household contacts of those with influenza reduces the secondary spread of influenza in families when the initial household case is treated","container-title":"The Journal of Infectious Diseases","DOI":"10.1086/381128","ISSN":"0022-1899","issue":"3","journalAbbreviation":"The Journal of Infectious Diseases","page":"440-449","title":"Management of Influenza in Households: A Prospective, Randomized Comparison of Oseltamivir Treatment With or Without Postexposure Prophylaxis","volume":"189","author":[{"family":"Hayden","given":"Frederick G."},{"family":"Belshe","given":"Robert"},{"family":"Villanueva","given":"Catalina"},{"family":"Lanno","given":"Riin"},{"family":"Hughes","given":"Claire"},{"family":"Small","given":"Ian"},{"family":"Dutkowski","given":"Regina"},{"family":"Ward","given":"Penelope"},{"family":"Carr","given":"Jackie"}],"issued":{"date-parts":[["2004",2,1]]}}}],"schema":"https://github.com/citation-style-language/schema/raw/master/csl-citation.json"} </w:instrText>
      </w:r>
      <w:r w:rsidR="00651241" w:rsidRPr="005247CB">
        <w:rPr>
          <w:lang w:val="en-US"/>
        </w:rPr>
        <w:fldChar w:fldCharType="separate"/>
      </w:r>
      <w:r w:rsidR="006A263E">
        <w:rPr>
          <w:lang w:val="en-US"/>
        </w:rPr>
        <w:t>(Hayden et al., 2004; Welliver et al., 2001)</w:t>
      </w:r>
      <w:r w:rsidR="00651241" w:rsidRPr="005247CB">
        <w:rPr>
          <w:lang w:val="en-US"/>
        </w:rPr>
        <w:fldChar w:fldCharType="end"/>
      </w:r>
      <w:r w:rsidR="007F494D">
        <w:rPr>
          <w:lang w:val="en-US"/>
        </w:rPr>
        <w:t>.</w:t>
      </w:r>
      <w:r w:rsidR="0035372C" w:rsidRPr="005247CB">
        <w:rPr>
          <w:lang w:val="en-US"/>
        </w:rPr>
        <w:t xml:space="preserve"> </w:t>
      </w:r>
      <w:r w:rsidR="00544280" w:rsidRPr="005247CB">
        <w:rPr>
          <w:lang w:val="en-US"/>
        </w:rPr>
        <w:t xml:space="preserve">This is </w:t>
      </w:r>
      <w:r w:rsidR="00BC45EC" w:rsidRPr="005247CB">
        <w:rPr>
          <w:lang w:val="en-US"/>
        </w:rPr>
        <w:t xml:space="preserve">an </w:t>
      </w:r>
      <w:r w:rsidR="00544280" w:rsidRPr="005247CB">
        <w:rPr>
          <w:lang w:val="en-US"/>
        </w:rPr>
        <w:t xml:space="preserve">overestimate </w:t>
      </w:r>
      <w:r w:rsidR="00A32EEB" w:rsidRPr="005247CB">
        <w:rPr>
          <w:lang w:val="en-US"/>
        </w:rPr>
        <w:t>as</w:t>
      </w:r>
      <w:r w:rsidR="006D6583" w:rsidRPr="005247CB">
        <w:rPr>
          <w:lang w:val="en-US"/>
        </w:rPr>
        <w:t xml:space="preserve"> </w:t>
      </w:r>
      <w:r w:rsidR="00D95686" w:rsidRPr="005247CB">
        <w:rPr>
          <w:lang w:val="en-US"/>
        </w:rPr>
        <w:t>BXM</w:t>
      </w:r>
      <w:r w:rsidR="0032172C">
        <w:rPr>
          <w:lang w:val="en-US"/>
        </w:rPr>
        <w:t xml:space="preserve"> </w:t>
      </w:r>
      <w:r w:rsidR="00D95686" w:rsidRPr="005247CB">
        <w:rPr>
          <w:lang w:val="en-US"/>
        </w:rPr>
        <w:t>which</w:t>
      </w:r>
      <w:r w:rsidR="00314BCE" w:rsidRPr="005247CB">
        <w:rPr>
          <w:lang w:val="en-US"/>
        </w:rPr>
        <w:t xml:space="preserve"> </w:t>
      </w:r>
      <w:r w:rsidR="008C0E64" w:rsidRPr="005247CB">
        <w:rPr>
          <w:lang w:val="en-US"/>
        </w:rPr>
        <w:t>significantly reduce</w:t>
      </w:r>
      <w:r w:rsidR="00D95686" w:rsidRPr="005247CB">
        <w:rPr>
          <w:lang w:val="en-US"/>
        </w:rPr>
        <w:t>s</w:t>
      </w:r>
      <w:r w:rsidR="0003412B" w:rsidRPr="005247CB">
        <w:rPr>
          <w:lang w:val="en-US"/>
        </w:rPr>
        <w:t xml:space="preserve"> infectious</w:t>
      </w:r>
      <w:r w:rsidR="00D95686" w:rsidRPr="005247CB">
        <w:rPr>
          <w:lang w:val="en-US"/>
        </w:rPr>
        <w:t xml:space="preserve"> viral load</w:t>
      </w:r>
      <w:r w:rsidR="00314BCE" w:rsidRPr="005247CB">
        <w:rPr>
          <w:lang w:val="en-US"/>
        </w:rPr>
        <w:t xml:space="preserve"> relative to oseltamivir</w:t>
      </w:r>
      <w:r w:rsidR="008C3AC8">
        <w:rPr>
          <w:lang w:val="en-US"/>
        </w:rPr>
        <w:t xml:space="preserve"> </w:t>
      </w:r>
      <w:r w:rsidR="000B7649" w:rsidRPr="005247CB">
        <w:rPr>
          <w:lang w:val="en-US"/>
        </w:rPr>
        <w:fldChar w:fldCharType="begin"/>
      </w:r>
      <w:r w:rsidR="006A263E">
        <w:rPr>
          <w:lang w:val="en-US"/>
        </w:rPr>
        <w:instrText xml:space="preserve"> ADDIN ZOTERO_ITEM CSL_CITATION {"citationID":"a1r8lvjhqi8","properties":{"formattedCitation":"(Hayden Frederick G. et al., 2018)","plainCitation":"(Hayden Frederick G. et al., 2018)","noteIndex":0},"citationItems":[{"id":9,"uris":["http://zotero.org/users/local/0pdZPGmr/items/LU5QH5UX","http://zotero.org/users/9596130/items/LU5QH5UX"],"itemData":{"id":9,"type":"article-journal","abstract":"In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000B7649" w:rsidRPr="005247CB">
        <w:rPr>
          <w:lang w:val="en-US"/>
        </w:rPr>
        <w:fldChar w:fldCharType="separate"/>
      </w:r>
      <w:r w:rsidR="006A263E">
        <w:rPr>
          <w:lang w:val="en-US"/>
        </w:rPr>
        <w:t>(Hayden Frederick G. et al., 2018)</w:t>
      </w:r>
      <w:r w:rsidR="000B7649" w:rsidRPr="005247CB">
        <w:rPr>
          <w:lang w:val="en-US"/>
        </w:rPr>
        <w:fldChar w:fldCharType="end"/>
      </w:r>
      <w:r w:rsidR="0032172C">
        <w:rPr>
          <w:lang w:val="en-US"/>
        </w:rPr>
        <w:t xml:space="preserve"> and</w:t>
      </w:r>
      <w:r w:rsidR="00314BCE" w:rsidRPr="005247CB">
        <w:rPr>
          <w:lang w:val="en-US"/>
        </w:rPr>
        <w:t xml:space="preserve"> </w:t>
      </w:r>
      <w:r w:rsidR="0003412B" w:rsidRPr="005247CB">
        <w:rPr>
          <w:lang w:val="en-US"/>
        </w:rPr>
        <w:t>is</w:t>
      </w:r>
      <w:r w:rsidR="00544280" w:rsidRPr="005247CB">
        <w:rPr>
          <w:lang w:val="en-US"/>
        </w:rPr>
        <w:t xml:space="preserve"> found to</w:t>
      </w:r>
      <w:r w:rsidR="00A835A2" w:rsidRPr="005247CB">
        <w:rPr>
          <w:lang w:val="en-US"/>
        </w:rPr>
        <w:t xml:space="preserve"> reduce transmission</w:t>
      </w:r>
      <w:r w:rsidR="0003412B" w:rsidRPr="005247CB">
        <w:rPr>
          <w:lang w:val="en-US"/>
        </w:rPr>
        <w:t xml:space="preserve"> of treated index patients to untreated contacts</w:t>
      </w:r>
      <w:r w:rsidR="00A835A2" w:rsidRPr="005247CB">
        <w:rPr>
          <w:lang w:val="en-US"/>
        </w:rPr>
        <w:t xml:space="preserve"> by 29% based on </w:t>
      </w:r>
      <w:r w:rsidR="006D6583" w:rsidRPr="005247CB">
        <w:rPr>
          <w:lang w:val="en-US"/>
        </w:rPr>
        <w:t xml:space="preserve">a recent </w:t>
      </w:r>
      <w:r w:rsidR="00544280" w:rsidRPr="005247CB">
        <w:rPr>
          <w:lang w:val="en-US"/>
        </w:rPr>
        <w:t>random</w:t>
      </w:r>
      <w:r w:rsidR="005247CB">
        <w:rPr>
          <w:lang w:val="en-US"/>
        </w:rPr>
        <w:t>ise</w:t>
      </w:r>
      <w:r w:rsidR="00544280" w:rsidRPr="005247CB">
        <w:rPr>
          <w:lang w:val="en-US"/>
        </w:rPr>
        <w:t>d</w:t>
      </w:r>
      <w:r w:rsidR="00A835A2" w:rsidRPr="005247CB">
        <w:rPr>
          <w:lang w:val="en-US"/>
        </w:rPr>
        <w:t xml:space="preserve"> clinical trial</w:t>
      </w:r>
      <w:r w:rsidR="002525F2" w:rsidRPr="005247CB">
        <w:rPr>
          <w:lang w:val="en-US"/>
        </w:rPr>
        <w:t xml:space="preserve"> (CENTERSTONE)</w:t>
      </w:r>
      <w:r w:rsidR="001A72BB">
        <w:rPr>
          <w:lang w:val="en-US"/>
        </w:rPr>
        <w:t xml:space="preserve"> </w:t>
      </w:r>
      <w:r w:rsidR="000B7649" w:rsidRPr="005247CB">
        <w:rPr>
          <w:lang w:val="en-US"/>
        </w:rPr>
        <w:fldChar w:fldCharType="begin"/>
      </w:r>
      <w:r w:rsidR="006A263E">
        <w:rPr>
          <w:lang w:val="en-US"/>
        </w:rPr>
        <w:instrText xml:space="preserve"> ADDIN ZOTERO_ITEM CSL_CITATION {"citationID":"a1vo5fu2o05","properties":{"formattedCitation":"(Monto Arnold S. et al., 2025)","plainCitation":"(Monto Arnold S. et al., 2025)","noteIndex":0},"citationItems":[{"id":288,"uris":["http://zotero.org/users/9596130/items/HVVT3WY6"],"itemData":{"id":288,"type":"article-journal","container-title":"New England Journal of Medicine","DOI":"10.1056/NEJMoa2413156","issue":"16","journalAbbreviation":"New England Journal of Medicine","note":"publisher: Massachusetts Medical Society","page":"1582-1593","title":"Efficacy of Baloxavir Treatment in Preventing Transmission of Influenza","volume":"392","author":[{"literal":"Monto Arnold S."},{"literal":"Kuhlbusch Klaus"},{"literal":"Bernasconi Corrado"},{"literal":"Cao Bin"},{"literal":"Cohen Herman Avner"},{"literal":"Graham Emily"},{"literal":"Hurt Aeron C."},{"literal":"Katugampola Laurie"},{"literal":"Kamezawa Takashi"},{"literal":"Lauring Adam S."},{"literal":"McLean Barry"},{"literal":"Takazono Takahiro"},{"literal":"Widmer Andreas"},{"literal":"Wildum Steffen"},{"literal":"Cowling Benjamin J."}],"issued":{"date-parts":[["2025",4,23]]}}}],"schema":"https://github.com/citation-style-language/schema/raw/master/csl-citation.json"} </w:instrText>
      </w:r>
      <w:r w:rsidR="000B7649" w:rsidRPr="005247CB">
        <w:rPr>
          <w:lang w:val="en-US"/>
        </w:rPr>
        <w:fldChar w:fldCharType="separate"/>
      </w:r>
      <w:r w:rsidR="006A263E">
        <w:rPr>
          <w:lang w:val="en-US"/>
        </w:rPr>
        <w:t>(Monto Arnold S. et al., 2025)</w:t>
      </w:r>
      <w:r w:rsidR="000B7649" w:rsidRPr="005247CB">
        <w:rPr>
          <w:lang w:val="en-US"/>
        </w:rPr>
        <w:fldChar w:fldCharType="end"/>
      </w:r>
      <w:r w:rsidR="001A72BB">
        <w:rPr>
          <w:lang w:val="en-US"/>
        </w:rPr>
        <w:t>.</w:t>
      </w:r>
      <w:r w:rsidR="008B320A" w:rsidRPr="005247CB">
        <w:rPr>
          <w:lang w:val="en-US"/>
        </w:rPr>
        <w:t xml:space="preserve"> </w:t>
      </w:r>
    </w:p>
    <w:p w14:paraId="138B9B18" w14:textId="285E8C16" w:rsidR="00377840" w:rsidRPr="005247CB" w:rsidRDefault="005B6298" w:rsidP="00B60886">
      <w:pPr>
        <w:rPr>
          <w:lang w:val="en-US"/>
        </w:rPr>
      </w:pPr>
      <w:r w:rsidRPr="005247CB">
        <w:rPr>
          <w:lang w:val="en-US"/>
        </w:rPr>
        <w:t>In this study</w:t>
      </w:r>
      <w:r w:rsidR="00BB59DC" w:rsidRPr="005247CB">
        <w:rPr>
          <w:lang w:val="en-US"/>
        </w:rPr>
        <w:t>,</w:t>
      </w:r>
      <w:r w:rsidR="00974CA2" w:rsidRPr="005247CB">
        <w:rPr>
          <w:lang w:val="en-US"/>
        </w:rPr>
        <w:t xml:space="preserve"> </w:t>
      </w:r>
      <w:r w:rsidR="00BB59DC" w:rsidRPr="005247CB">
        <w:rPr>
          <w:lang w:val="en-US"/>
        </w:rPr>
        <w:t xml:space="preserve">we </w:t>
      </w:r>
      <w:r w:rsidR="00720F23" w:rsidRPr="005247CB">
        <w:rPr>
          <w:lang w:val="en-US"/>
        </w:rPr>
        <w:t>developed</w:t>
      </w:r>
      <w:r w:rsidR="002D5597" w:rsidRPr="005247CB">
        <w:rPr>
          <w:lang w:val="en-US"/>
        </w:rPr>
        <w:t xml:space="preserve"> a novel mathematical modelling framework to estimate </w:t>
      </w:r>
      <w:r w:rsidR="00BB59DC" w:rsidRPr="005247CB">
        <w:rPr>
          <w:lang w:val="en-US"/>
        </w:rPr>
        <w:t xml:space="preserve">the </w:t>
      </w:r>
      <w:r w:rsidR="0094554D" w:rsidRPr="005247CB">
        <w:rPr>
          <w:lang w:val="en-US"/>
        </w:rPr>
        <w:t xml:space="preserve">maximum </w:t>
      </w:r>
      <w:r w:rsidR="00BB59DC" w:rsidRPr="005247CB">
        <w:rPr>
          <w:lang w:val="en-US"/>
        </w:rPr>
        <w:t xml:space="preserve">antiviral </w:t>
      </w:r>
      <w:r w:rsidR="00C45F37" w:rsidRPr="005247CB">
        <w:rPr>
          <w:lang w:val="en-US"/>
        </w:rPr>
        <w:t>demand</w:t>
      </w:r>
      <w:r w:rsidR="00BB59DC" w:rsidRPr="005247CB">
        <w:rPr>
          <w:lang w:val="en-US"/>
        </w:rPr>
        <w:t xml:space="preserve"> and</w:t>
      </w:r>
      <w:r w:rsidR="00375D20" w:rsidRPr="005247CB">
        <w:rPr>
          <w:lang w:val="en-US"/>
        </w:rPr>
        <w:t xml:space="preserve"> </w:t>
      </w:r>
      <w:r w:rsidR="00BB59DC" w:rsidRPr="005247CB">
        <w:rPr>
          <w:lang w:val="en-US"/>
        </w:rPr>
        <w:t xml:space="preserve">associated </w:t>
      </w:r>
      <w:r w:rsidRPr="005247CB">
        <w:rPr>
          <w:lang w:val="en-US"/>
        </w:rPr>
        <w:t>impact on burden reduction</w:t>
      </w:r>
      <w:r w:rsidR="00BB59DC" w:rsidRPr="005247CB">
        <w:rPr>
          <w:lang w:val="en-US"/>
        </w:rPr>
        <w:t xml:space="preserve"> </w:t>
      </w:r>
      <w:r w:rsidR="0094554D" w:rsidRPr="005247CB">
        <w:rPr>
          <w:lang w:val="en-US"/>
        </w:rPr>
        <w:t>when using either BXM or oseltamivir to</w:t>
      </w:r>
      <w:r w:rsidR="00375D20" w:rsidRPr="005247CB">
        <w:rPr>
          <w:lang w:val="en-US"/>
        </w:rPr>
        <w:t xml:space="preserve"> mitigate</w:t>
      </w:r>
      <w:r w:rsidR="00BB59DC" w:rsidRPr="005247CB">
        <w:rPr>
          <w:lang w:val="en-US"/>
        </w:rPr>
        <w:t xml:space="preserve"> </w:t>
      </w:r>
      <w:r w:rsidR="00C45F37" w:rsidRPr="005247CB">
        <w:rPr>
          <w:lang w:val="en-US"/>
        </w:rPr>
        <w:t>the initial wave of</w:t>
      </w:r>
      <w:r w:rsidR="0094554D" w:rsidRPr="005247CB">
        <w:rPr>
          <w:lang w:val="en-US"/>
        </w:rPr>
        <w:t xml:space="preserve"> an</w:t>
      </w:r>
      <w:r w:rsidR="00BB59DC" w:rsidRPr="005247CB">
        <w:rPr>
          <w:lang w:val="en-US"/>
        </w:rPr>
        <w:t xml:space="preserve"> influenza pandemic</w:t>
      </w:r>
      <w:r w:rsidR="0046050D" w:rsidRPr="005247CB">
        <w:rPr>
          <w:lang w:val="en-US"/>
        </w:rPr>
        <w:t xml:space="preserve"> (see Methods</w:t>
      </w:r>
      <w:r w:rsidR="00C6027A">
        <w:rPr>
          <w:lang w:val="en-US"/>
        </w:rPr>
        <w:t xml:space="preserve"> and Appendix</w:t>
      </w:r>
      <w:r w:rsidR="0046050D" w:rsidRPr="005247CB">
        <w:rPr>
          <w:lang w:val="en-US"/>
        </w:rPr>
        <w:t xml:space="preserve">). We applied our model to </w:t>
      </w:r>
      <w:r w:rsidR="002D49BB" w:rsidRPr="005247CB">
        <w:rPr>
          <w:lang w:val="en-US"/>
        </w:rPr>
        <w:t>186</w:t>
      </w:r>
      <w:r w:rsidR="00BB59DC" w:rsidRPr="005247CB">
        <w:rPr>
          <w:lang w:val="en-US"/>
        </w:rPr>
        <w:t xml:space="preserve"> countries</w:t>
      </w:r>
      <w:r w:rsidR="00B93CA9" w:rsidRPr="005247CB">
        <w:rPr>
          <w:lang w:val="en-US"/>
        </w:rPr>
        <w:t xml:space="preserve"> where we have reliable demography and age-stratified contact pattern estimates</w:t>
      </w:r>
      <w:r w:rsidR="0046050D" w:rsidRPr="005247CB">
        <w:rPr>
          <w:lang w:val="en-US"/>
        </w:rPr>
        <w:t>, providing country-specific demand and impact estimates under the same modelling framework</w:t>
      </w:r>
      <w:r w:rsidR="002D5597" w:rsidRPr="005247CB">
        <w:rPr>
          <w:lang w:val="en-US"/>
        </w:rPr>
        <w:t xml:space="preserve">. </w:t>
      </w:r>
      <w:r w:rsidRPr="005247CB">
        <w:rPr>
          <w:lang w:val="en-US"/>
        </w:rPr>
        <w:t xml:space="preserve">We </w:t>
      </w:r>
      <w:r w:rsidR="0094554D" w:rsidRPr="005247CB">
        <w:rPr>
          <w:lang w:val="en-US"/>
        </w:rPr>
        <w:t>use</w:t>
      </w:r>
      <w:r w:rsidRPr="005247CB">
        <w:rPr>
          <w:lang w:val="en-US"/>
        </w:rPr>
        <w:t>d</w:t>
      </w:r>
      <w:r w:rsidR="0094554D" w:rsidRPr="005247CB">
        <w:rPr>
          <w:lang w:val="en-US"/>
        </w:rPr>
        <w:t xml:space="preserve"> the latest</w:t>
      </w:r>
      <w:r w:rsidR="002D5597" w:rsidRPr="005247CB">
        <w:rPr>
          <w:lang w:val="en-US"/>
        </w:rPr>
        <w:t xml:space="preserve"> </w:t>
      </w:r>
      <w:r w:rsidR="0094554D" w:rsidRPr="005247CB">
        <w:rPr>
          <w:lang w:val="en-US"/>
        </w:rPr>
        <w:t>estimates of transmission risk reduction of antivirals</w:t>
      </w:r>
      <w:r w:rsidR="00C45F37" w:rsidRPr="005247CB">
        <w:rPr>
          <w:lang w:val="en-US"/>
        </w:rPr>
        <w:t xml:space="preserve"> </w:t>
      </w:r>
      <w:r w:rsidR="0094554D" w:rsidRPr="005247CB">
        <w:rPr>
          <w:lang w:val="en-US"/>
        </w:rPr>
        <w:t xml:space="preserve">based on </w:t>
      </w:r>
      <w:r w:rsidRPr="005247CB">
        <w:rPr>
          <w:lang w:val="en-US"/>
        </w:rPr>
        <w:t>direct measurements in</w:t>
      </w:r>
      <w:r w:rsidR="00793FC0" w:rsidRPr="005247CB">
        <w:rPr>
          <w:lang w:val="en-US"/>
        </w:rPr>
        <w:t xml:space="preserve"> clinical trials</w:t>
      </w:r>
      <w:r w:rsidRPr="005247CB">
        <w:rPr>
          <w:lang w:val="en-US"/>
        </w:rPr>
        <w:t xml:space="preserve"> while accounting for delays and heterogeneity in treatment administration since infection across the population. </w:t>
      </w:r>
      <w:r w:rsidR="00FC3787" w:rsidRPr="005247CB">
        <w:rPr>
          <w:lang w:val="en-US"/>
        </w:rPr>
        <w:t>We also</w:t>
      </w:r>
      <w:r w:rsidRPr="005247CB">
        <w:rPr>
          <w:lang w:val="en-US"/>
        </w:rPr>
        <w:t xml:space="preserve"> estimated</w:t>
      </w:r>
      <w:r w:rsidR="0094554D" w:rsidRPr="005247CB">
        <w:rPr>
          <w:lang w:val="en-US"/>
        </w:rPr>
        <w:t xml:space="preserve"> </w:t>
      </w:r>
      <w:r w:rsidRPr="005247CB">
        <w:rPr>
          <w:lang w:val="en-US"/>
        </w:rPr>
        <w:t xml:space="preserve">the </w:t>
      </w:r>
      <w:r w:rsidR="00B1365D" w:rsidRPr="005247CB">
        <w:rPr>
          <w:lang w:val="en-US"/>
        </w:rPr>
        <w:t>additional</w:t>
      </w:r>
      <w:r w:rsidRPr="005247CB">
        <w:rPr>
          <w:lang w:val="en-US"/>
        </w:rPr>
        <w:t xml:space="preserve"> </w:t>
      </w:r>
      <w:r w:rsidR="00B1365D" w:rsidRPr="005247CB">
        <w:rPr>
          <w:lang w:val="en-US"/>
        </w:rPr>
        <w:t xml:space="preserve">antiviral </w:t>
      </w:r>
      <w:r w:rsidRPr="005247CB">
        <w:rPr>
          <w:lang w:val="en-US"/>
        </w:rPr>
        <w:t>demand and potential benefits</w:t>
      </w:r>
      <w:r w:rsidR="007A0243" w:rsidRPr="005247CB">
        <w:rPr>
          <w:lang w:val="en-US"/>
        </w:rPr>
        <w:t xml:space="preserve"> in</w:t>
      </w:r>
      <w:r w:rsidRPr="005247CB">
        <w:rPr>
          <w:lang w:val="en-US"/>
        </w:rPr>
        <w:t xml:space="preserve"> </w:t>
      </w:r>
      <w:r w:rsidR="007A0243" w:rsidRPr="005247CB">
        <w:rPr>
          <w:lang w:val="en-US"/>
        </w:rPr>
        <w:t>distributing</w:t>
      </w:r>
      <w:r w:rsidRPr="005247CB">
        <w:rPr>
          <w:lang w:val="en-US"/>
        </w:rPr>
        <w:t xml:space="preserve"> </w:t>
      </w:r>
      <w:r w:rsidR="000519A2" w:rsidRPr="005247CB">
        <w:rPr>
          <w:lang w:val="en-US"/>
        </w:rPr>
        <w:t>PEP</w:t>
      </w:r>
      <w:r w:rsidRPr="005247CB">
        <w:rPr>
          <w:lang w:val="en-US"/>
        </w:rPr>
        <w:t xml:space="preserve"> to household contacts</w:t>
      </w:r>
      <w:r w:rsidR="00E61AAA" w:rsidRPr="005247CB">
        <w:rPr>
          <w:lang w:val="en-US"/>
        </w:rPr>
        <w:t xml:space="preserve">. </w:t>
      </w:r>
      <w:r w:rsidR="008E5E9F" w:rsidRPr="005247CB">
        <w:rPr>
          <w:lang w:val="en-US"/>
        </w:rPr>
        <w:t xml:space="preserve">Finally, we quantified </w:t>
      </w:r>
      <w:r w:rsidR="00E45A70" w:rsidRPr="005247CB">
        <w:rPr>
          <w:lang w:val="en-US"/>
        </w:rPr>
        <w:t xml:space="preserve">how the spread of antiviral resistance </w:t>
      </w:r>
      <w:r w:rsidR="00B2796B" w:rsidRPr="005247CB">
        <w:rPr>
          <w:lang w:val="en-US"/>
        </w:rPr>
        <w:t>could potentially</w:t>
      </w:r>
      <w:r w:rsidR="00F30791" w:rsidRPr="005247CB">
        <w:rPr>
          <w:lang w:val="en-US"/>
        </w:rPr>
        <w:t xml:space="preserve"> </w:t>
      </w:r>
      <w:r w:rsidR="00E45A70" w:rsidRPr="005247CB">
        <w:rPr>
          <w:lang w:val="en-US"/>
        </w:rPr>
        <w:t>impact antiviral demand and burden reduction</w:t>
      </w:r>
      <w:r w:rsidRPr="005247CB">
        <w:rPr>
          <w:lang w:val="en-US"/>
        </w:rPr>
        <w:t>.</w:t>
      </w:r>
    </w:p>
    <w:p w14:paraId="152C5C4A" w14:textId="77777777" w:rsidR="00FA4613" w:rsidRPr="005247CB" w:rsidRDefault="00FA4613" w:rsidP="00F831FC">
      <w:pPr>
        <w:rPr>
          <w:lang w:val="en-US"/>
        </w:rPr>
      </w:pPr>
    </w:p>
    <w:p w14:paraId="37CA1A6E" w14:textId="395039AA" w:rsidR="00C703CE" w:rsidRPr="005247CB" w:rsidRDefault="000F78C4" w:rsidP="00C703CE">
      <w:pPr>
        <w:pStyle w:val="Heading1"/>
      </w:pPr>
      <w:r w:rsidRPr="005247CB">
        <w:t xml:space="preserve">Results </w:t>
      </w:r>
    </w:p>
    <w:p w14:paraId="55C0F138" w14:textId="69E03D03" w:rsidR="00C703CE" w:rsidRPr="005247CB" w:rsidRDefault="00B710C6" w:rsidP="00C703CE">
      <w:pPr>
        <w:pStyle w:val="Heading2"/>
      </w:pPr>
      <w:r w:rsidRPr="005247CB">
        <w:t xml:space="preserve">Maximum antiviral treatment demand and </w:t>
      </w:r>
      <w:r w:rsidR="00085407" w:rsidRPr="005247CB">
        <w:t>mean</w:t>
      </w:r>
      <w:r w:rsidR="00C703CE" w:rsidRPr="005247CB">
        <w:t xml:space="preserve"> </w:t>
      </w:r>
      <w:r w:rsidR="003E4148" w:rsidRPr="005247CB">
        <w:t>deaths averted</w:t>
      </w:r>
      <w:r w:rsidR="00C703CE" w:rsidRPr="005247CB">
        <w:t xml:space="preserve"> </w:t>
      </w:r>
    </w:p>
    <w:p w14:paraId="46E8A3A0" w14:textId="2BC11C21" w:rsidR="004D41C3" w:rsidRPr="005247CB" w:rsidRDefault="00974CA2" w:rsidP="00B60886">
      <w:pPr>
        <w:rPr>
          <w:lang w:val="en-US"/>
        </w:rPr>
      </w:pPr>
      <w:r w:rsidRPr="005247CB">
        <w:rPr>
          <w:lang w:val="en-US"/>
        </w:rPr>
        <w:t xml:space="preserve">Given </w:t>
      </w:r>
      <w:r w:rsidR="002300B7" w:rsidRPr="005247CB">
        <w:rPr>
          <w:lang w:val="en-US"/>
        </w:rPr>
        <w:t xml:space="preserve">the uncertainties </w:t>
      </w:r>
      <w:r w:rsidRPr="005247CB">
        <w:rPr>
          <w:lang w:val="en-US"/>
        </w:rPr>
        <w:t>in</w:t>
      </w:r>
      <w:r w:rsidR="000215B4" w:rsidRPr="005247CB">
        <w:rPr>
          <w:lang w:val="en-US"/>
        </w:rPr>
        <w:t xml:space="preserve"> predicting morbidity and mortality </w:t>
      </w:r>
      <w:r w:rsidR="002300B7" w:rsidRPr="005247CB">
        <w:rPr>
          <w:lang w:val="en-US"/>
        </w:rPr>
        <w:t>for</w:t>
      </w:r>
      <w:r w:rsidRPr="005247CB">
        <w:rPr>
          <w:lang w:val="en-US"/>
        </w:rPr>
        <w:t xml:space="preserve"> the</w:t>
      </w:r>
      <w:r w:rsidR="000215B4" w:rsidRPr="005247CB">
        <w:rPr>
          <w:lang w:val="en-US"/>
        </w:rPr>
        <w:t xml:space="preserve"> next influenza pandemic, </w:t>
      </w:r>
      <w:r w:rsidR="00C80443" w:rsidRPr="005247CB">
        <w:rPr>
          <w:lang w:val="en-US"/>
        </w:rPr>
        <w:t xml:space="preserve">we propose </w:t>
      </w:r>
      <w:r w:rsidRPr="005247CB">
        <w:rPr>
          <w:lang w:val="en-US"/>
        </w:rPr>
        <w:t xml:space="preserve">that </w:t>
      </w:r>
      <w:r w:rsidR="000215B4" w:rsidRPr="005247CB">
        <w:rPr>
          <w:lang w:val="en-US"/>
        </w:rPr>
        <w:t xml:space="preserve">a useful guiding framework for pandemic antiviral stockpile planning is to first set expectations on the maximum drug demand and impact of distributing antivirals for treatment during past </w:t>
      </w:r>
      <w:r w:rsidR="008A0BE3">
        <w:rPr>
          <w:lang w:val="en-US"/>
        </w:rPr>
        <w:t xml:space="preserve">pandemic scenarios (i.e. </w:t>
      </w:r>
      <w:r w:rsidR="008A0BE3" w:rsidRPr="005247CB">
        <w:rPr>
          <w:lang w:val="en-US"/>
        </w:rPr>
        <w:t>1918 A/H1N1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oMath>
      <w:r w:rsidR="008A0BE3" w:rsidRPr="005247CB">
        <w:rPr>
          <w:lang w:val="en-US"/>
        </w:rPr>
        <w:t>=2.0), 1968 A/H3N2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oMath>
      <w:r w:rsidR="008A0BE3" w:rsidRPr="005247CB">
        <w:rPr>
          <w:lang w:val="en-US"/>
        </w:rPr>
        <w:t>=1.8), 2009 A/H1N1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oMath>
      <w:r w:rsidR="008A0BE3" w:rsidRPr="005247CB">
        <w:rPr>
          <w:lang w:val="en-US"/>
        </w:rPr>
        <w:t>=1.5) and an influenza pandemic with COVID-19-like reproduction number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oMath>
      <w:r w:rsidR="008A0BE3" w:rsidRPr="005247CB">
        <w:rPr>
          <w:lang w:val="en-US"/>
        </w:rPr>
        <w:t>=3.0) and disease burden but with IAV-like generation interval</w:t>
      </w:r>
      <w:r w:rsidR="00242260">
        <w:rPr>
          <w:lang w:val="en-US"/>
        </w:rPr>
        <w:t xml:space="preserve">; see Methods and </w:t>
      </w:r>
      <w:r w:rsidR="007E4DD9">
        <w:rPr>
          <w:lang w:val="en-US"/>
        </w:rPr>
        <w:t>Appendix</w:t>
      </w:r>
      <w:r w:rsidR="008A0BE3">
        <w:rPr>
          <w:lang w:val="en-US"/>
        </w:rPr>
        <w:t>)</w:t>
      </w:r>
      <w:r w:rsidRPr="005247CB">
        <w:rPr>
          <w:lang w:val="en-US"/>
        </w:rPr>
        <w:t xml:space="preserve"> prior to the availability of </w:t>
      </w:r>
      <w:r w:rsidR="002300B7" w:rsidRPr="005247CB">
        <w:rPr>
          <w:lang w:val="en-US"/>
        </w:rPr>
        <w:t xml:space="preserve">targeted </w:t>
      </w:r>
      <w:r w:rsidRPr="005247CB">
        <w:rPr>
          <w:lang w:val="en-US"/>
        </w:rPr>
        <w:t xml:space="preserve">vaccines </w:t>
      </w:r>
      <w:r w:rsidR="000215B4" w:rsidRPr="005247CB">
        <w:rPr>
          <w:lang w:val="en-US"/>
        </w:rPr>
        <w:t>under ideal</w:t>
      </w:r>
      <w:r w:rsidR="005247CB">
        <w:rPr>
          <w:lang w:val="en-US"/>
        </w:rPr>
        <w:t>ise</w:t>
      </w:r>
      <w:r w:rsidR="000215B4" w:rsidRPr="005247CB">
        <w:rPr>
          <w:lang w:val="en-US"/>
        </w:rPr>
        <w:t>d assumptions about possible public health infrastructure, diagnostic testing, and drug use. Not only does the ideal</w:t>
      </w:r>
      <w:r w:rsidR="005247CB">
        <w:rPr>
          <w:lang w:val="en-US"/>
        </w:rPr>
        <w:t>ise</w:t>
      </w:r>
      <w:r w:rsidR="000215B4" w:rsidRPr="005247CB">
        <w:rPr>
          <w:lang w:val="en-US"/>
        </w:rPr>
        <w:t xml:space="preserve">d case provide </w:t>
      </w:r>
      <w:r w:rsidR="004E0958" w:rsidRPr="005247CB">
        <w:rPr>
          <w:lang w:val="en-US"/>
        </w:rPr>
        <w:t xml:space="preserve">an </w:t>
      </w:r>
      <w:r w:rsidR="000215B4" w:rsidRPr="005247CB">
        <w:rPr>
          <w:lang w:val="en-US"/>
        </w:rPr>
        <w:t xml:space="preserve">upper bound </w:t>
      </w:r>
      <w:r w:rsidRPr="005247CB">
        <w:rPr>
          <w:lang w:val="en-US"/>
        </w:rPr>
        <w:t>to antiviral stockpile size, to which no added benefit is expected above this theoretical limit,</w:t>
      </w:r>
      <w:r w:rsidR="000215B4" w:rsidRPr="005247CB">
        <w:rPr>
          <w:lang w:val="en-US"/>
        </w:rPr>
        <w:t xml:space="preserve"> it </w:t>
      </w:r>
      <w:r w:rsidR="00064384" w:rsidRPr="005247CB">
        <w:rPr>
          <w:lang w:val="en-US"/>
        </w:rPr>
        <w:t>provides</w:t>
      </w:r>
      <w:r w:rsidR="000215B4" w:rsidRPr="005247CB">
        <w:rPr>
          <w:lang w:val="en-US"/>
        </w:rPr>
        <w:t xml:space="preserve"> a useful reference </w:t>
      </w:r>
      <w:r w:rsidR="00C80443" w:rsidRPr="005247CB">
        <w:rPr>
          <w:lang w:val="en-US"/>
        </w:rPr>
        <w:t xml:space="preserve">when we </w:t>
      </w:r>
      <w:r w:rsidRPr="005247CB">
        <w:rPr>
          <w:lang w:val="en-US"/>
        </w:rPr>
        <w:t>continue to investigate</w:t>
      </w:r>
      <w:r w:rsidR="000215B4" w:rsidRPr="005247CB">
        <w:rPr>
          <w:lang w:val="en-US"/>
        </w:rPr>
        <w:t xml:space="preserve"> how deviations in reality (i.e. limited antiviral supply, heterogeneity in </w:t>
      </w:r>
      <w:r w:rsidR="00382FBD">
        <w:rPr>
          <w:lang w:val="en-US"/>
        </w:rPr>
        <w:t>healthcare-seeking</w:t>
      </w:r>
      <w:r w:rsidR="000215B4" w:rsidRPr="005247CB">
        <w:rPr>
          <w:lang w:val="en-US"/>
        </w:rPr>
        <w:t xml:space="preserve"> </w:t>
      </w:r>
      <w:r w:rsidR="005247CB">
        <w:rPr>
          <w:lang w:val="en-US"/>
        </w:rPr>
        <w:t>behaviour</w:t>
      </w:r>
      <w:r w:rsidR="000215B4" w:rsidRPr="005247CB">
        <w:rPr>
          <w:lang w:val="en-US"/>
        </w:rPr>
        <w:t xml:space="preserve">, delays to test-and-treat distribution, antiviral resistance spread) </w:t>
      </w:r>
      <w:r w:rsidR="000215B4" w:rsidRPr="005247CB">
        <w:rPr>
          <w:lang w:val="en-US"/>
        </w:rPr>
        <w:lastRenderedPageBreak/>
        <w:t xml:space="preserve">could change antiviral demand and impact. </w:t>
      </w:r>
      <w:r w:rsidRPr="005247CB">
        <w:rPr>
          <w:lang w:val="en-US"/>
        </w:rPr>
        <w:t>Under</w:t>
      </w:r>
      <w:r w:rsidR="000215B4" w:rsidRPr="005247CB">
        <w:rPr>
          <w:lang w:val="en-US"/>
        </w:rPr>
        <w:t xml:space="preserve"> the ideal</w:t>
      </w:r>
      <w:r w:rsidR="005247CB">
        <w:rPr>
          <w:lang w:val="en-US"/>
        </w:rPr>
        <w:t>ise</w:t>
      </w:r>
      <w:r w:rsidR="000215B4" w:rsidRPr="005247CB">
        <w:rPr>
          <w:lang w:val="en-US"/>
        </w:rPr>
        <w:t xml:space="preserve">d scenario, </w:t>
      </w:r>
      <w:r w:rsidR="00064384" w:rsidRPr="005247CB">
        <w:rPr>
          <w:lang w:val="en-US"/>
        </w:rPr>
        <w:t xml:space="preserve">we assumed </w:t>
      </w:r>
      <w:r w:rsidR="000215B4" w:rsidRPr="005247CB">
        <w:rPr>
          <w:lang w:val="en-US"/>
        </w:rPr>
        <w:t xml:space="preserve">that 95% of all symptomatic individuals would ideally seek </w:t>
      </w:r>
      <w:r w:rsidR="00C80443" w:rsidRPr="005247CB">
        <w:rPr>
          <w:lang w:val="en-US"/>
        </w:rPr>
        <w:t>test-and-treat</w:t>
      </w:r>
      <w:r w:rsidR="000215B4" w:rsidRPr="005247CB">
        <w:rPr>
          <w:lang w:val="en-US"/>
        </w:rPr>
        <w:t xml:space="preserve"> within two days after symptom onset</w:t>
      </w:r>
      <w:r w:rsidR="006869B1" w:rsidRPr="005247CB">
        <w:rPr>
          <w:lang w:val="en-US"/>
        </w:rPr>
        <w:t>, with no restrictions to availability and access to antivirals</w:t>
      </w:r>
      <w:r w:rsidR="000215B4" w:rsidRPr="005247CB">
        <w:rPr>
          <w:lang w:val="en-US"/>
        </w:rPr>
        <w:t xml:space="preserve">. We also assumed </w:t>
      </w:r>
      <w:r w:rsidR="006869B1" w:rsidRPr="005247CB">
        <w:rPr>
          <w:lang w:val="en-US"/>
        </w:rPr>
        <w:t>that</w:t>
      </w:r>
      <w:r w:rsidR="000215B4" w:rsidRPr="005247CB">
        <w:rPr>
          <w:lang w:val="en-US"/>
        </w:rPr>
        <w:t xml:space="preserve"> country-wide distribution of antivirals</w:t>
      </w:r>
      <w:r w:rsidR="006869B1" w:rsidRPr="005247CB">
        <w:rPr>
          <w:lang w:val="en-US"/>
        </w:rPr>
        <w:t xml:space="preserve"> could ideally</w:t>
      </w:r>
      <w:r w:rsidR="000215B4" w:rsidRPr="005247CB">
        <w:rPr>
          <w:lang w:val="en-US"/>
        </w:rPr>
        <w:t xml:space="preserve"> begin one week after pandemic </w:t>
      </w:r>
      <w:r w:rsidR="006869B1" w:rsidRPr="005247CB">
        <w:rPr>
          <w:lang w:val="en-US"/>
        </w:rPr>
        <w:t>initiation</w:t>
      </w:r>
      <w:r w:rsidR="000215B4" w:rsidRPr="005247CB">
        <w:rPr>
          <w:lang w:val="en-US"/>
        </w:rPr>
        <w:t xml:space="preserve"> in the country.</w:t>
      </w:r>
      <w:r w:rsidR="00C80443" w:rsidRPr="005247CB">
        <w:rPr>
          <w:lang w:val="en-US"/>
        </w:rPr>
        <w:t xml:space="preserve"> We</w:t>
      </w:r>
      <w:r w:rsidRPr="005247CB">
        <w:rPr>
          <w:lang w:val="en-US"/>
        </w:rPr>
        <w:t xml:space="preserve"> opted not to </w:t>
      </w:r>
      <w:r w:rsidR="00C80443" w:rsidRPr="005247CB">
        <w:rPr>
          <w:lang w:val="en-US"/>
        </w:rPr>
        <w:t xml:space="preserve">account for </w:t>
      </w:r>
      <w:r w:rsidR="00C80443" w:rsidRPr="005247CB">
        <w:t xml:space="preserve">non-pharmaceutical interventions (NPIs) </w:t>
      </w:r>
      <w:r w:rsidRPr="005247CB">
        <w:t>in our model</w:t>
      </w:r>
      <w:r w:rsidR="00C80443" w:rsidRPr="005247CB">
        <w:t xml:space="preserve">. While NPIs </w:t>
      </w:r>
      <w:r w:rsidRPr="005247CB">
        <w:t>can</w:t>
      </w:r>
      <w:r w:rsidR="00C80443" w:rsidRPr="005247CB">
        <w:t xml:space="preserve"> lower antiviral demand and augment disease burden reduction, </w:t>
      </w:r>
      <w:r w:rsidR="004932C0">
        <w:t xml:space="preserve">it is challenging to assume an appropriate </w:t>
      </w:r>
      <w:r w:rsidR="00C80443" w:rsidRPr="005247CB">
        <w:t>effectiveness of NPIs</w:t>
      </w:r>
      <w:r w:rsidR="004932C0">
        <w:t xml:space="preserve">, to which modelling </w:t>
      </w:r>
      <w:r w:rsidR="004932C0" w:rsidRPr="005247CB">
        <w:t xml:space="preserve">results </w:t>
      </w:r>
      <w:r w:rsidR="004932C0">
        <w:t>will</w:t>
      </w:r>
      <w:r w:rsidR="004932C0" w:rsidRPr="005247CB">
        <w:t xml:space="preserve"> be highly sensitive t</w:t>
      </w:r>
      <w:r w:rsidR="004932C0">
        <w:t>o</w:t>
      </w:r>
      <w:r w:rsidRPr="005247CB">
        <w:t xml:space="preserve">, </w:t>
      </w:r>
      <w:r w:rsidR="004932C0">
        <w:t>as they</w:t>
      </w:r>
      <w:r w:rsidR="00B73CC6" w:rsidRPr="005247CB">
        <w:t xml:space="preserve"> depend on</w:t>
      </w:r>
      <w:r w:rsidRPr="005247CB">
        <w:t xml:space="preserve"> the type of NPI</w:t>
      </w:r>
      <w:r w:rsidR="00B73CC6" w:rsidRPr="005247CB">
        <w:t>s</w:t>
      </w:r>
      <w:r w:rsidRPr="005247CB">
        <w:t>,</w:t>
      </w:r>
      <w:r w:rsidR="00C80443" w:rsidRPr="005247CB">
        <w:t xml:space="preserve"> time-dependent variation</w:t>
      </w:r>
      <w:r w:rsidRPr="005247CB">
        <w:t>, as well as influenc</w:t>
      </w:r>
      <w:r w:rsidR="00271A61" w:rsidRPr="005247CB">
        <w:t xml:space="preserve">es </w:t>
      </w:r>
      <w:r w:rsidRPr="005247CB">
        <w:t>owing to</w:t>
      </w:r>
      <w:r w:rsidR="00C80443" w:rsidRPr="005247CB">
        <w:t xml:space="preserve"> political, governance, cultural</w:t>
      </w:r>
      <w:r w:rsidRPr="005247CB">
        <w:t>, behavioural</w:t>
      </w:r>
      <w:r w:rsidR="00C80443" w:rsidRPr="005247CB">
        <w:t xml:space="preserve"> and socioeconomic context</w:t>
      </w:r>
      <w:r w:rsidR="00EB2B97">
        <w:t xml:space="preserve"> </w:t>
      </w:r>
      <w:r w:rsidR="00C80443" w:rsidRPr="005247CB">
        <w:fldChar w:fldCharType="begin"/>
      </w:r>
      <w:r w:rsidR="006A263E">
        <w:instrText xml:space="preserve"> ADDIN ZOTERO_ITEM CSL_CITATION {"citationID":"a1kcedg078a","properties":{"formattedCitation":"(Haug et al., 2020; Liu et al., 2021)","plainCitation":"(Haug et al., 2020; Liu et al., 2021)","noteIndex":0},"citationItems":[{"id":226,"uris":["http://zotero.org/users/local/0pdZPGmr/items/HJP6QG57","http://zotero.org/users/9596130/items/HJP6QG57"],"itemData":{"id":226,"type":"article-journal","abstract":"Assessing the effectiveness of non-pharmaceutical interventions (NPIs) to mitigate the spread of SARS-CoV-2 is critical to inform future preparedness response plans. Here we quantify the impact of 6,068 hierarchically coded NPIs implemented in 79 territories on the effective reproduction number, Rt, of COVID-19. We propose a modelling approach that combines four computational techniques merging statistical, inference and artificial intelligence tools. We validate our findings with two external datasets recording 42,151 additional NPIs from 226 countries. Our results indicate that a suitable combination of NPIs is necessary to curb the spread of the virus. Less disruptive and costly NPIs can be as effective as more intrusive, drastic, ones (for example, a national lockdown). Using country-specific ‘what-if’ scenarios, we assess how the effectiveness of NPIs depends on the local context such as timing of their adoption, opening the way for forecasting the effectiveness of future interventions.","container-title":"Nature Human Behaviour","DOI":"10.1038/s41562-020-01009-0","ISSN":"2397-3374","issue":"12","journalAbbreviation":"Nature Human Behaviour","page":"1303-1312","title":"Ranking the effectiveness of worldwide COVID-19 government interventions","volume":"4","author":[{"family":"Haug","given":"Nina"},{"family":"Geyrhofer","given":"Lukas"},{"family":"Londei","given":"Alessandro"},{"family":"Dervic","given":"Elma"},{"family":"Desvars-Larrive","given":"Amélie"},{"family":"Loreto","given":"Vittorio"},{"family":"Pinior","given":"Beate"},{"family":"Thurner","given":"Stefan"},{"family":"Klimek","given":"Peter"}],"issued":{"date-parts":[["2020",12,1]]}}},{"id":336,"uris":["http://zotero.org/users/9596130/items/S59MBDGS"],"itemData":{"id":336,"type":"article-journal","abstract":"Non-pharmaceutical interventions (NPIs) are used to reduce transmission of SARS coronavirus 2 (SARS-CoV-2) that causes coronavirus disease 2019 (COVID-19). However, empirical evidence of the effectiveness of specific NPIs has been inconsistent. We assessed the effectiveness of NPIs around internal containment and closure, international travel restrictions, economic measures, and health system actions on SARS-CoV-2 transmission in 130 countries and territories.","container-title":"BMC Medicine","DOI":"10.1186/s12916-020-01872-8","ISSN":"1741-7015","issue":"1","journalAbbreviation":"BMC Medicine","page":"40","title":"The impact of non-pharmaceutical interventions on SARS-CoV-2 transmission across 130 countries and territories","volume":"19","author":[{"family":"Liu","given":"Yang"},{"family":"Morgenstern","given":"Christian"},{"family":"Kelly","given":"James"},{"family":"Lowe","given":"Rachel"},{"family":"Munday","given":"James"},{"family":"Villabona-Arenas","given":"C. Julian"},{"family":"Gibbs","given":"Hamish"},{"family":"Pearson","given":"Carl A. B."},{"family":"Prem","given":"Kiesha"},{"family":"Leclerc","given":"Quentin J."},{"family":"Meakin","given":"Sophie R."},{"family":"Edmunds","given":"W. John"},{"family":"Jarvis","given":"Christopher I."},{"family":"Gimma","given":"Amy"},{"family":"Funk","given":"Sebastian"},{"family":"Quaife","given":"Matthew"},{"family":"Russell","given":"Timothy W."},{"family":"Emory","given":"Jon C."},{"family":"Abbott","given":"Sam"},{"family":"Hellewell","given":"Joel"},{"family":"Tully","given":"Damien C."},{"family":"Houben","given":"Rein M. G. J."},{"family":"O’Reilly","given":"Kathleen"},{"family":"Gore-Langton","given":"Georgia R."},{"family":"Kucharski","given":"Adam J."},{"family":"Auzenbergs","given":"Megan"},{"family":"Quilty","given":"Billy J."},{"family":"Jombart","given":"Thibaut"},{"family":"Rosello","given":"Alicia"},{"family":"Brady","given":"Oliver"},{"family":"Atkins","given":"Katherine E."},{"family":"Zandvoort","given":"Kevin","non-dropping-particle":"van"},{"family":"Rudge","given":"James W."},{"family":"Endo","given":"Akira"},{"family":"Abbas","given":"Kaja"},{"family":"Sun","given":"Fiona Yueqian"},{"family":"Procter","given":"Simon R."},{"family":"Clifford","given":"Samuel"},{"family":"Foss","given":"Anna M."},{"family":"Davies","given":"Nicholas G."},{"family":"Chan","given":"Yung-Wai Desmond"},{"family":"Diamond","given":"Charlie"},{"family":"Barnard","given":"Rosanna C."},{"family":"Eggo","given":"Rosalind M."},{"family":"Deol","given":"Arminder K."},{"family":"Nightingale","given":"Emily S."},{"family":"Simons","given":"David"},{"family":"Sherratt","given":"Katharine"},{"family":"Medley","given":"Graham"},{"family":"Hué","given":"Stéphane"},{"family":"Knight","given":"Gwenan M."},{"family":"Flasche","given":"Stefan"},{"family":"Bosse","given":"Nikos I."},{"family":"Klepac","given":"Petra"},{"family":"Jit","given":"Mark"},{"literal":"CMMID COVID-19 Working Group"}],"issued":{"date-parts":[["2021",2,5]]}}}],"schema":"https://github.com/citation-style-language/schema/raw/master/csl-citation.json"} </w:instrText>
      </w:r>
      <w:r w:rsidR="00C80443" w:rsidRPr="005247CB">
        <w:fldChar w:fldCharType="separate"/>
      </w:r>
      <w:r w:rsidR="006A263E">
        <w:rPr>
          <w:lang w:val="en-US"/>
        </w:rPr>
        <w:t>(Haug et al., 2020; Liu et al., 2021)</w:t>
      </w:r>
      <w:r w:rsidR="00C80443" w:rsidRPr="005247CB">
        <w:fldChar w:fldCharType="end"/>
      </w:r>
      <w:r w:rsidR="00EB2B97">
        <w:t>.</w:t>
      </w:r>
      <w:r w:rsidRPr="005247CB">
        <w:t xml:space="preserve"> Not incorporating NPIs </w:t>
      </w:r>
      <w:r w:rsidR="00FA6FA2" w:rsidRPr="005247CB">
        <w:t>is</w:t>
      </w:r>
      <w:r w:rsidRPr="005247CB">
        <w:t xml:space="preserve"> also</w:t>
      </w:r>
      <w:r w:rsidR="00F93E4C" w:rsidRPr="005247CB">
        <w:t xml:space="preserve"> </w:t>
      </w:r>
      <w:r w:rsidRPr="005247CB">
        <w:t xml:space="preserve">in line with our aim to </w:t>
      </w:r>
      <w:r w:rsidR="00B73CC6" w:rsidRPr="005247CB">
        <w:t xml:space="preserve">estimate </w:t>
      </w:r>
      <w:r w:rsidRPr="005247CB">
        <w:t>the upper theoretical bounds</w:t>
      </w:r>
      <w:r w:rsidR="00471CB6" w:rsidRPr="005247CB">
        <w:t xml:space="preserve"> </w:t>
      </w:r>
      <w:r w:rsidRPr="005247CB">
        <w:t xml:space="preserve">to antiviral demand.  </w:t>
      </w:r>
    </w:p>
    <w:p w14:paraId="539C7A03" w14:textId="07A9E3CF" w:rsidR="00BA72C0" w:rsidRDefault="00CA4A91" w:rsidP="00B60886">
      <w:pPr>
        <w:rPr>
          <w:lang w:val="en-US"/>
        </w:rPr>
      </w:pPr>
      <w:r w:rsidRPr="005247CB">
        <w:rPr>
          <w:lang w:val="en-US"/>
        </w:rPr>
        <w:t>Under</w:t>
      </w:r>
      <w:r w:rsidR="000215B4" w:rsidRPr="005247CB">
        <w:rPr>
          <w:lang w:val="en-US"/>
        </w:rPr>
        <w:t xml:space="preserve"> the ideal</w:t>
      </w:r>
      <w:r w:rsidR="005247CB">
        <w:rPr>
          <w:lang w:val="en-US"/>
        </w:rPr>
        <w:t>ise</w:t>
      </w:r>
      <w:r w:rsidR="000215B4" w:rsidRPr="005247CB">
        <w:rPr>
          <w:lang w:val="en-US"/>
        </w:rPr>
        <w:t xml:space="preserve">d </w:t>
      </w:r>
      <w:r w:rsidR="006C3B1F">
        <w:rPr>
          <w:lang w:val="en-US"/>
        </w:rPr>
        <w:t>scenarios</w:t>
      </w:r>
      <w:r w:rsidR="000215B4" w:rsidRPr="005247CB">
        <w:rPr>
          <w:lang w:val="en-US"/>
        </w:rPr>
        <w:t>, w</w:t>
      </w:r>
      <w:r w:rsidR="005A18DA" w:rsidRPr="005247CB">
        <w:rPr>
          <w:lang w:val="en-US"/>
        </w:rPr>
        <w:t>e find that</w:t>
      </w:r>
      <w:r w:rsidR="00EC3826" w:rsidRPr="005247CB">
        <w:rPr>
          <w:lang w:val="en-US"/>
        </w:rPr>
        <w:t xml:space="preserve"> </w:t>
      </w:r>
      <w:r w:rsidR="003A0AEB" w:rsidRPr="005247CB">
        <w:rPr>
          <w:lang w:val="en-US"/>
        </w:rPr>
        <w:t xml:space="preserve">BXM </w:t>
      </w:r>
      <w:r w:rsidR="007617FA" w:rsidRPr="005247CB">
        <w:rPr>
          <w:lang w:val="en-US"/>
        </w:rPr>
        <w:t>broadly</w:t>
      </w:r>
      <w:r w:rsidR="002A7826" w:rsidRPr="005247CB">
        <w:rPr>
          <w:lang w:val="en-US"/>
        </w:rPr>
        <w:t xml:space="preserve"> doubles the percentage of</w:t>
      </w:r>
      <w:r w:rsidR="001076B5" w:rsidRPr="005247CB">
        <w:rPr>
          <w:lang w:val="en-US"/>
        </w:rPr>
        <w:t xml:space="preserve"> </w:t>
      </w:r>
      <w:r w:rsidR="005A18DA" w:rsidRPr="005247CB">
        <w:rPr>
          <w:lang w:val="en-US"/>
        </w:rPr>
        <w:t xml:space="preserve">mean </w:t>
      </w:r>
      <w:r w:rsidR="001076B5" w:rsidRPr="005247CB">
        <w:rPr>
          <w:lang w:val="en-US"/>
        </w:rPr>
        <w:t>pandemic deaths</w:t>
      </w:r>
      <w:r w:rsidR="002A7826" w:rsidRPr="005247CB">
        <w:rPr>
          <w:lang w:val="en-US"/>
        </w:rPr>
        <w:t xml:space="preserve"> averted</w:t>
      </w:r>
      <w:r w:rsidR="001076B5" w:rsidRPr="005247CB">
        <w:rPr>
          <w:lang w:val="en-US"/>
        </w:rPr>
        <w:t xml:space="preserve"> </w:t>
      </w:r>
      <w:r w:rsidR="002A7826" w:rsidRPr="005247CB">
        <w:rPr>
          <w:lang w:val="en-US"/>
        </w:rPr>
        <w:t>relative to</w:t>
      </w:r>
      <w:r w:rsidR="00101B37" w:rsidRPr="005247CB">
        <w:rPr>
          <w:lang w:val="en-US"/>
        </w:rPr>
        <w:t xml:space="preserve"> oseltamivir</w:t>
      </w:r>
      <w:r w:rsidR="00393B79" w:rsidRPr="005247CB">
        <w:rPr>
          <w:lang w:val="en-US"/>
        </w:rPr>
        <w:t xml:space="preserve"> (</w:t>
      </w:r>
      <w:r w:rsidR="006C0863" w:rsidRPr="005247CB">
        <w:rPr>
          <w:lang w:val="en-US"/>
        </w:rPr>
        <w:t>Fig. 1</w:t>
      </w:r>
      <w:r w:rsidR="00393B79" w:rsidRPr="005247CB">
        <w:rPr>
          <w:lang w:val="en-US"/>
        </w:rPr>
        <w:t>)</w:t>
      </w:r>
      <w:r w:rsidR="003A0AEB" w:rsidRPr="005247CB">
        <w:rPr>
          <w:lang w:val="en-US"/>
        </w:rPr>
        <w:t xml:space="preserve"> </w:t>
      </w:r>
      <w:r w:rsidR="00FA719F" w:rsidRPr="005247CB">
        <w:rPr>
          <w:lang w:val="en-US"/>
        </w:rPr>
        <w:t>with</w:t>
      </w:r>
      <w:r w:rsidR="003A0AEB" w:rsidRPr="005247CB">
        <w:rPr>
          <w:lang w:val="en-US"/>
        </w:rPr>
        <w:t xml:space="preserve"> less </w:t>
      </w:r>
      <w:r w:rsidR="00046F0D" w:rsidRPr="005247CB">
        <w:rPr>
          <w:lang w:val="en-US"/>
        </w:rPr>
        <w:t xml:space="preserve">treatment courses </w:t>
      </w:r>
      <w:r w:rsidR="00393B79" w:rsidRPr="005247CB">
        <w:rPr>
          <w:lang w:val="en-US"/>
        </w:rPr>
        <w:t>(</w:t>
      </w:r>
      <w:r w:rsidR="006C0863" w:rsidRPr="005247CB">
        <w:rPr>
          <w:lang w:val="en-US"/>
        </w:rPr>
        <w:t>Fig. 2</w:t>
      </w:r>
      <w:r w:rsidR="00393B79" w:rsidRPr="005247CB">
        <w:rPr>
          <w:lang w:val="en-US"/>
        </w:rPr>
        <w:t>)</w:t>
      </w:r>
      <w:r w:rsidR="00DF3C26" w:rsidRPr="005247CB">
        <w:rPr>
          <w:lang w:val="en-US"/>
        </w:rPr>
        <w:t xml:space="preserve"> across all pandemic scenarios and countries</w:t>
      </w:r>
      <w:r w:rsidR="00E71006" w:rsidRPr="005247CB">
        <w:rPr>
          <w:lang w:val="en-US"/>
        </w:rPr>
        <w:t xml:space="preserve"> (</w:t>
      </w:r>
      <w:r w:rsidR="006C0863" w:rsidRPr="005247CB">
        <w:rPr>
          <w:lang w:val="en-US"/>
        </w:rPr>
        <w:t>Fig. 3</w:t>
      </w:r>
      <w:r w:rsidR="00E71006" w:rsidRPr="005247CB">
        <w:rPr>
          <w:lang w:val="en-US"/>
        </w:rPr>
        <w:t>)</w:t>
      </w:r>
      <w:r w:rsidR="003A0AEB" w:rsidRPr="005247CB">
        <w:rPr>
          <w:lang w:val="en-US"/>
        </w:rPr>
        <w:t>.</w:t>
      </w:r>
      <w:r w:rsidR="00D730FC" w:rsidRPr="005247CB">
        <w:rPr>
          <w:lang w:val="en-US"/>
        </w:rPr>
        <w:t xml:space="preserve"> The median</w:t>
      </w:r>
      <w:r w:rsidR="0067312C" w:rsidRPr="005247CB">
        <w:rPr>
          <w:lang w:val="en-US"/>
        </w:rPr>
        <w:t xml:space="preserve"> </w:t>
      </w:r>
      <w:r w:rsidR="00D730FC" w:rsidRPr="005247CB">
        <w:rPr>
          <w:lang w:val="en-US"/>
        </w:rPr>
        <w:t xml:space="preserve">percentage of </w:t>
      </w:r>
      <w:r w:rsidR="00085407" w:rsidRPr="005247CB">
        <w:rPr>
          <w:lang w:val="en-US"/>
        </w:rPr>
        <w:t>mean</w:t>
      </w:r>
      <w:r w:rsidR="00ED7DB8" w:rsidRPr="005247CB">
        <w:rPr>
          <w:lang w:val="en-US"/>
        </w:rPr>
        <w:t xml:space="preserve"> </w:t>
      </w:r>
      <w:r w:rsidR="00D730FC" w:rsidRPr="005247CB">
        <w:rPr>
          <w:lang w:val="en-US"/>
        </w:rPr>
        <w:t>pandemic deaths averted</w:t>
      </w:r>
      <w:r w:rsidR="00363DB3" w:rsidRPr="005247CB">
        <w:rPr>
          <w:lang w:val="en-US"/>
        </w:rPr>
        <w:t xml:space="preserve"> across all countries</w:t>
      </w:r>
      <w:r w:rsidR="00D730FC" w:rsidRPr="005247CB">
        <w:rPr>
          <w:lang w:val="en-US"/>
        </w:rPr>
        <w:t xml:space="preserve"> depends on the </w:t>
      </w:r>
      <w:r w:rsidR="004A2F67" w:rsidRPr="005247CB">
        <w:rPr>
          <w:lang w:val="en-US"/>
        </w:rPr>
        <w:t xml:space="preserve">severity of the </w:t>
      </w:r>
      <w:r w:rsidR="00D730FC" w:rsidRPr="005247CB">
        <w:rPr>
          <w:lang w:val="en-US"/>
        </w:rPr>
        <w:t>pandemic scenario</w:t>
      </w:r>
      <w:r w:rsidR="00EC3826" w:rsidRPr="005247CB">
        <w:rPr>
          <w:lang w:val="en-US"/>
        </w:rPr>
        <w:t>.</w:t>
      </w:r>
      <w:r w:rsidR="00D730FC" w:rsidRPr="005247CB">
        <w:rPr>
          <w:lang w:val="en-US"/>
        </w:rPr>
        <w:t xml:space="preserve"> </w:t>
      </w:r>
      <w:r w:rsidR="00EC3826" w:rsidRPr="005247CB">
        <w:rPr>
          <w:lang w:val="en-US"/>
        </w:rPr>
        <w:t xml:space="preserve">BXM could avert </w:t>
      </w:r>
      <w:r w:rsidR="00D730FC" w:rsidRPr="005247CB">
        <w:rPr>
          <w:lang w:val="en-US"/>
        </w:rPr>
        <w:t>68%</w:t>
      </w:r>
      <w:r w:rsidR="00EC3826" w:rsidRPr="005247CB">
        <w:rPr>
          <w:lang w:val="en-US"/>
        </w:rPr>
        <w:t xml:space="preserve"> of </w:t>
      </w:r>
      <w:r w:rsidR="007E5A2F">
        <w:rPr>
          <w:lang w:val="en-US"/>
        </w:rPr>
        <w:t xml:space="preserve">mean </w:t>
      </w:r>
      <w:r w:rsidR="00EC3826" w:rsidRPr="005247CB">
        <w:rPr>
          <w:lang w:val="en-US"/>
        </w:rPr>
        <w:t xml:space="preserve">deaths in </w:t>
      </w:r>
      <w:r w:rsidR="004A2F67" w:rsidRPr="005247CB">
        <w:rPr>
          <w:lang w:val="en-US"/>
        </w:rPr>
        <w:t>the relatively mild</w:t>
      </w:r>
      <w:r w:rsidR="00EC3826" w:rsidRPr="005247CB">
        <w:rPr>
          <w:lang w:val="en-US"/>
        </w:rPr>
        <w:t xml:space="preserve"> 2009 A/H1N1-like pandemic</w:t>
      </w:r>
      <w:r w:rsidR="00D730FC" w:rsidRPr="005247CB">
        <w:rPr>
          <w:lang w:val="en-US"/>
        </w:rPr>
        <w:t xml:space="preserve"> (interquartile range (IQR) = 62</w:t>
      </w:r>
      <w:r w:rsidR="004932C0">
        <w:rPr>
          <w:lang w:val="en-US"/>
        </w:rPr>
        <w:t>-</w:t>
      </w:r>
      <w:r w:rsidR="00D730FC" w:rsidRPr="005247CB">
        <w:rPr>
          <w:lang w:val="en-US"/>
        </w:rPr>
        <w:t>100%; 13</w:t>
      </w:r>
      <w:r w:rsidR="00BB6EBE">
        <w:rPr>
          <w:lang w:val="en-US"/>
        </w:rPr>
        <w:t>-</w:t>
      </w:r>
      <w:r w:rsidR="00D730FC" w:rsidRPr="005247CB">
        <w:rPr>
          <w:lang w:val="en-US"/>
        </w:rPr>
        <w:t xml:space="preserve">34 deaths averted per million people) </w:t>
      </w:r>
      <w:r w:rsidR="00EC3826" w:rsidRPr="005247CB">
        <w:rPr>
          <w:lang w:val="en-US"/>
        </w:rPr>
        <w:t>but only</w:t>
      </w:r>
      <w:r w:rsidR="003321EA" w:rsidRPr="005247CB">
        <w:rPr>
          <w:lang w:val="en-US"/>
        </w:rPr>
        <w:t xml:space="preserve"> 48% </w:t>
      </w:r>
      <w:r w:rsidR="00EC3826" w:rsidRPr="005247CB">
        <w:rPr>
          <w:lang w:val="en-US"/>
        </w:rPr>
        <w:t xml:space="preserve">in a 1968 A/H3N2-like pandemic </w:t>
      </w:r>
      <w:r w:rsidR="003321EA" w:rsidRPr="005247CB">
        <w:rPr>
          <w:lang w:val="en-US"/>
        </w:rPr>
        <w:t>(IQR = 45</w:t>
      </w:r>
      <w:r w:rsidR="004932C0">
        <w:rPr>
          <w:lang w:val="en-US"/>
        </w:rPr>
        <w:t>-</w:t>
      </w:r>
      <w:r w:rsidR="003321EA" w:rsidRPr="005247CB">
        <w:rPr>
          <w:lang w:val="en-US"/>
        </w:rPr>
        <w:t>52%; 194</w:t>
      </w:r>
      <w:r w:rsidR="00BB6EBE">
        <w:rPr>
          <w:lang w:val="en-US"/>
        </w:rPr>
        <w:t>-</w:t>
      </w:r>
      <w:r w:rsidR="003321EA" w:rsidRPr="005247CB">
        <w:rPr>
          <w:lang w:val="en-US"/>
        </w:rPr>
        <w:t xml:space="preserve">329 </w:t>
      </w:r>
      <w:r w:rsidR="00085407" w:rsidRPr="005247CB">
        <w:rPr>
          <w:lang w:val="en-US"/>
        </w:rPr>
        <w:t>mean</w:t>
      </w:r>
      <w:r w:rsidR="00D2319F" w:rsidRPr="005247CB">
        <w:rPr>
          <w:lang w:val="en-US"/>
        </w:rPr>
        <w:t xml:space="preserve"> </w:t>
      </w:r>
      <w:r w:rsidR="003321EA" w:rsidRPr="005247CB">
        <w:rPr>
          <w:lang w:val="en-US"/>
        </w:rPr>
        <w:t>deaths averted per million people),</w:t>
      </w:r>
      <w:r w:rsidR="00D730FC" w:rsidRPr="005247CB">
        <w:rPr>
          <w:lang w:val="en-US"/>
        </w:rPr>
        <w:t xml:space="preserve"> 37%</w:t>
      </w:r>
      <w:r w:rsidR="00EC3826" w:rsidRPr="005247CB">
        <w:rPr>
          <w:lang w:val="en-US"/>
        </w:rPr>
        <w:t xml:space="preserve"> in a COVID-19-like pandemic</w:t>
      </w:r>
      <w:r w:rsidR="00D730FC" w:rsidRPr="005247CB">
        <w:rPr>
          <w:lang w:val="en-US"/>
        </w:rPr>
        <w:t xml:space="preserve"> (IQR = 35</w:t>
      </w:r>
      <w:r w:rsidR="004932C0">
        <w:rPr>
          <w:lang w:val="en-US"/>
        </w:rPr>
        <w:t>-</w:t>
      </w:r>
      <w:r w:rsidR="00D730FC" w:rsidRPr="005247CB">
        <w:rPr>
          <w:lang w:val="en-US"/>
        </w:rPr>
        <w:t>40%; 843</w:t>
      </w:r>
      <w:r w:rsidR="00BB6EBE">
        <w:rPr>
          <w:lang w:val="en-US"/>
        </w:rPr>
        <w:t>-</w:t>
      </w:r>
      <w:r w:rsidR="00D730FC" w:rsidRPr="005247CB">
        <w:rPr>
          <w:lang w:val="en-US"/>
        </w:rPr>
        <w:t xml:space="preserve">2,588 </w:t>
      </w:r>
      <w:r w:rsidR="00085407" w:rsidRPr="005247CB">
        <w:rPr>
          <w:lang w:val="en-US"/>
        </w:rPr>
        <w:t>mean</w:t>
      </w:r>
      <w:r w:rsidR="00960103" w:rsidRPr="005247CB">
        <w:rPr>
          <w:lang w:val="en-US"/>
        </w:rPr>
        <w:t xml:space="preserve"> </w:t>
      </w:r>
      <w:r w:rsidR="00D730FC" w:rsidRPr="005247CB">
        <w:rPr>
          <w:lang w:val="en-US"/>
        </w:rPr>
        <w:t>deaths averted per million people)</w:t>
      </w:r>
      <w:r w:rsidR="001372CA" w:rsidRPr="005247CB">
        <w:rPr>
          <w:lang w:val="en-US"/>
        </w:rPr>
        <w:t xml:space="preserve"> and 44% </w:t>
      </w:r>
      <w:r w:rsidR="00EC3826" w:rsidRPr="005247CB">
        <w:rPr>
          <w:lang w:val="en-US"/>
        </w:rPr>
        <w:t xml:space="preserve"> in </w:t>
      </w:r>
      <w:r w:rsidR="00A3324D" w:rsidRPr="005247CB">
        <w:rPr>
          <w:lang w:val="en-US"/>
        </w:rPr>
        <w:t xml:space="preserve">a </w:t>
      </w:r>
      <w:r w:rsidR="00EC3826" w:rsidRPr="005247CB">
        <w:rPr>
          <w:lang w:val="en-US"/>
        </w:rPr>
        <w:t xml:space="preserve">1918 A/H1N1-like pandemic </w:t>
      </w:r>
      <w:r w:rsidR="001372CA" w:rsidRPr="005247CB">
        <w:rPr>
          <w:lang w:val="en-US"/>
        </w:rPr>
        <w:t>(IQR = 42</w:t>
      </w:r>
      <w:r w:rsidR="004932C0">
        <w:rPr>
          <w:lang w:val="en-US"/>
        </w:rPr>
        <w:t>-</w:t>
      </w:r>
      <w:r w:rsidR="001372CA" w:rsidRPr="005247CB">
        <w:rPr>
          <w:lang w:val="en-US"/>
        </w:rPr>
        <w:t>45%; 2,798</w:t>
      </w:r>
      <w:r w:rsidR="00BB6EBE">
        <w:rPr>
          <w:lang w:val="en-US"/>
        </w:rPr>
        <w:t>-</w:t>
      </w:r>
      <w:r w:rsidR="001372CA" w:rsidRPr="005247CB">
        <w:rPr>
          <w:lang w:val="en-US"/>
        </w:rPr>
        <w:t xml:space="preserve">2,993 </w:t>
      </w:r>
      <w:r w:rsidR="00085407" w:rsidRPr="005247CB">
        <w:rPr>
          <w:lang w:val="en-US"/>
        </w:rPr>
        <w:t>mean</w:t>
      </w:r>
      <w:r w:rsidR="00960103" w:rsidRPr="005247CB">
        <w:rPr>
          <w:lang w:val="en-US"/>
        </w:rPr>
        <w:t xml:space="preserve"> </w:t>
      </w:r>
      <w:r w:rsidR="001372CA" w:rsidRPr="005247CB">
        <w:rPr>
          <w:lang w:val="en-US"/>
        </w:rPr>
        <w:t>deaths averted per million people)</w:t>
      </w:r>
      <w:r w:rsidR="00D730FC" w:rsidRPr="005247CB">
        <w:rPr>
          <w:lang w:val="en-US"/>
        </w:rPr>
        <w:t>.</w:t>
      </w:r>
      <w:r w:rsidR="00017C7B" w:rsidRPr="005247CB">
        <w:rPr>
          <w:lang w:val="en-US"/>
        </w:rPr>
        <w:t xml:space="preserve"> </w:t>
      </w:r>
      <w:r w:rsidR="00F61A92" w:rsidRPr="005247CB">
        <w:rPr>
          <w:lang w:val="en-US"/>
        </w:rPr>
        <w:t>The corresponding median</w:t>
      </w:r>
      <w:r w:rsidR="00255772" w:rsidRPr="005247CB">
        <w:rPr>
          <w:lang w:val="en-US"/>
        </w:rPr>
        <w:t xml:space="preserve"> </w:t>
      </w:r>
      <w:r w:rsidR="00085407" w:rsidRPr="005247CB">
        <w:rPr>
          <w:lang w:val="en-US"/>
        </w:rPr>
        <w:t>mean</w:t>
      </w:r>
      <w:r w:rsidR="00A3324D" w:rsidRPr="005247CB">
        <w:rPr>
          <w:lang w:val="en-US"/>
        </w:rPr>
        <w:t xml:space="preserve"> per-capita</w:t>
      </w:r>
      <w:r w:rsidR="009D4AC4" w:rsidRPr="005247CB">
        <w:rPr>
          <w:lang w:val="en-US"/>
        </w:rPr>
        <w:t xml:space="preserve"> </w:t>
      </w:r>
      <w:r w:rsidR="00F61A92" w:rsidRPr="005247CB">
        <w:rPr>
          <w:lang w:val="en-US"/>
        </w:rPr>
        <w:t xml:space="preserve">demand of BXM </w:t>
      </w:r>
      <w:r w:rsidR="00BA64DC" w:rsidRPr="005247CB">
        <w:rPr>
          <w:lang w:val="en-US"/>
        </w:rPr>
        <w:t>is</w:t>
      </w:r>
      <w:r w:rsidR="00D3475A" w:rsidRPr="005247CB">
        <w:rPr>
          <w:lang w:val="en-US"/>
        </w:rPr>
        <w:t xml:space="preserve"> 7%</w:t>
      </w:r>
      <w:r w:rsidR="00A3324D" w:rsidRPr="005247CB">
        <w:rPr>
          <w:lang w:val="en-US"/>
        </w:rPr>
        <w:t xml:space="preserve"> for a 2009 A/H1N1-like pandemic </w:t>
      </w:r>
      <w:r w:rsidR="00D3475A" w:rsidRPr="005247CB">
        <w:rPr>
          <w:lang w:val="en-US"/>
        </w:rPr>
        <w:t>(IQR = 5</w:t>
      </w:r>
      <w:r w:rsidR="004932C0">
        <w:rPr>
          <w:lang w:val="en-US"/>
        </w:rPr>
        <w:t>-</w:t>
      </w:r>
      <w:r w:rsidR="00D3475A" w:rsidRPr="005247CB">
        <w:rPr>
          <w:lang w:val="en-US"/>
        </w:rPr>
        <w:t>11%</w:t>
      </w:r>
      <w:r w:rsidR="00182EC6" w:rsidRPr="005247CB">
        <w:rPr>
          <w:lang w:val="en-US"/>
        </w:rPr>
        <w:t>; 410</w:t>
      </w:r>
      <w:r w:rsidR="00BB6EBE">
        <w:rPr>
          <w:lang w:val="en-US"/>
        </w:rPr>
        <w:t>-</w:t>
      </w:r>
      <w:r w:rsidR="00182EC6" w:rsidRPr="005247CB">
        <w:rPr>
          <w:lang w:val="en-US"/>
        </w:rPr>
        <w:t>902 million courses</w:t>
      </w:r>
      <w:r w:rsidR="00492006" w:rsidRPr="005247CB">
        <w:rPr>
          <w:lang w:val="en-US"/>
        </w:rPr>
        <w:t xml:space="preserve"> of BXM</w:t>
      </w:r>
      <w:r w:rsidR="00182EC6" w:rsidRPr="005247CB">
        <w:rPr>
          <w:lang w:val="en-US"/>
        </w:rPr>
        <w:t xml:space="preserve"> as per the estimated 8.2 billion world population in 2024</w:t>
      </w:r>
      <w:r w:rsidR="00182EC6" w:rsidRPr="005247CB">
        <w:rPr>
          <w:lang w:val="en-US"/>
        </w:rPr>
        <w:fldChar w:fldCharType="begin"/>
      </w:r>
      <w:r w:rsidR="006A263E">
        <w:rPr>
          <w:lang w:val="en-US"/>
        </w:rPr>
        <w:instrText xml:space="preserve"> ADDIN ZOTERO_ITEM CSL_CITATION {"citationID":"a1hhmclupo7","properties":{"formattedCitation":"(United Nations, 2024)","plainCitation":"(United Nations, 2024)","noteIndex":0},"citationItems":[{"id":175,"uris":["http://zotero.org/users/local/0pdZPGmr/items/UW6QBSYW","http://zotero.org/users/9596130/items/UW6QBSYW"],"itemData":{"id":175,"type":"webpage","title":"World Population Prospects","URL":"https://population.un.org/wpp/","author":[{"literal":"United Nations"}],"accessed":{"date-parts":[["2025",1,6]]},"issued":{"date-parts":[["2024"]]}}}],"schema":"https://github.com/citation-style-language/schema/raw/master/csl-citation.json"} </w:instrText>
      </w:r>
      <w:r w:rsidR="00182EC6" w:rsidRPr="005247CB">
        <w:rPr>
          <w:lang w:val="en-US"/>
        </w:rPr>
        <w:fldChar w:fldCharType="separate"/>
      </w:r>
      <w:r w:rsidR="006A263E">
        <w:rPr>
          <w:lang w:val="en-US"/>
        </w:rPr>
        <w:t>(United Nations, 2024)</w:t>
      </w:r>
      <w:r w:rsidR="00182EC6" w:rsidRPr="005247CB">
        <w:rPr>
          <w:lang w:val="en-US"/>
        </w:rPr>
        <w:fldChar w:fldCharType="end"/>
      </w:r>
      <w:r w:rsidR="00D3475A" w:rsidRPr="005247CB">
        <w:rPr>
          <w:lang w:val="en-US"/>
        </w:rPr>
        <w:t>), 24%</w:t>
      </w:r>
      <w:r w:rsidR="00A3324D" w:rsidRPr="005247CB">
        <w:rPr>
          <w:lang w:val="en-US"/>
        </w:rPr>
        <w:t xml:space="preserve"> for a 1968 A/H3N2-like pandemic</w:t>
      </w:r>
      <w:r w:rsidR="00D3475A" w:rsidRPr="005247CB">
        <w:rPr>
          <w:lang w:val="en-US"/>
        </w:rPr>
        <w:t xml:space="preserve"> (IQR = 21</w:t>
      </w:r>
      <w:r w:rsidR="004932C0">
        <w:rPr>
          <w:lang w:val="en-US"/>
        </w:rPr>
        <w:t>-</w:t>
      </w:r>
      <w:r w:rsidR="00D3475A" w:rsidRPr="005247CB">
        <w:rPr>
          <w:lang w:val="en-US"/>
        </w:rPr>
        <w:t>25%</w:t>
      </w:r>
      <w:r w:rsidR="00182EC6" w:rsidRPr="005247CB">
        <w:rPr>
          <w:lang w:val="en-US"/>
        </w:rPr>
        <w:t>; 1.7</w:t>
      </w:r>
      <w:r w:rsidR="00BB6EBE">
        <w:rPr>
          <w:lang w:val="en-US"/>
        </w:rPr>
        <w:t>-</w:t>
      </w:r>
      <w:r w:rsidR="00182EC6" w:rsidRPr="005247CB">
        <w:rPr>
          <w:lang w:val="en-US"/>
        </w:rPr>
        <w:t>2.0 billion courses</w:t>
      </w:r>
      <w:r w:rsidR="00D3475A" w:rsidRPr="005247CB">
        <w:rPr>
          <w:lang w:val="en-US"/>
        </w:rPr>
        <w:t xml:space="preserve">), 34% </w:t>
      </w:r>
      <w:r w:rsidR="00A3324D" w:rsidRPr="005247CB">
        <w:rPr>
          <w:lang w:val="en-US"/>
        </w:rPr>
        <w:t xml:space="preserve">for a COVID-19-like pandemic </w:t>
      </w:r>
      <w:r w:rsidR="00D3475A" w:rsidRPr="005247CB">
        <w:rPr>
          <w:lang w:val="en-US"/>
        </w:rPr>
        <w:t>(IQR = 33</w:t>
      </w:r>
      <w:r w:rsidR="004932C0">
        <w:rPr>
          <w:lang w:val="en-US"/>
        </w:rPr>
        <w:t>-</w:t>
      </w:r>
      <w:r w:rsidR="00D3475A" w:rsidRPr="005247CB">
        <w:rPr>
          <w:lang w:val="en-US"/>
        </w:rPr>
        <w:t>36</w:t>
      </w:r>
      <w:r w:rsidR="00182EC6" w:rsidRPr="005247CB">
        <w:rPr>
          <w:lang w:val="en-US"/>
        </w:rPr>
        <w:t>%; 2.7</w:t>
      </w:r>
      <w:r w:rsidR="00BB6EBE">
        <w:rPr>
          <w:lang w:val="en-US"/>
        </w:rPr>
        <w:t>-</w:t>
      </w:r>
      <w:r w:rsidR="00182EC6" w:rsidRPr="005247CB">
        <w:rPr>
          <w:lang w:val="en-US"/>
        </w:rPr>
        <w:t>3.0 billion courses</w:t>
      </w:r>
      <w:r w:rsidR="00D3475A" w:rsidRPr="005247CB">
        <w:rPr>
          <w:lang w:val="en-US"/>
        </w:rPr>
        <w:t>) and 28%</w:t>
      </w:r>
      <w:r w:rsidR="00A3324D" w:rsidRPr="005247CB">
        <w:rPr>
          <w:lang w:val="en-US"/>
        </w:rPr>
        <w:t xml:space="preserve"> for a 1918 A/H1N1-like pandemic</w:t>
      </w:r>
      <w:r w:rsidR="00D3475A" w:rsidRPr="005247CB">
        <w:rPr>
          <w:lang w:val="en-US"/>
        </w:rPr>
        <w:t xml:space="preserve"> (IQR = 25</w:t>
      </w:r>
      <w:r w:rsidR="004932C0">
        <w:rPr>
          <w:lang w:val="en-US"/>
        </w:rPr>
        <w:t>-</w:t>
      </w:r>
      <w:r w:rsidR="00D3475A" w:rsidRPr="005247CB">
        <w:rPr>
          <w:lang w:val="en-US"/>
        </w:rPr>
        <w:t>29</w:t>
      </w:r>
      <w:r w:rsidR="00182EC6" w:rsidRPr="005247CB">
        <w:rPr>
          <w:lang w:val="en-US"/>
        </w:rPr>
        <w:t>%; 2.0</w:t>
      </w:r>
      <w:r w:rsidR="00BB6EBE">
        <w:rPr>
          <w:lang w:val="en-US"/>
        </w:rPr>
        <w:t>-</w:t>
      </w:r>
      <w:r w:rsidR="00182EC6" w:rsidRPr="005247CB">
        <w:rPr>
          <w:lang w:val="en-US"/>
        </w:rPr>
        <w:t>2.4 billion courses</w:t>
      </w:r>
      <w:r w:rsidR="00D3475A" w:rsidRPr="005247CB">
        <w:rPr>
          <w:lang w:val="en-US"/>
        </w:rPr>
        <w:t>)</w:t>
      </w:r>
      <w:r w:rsidR="00F61A92" w:rsidRPr="005247CB">
        <w:rPr>
          <w:lang w:val="en-US"/>
        </w:rPr>
        <w:t xml:space="preserve">. </w:t>
      </w:r>
      <w:r w:rsidR="00D273FF" w:rsidRPr="005247CB">
        <w:rPr>
          <w:lang w:val="en-US"/>
        </w:rPr>
        <w:t>I</w:t>
      </w:r>
      <w:r w:rsidR="00017C7B" w:rsidRPr="005247CB">
        <w:rPr>
          <w:lang w:val="en-US"/>
        </w:rPr>
        <w:t xml:space="preserve">n contrast, </w:t>
      </w:r>
      <w:r w:rsidR="001C03EC" w:rsidRPr="005247CB">
        <w:rPr>
          <w:lang w:val="en-US"/>
        </w:rPr>
        <w:t>oseltamivir</w:t>
      </w:r>
      <w:r w:rsidR="00440B17" w:rsidRPr="005247CB">
        <w:rPr>
          <w:lang w:val="en-US"/>
        </w:rPr>
        <w:t xml:space="preserve"> </w:t>
      </w:r>
      <w:r w:rsidR="00BA64DC" w:rsidRPr="005247CB">
        <w:rPr>
          <w:lang w:val="en-US"/>
        </w:rPr>
        <w:t>averts</w:t>
      </w:r>
      <w:r w:rsidR="00017C7B" w:rsidRPr="005247CB">
        <w:rPr>
          <w:lang w:val="en-US"/>
        </w:rPr>
        <w:t xml:space="preserve"> median </w:t>
      </w:r>
      <w:r w:rsidR="00085407" w:rsidRPr="005247CB">
        <w:rPr>
          <w:lang w:val="en-US"/>
        </w:rPr>
        <w:t>mean</w:t>
      </w:r>
      <w:r w:rsidR="00230F13" w:rsidRPr="005247CB">
        <w:rPr>
          <w:lang w:val="en-US"/>
        </w:rPr>
        <w:t xml:space="preserve"> </w:t>
      </w:r>
      <w:r w:rsidR="00017C7B" w:rsidRPr="005247CB">
        <w:rPr>
          <w:lang w:val="en-US"/>
        </w:rPr>
        <w:t>deaths by 35% (IQR = 31</w:t>
      </w:r>
      <w:r w:rsidR="004932C0">
        <w:rPr>
          <w:lang w:val="en-US"/>
        </w:rPr>
        <w:t>-</w:t>
      </w:r>
      <w:r w:rsidR="00017C7B" w:rsidRPr="005247CB">
        <w:rPr>
          <w:lang w:val="en-US"/>
        </w:rPr>
        <w:t>41%)</w:t>
      </w:r>
      <w:r w:rsidR="00FC503E" w:rsidRPr="005247CB">
        <w:rPr>
          <w:lang w:val="en-US"/>
        </w:rPr>
        <w:t xml:space="preserve">, </w:t>
      </w:r>
      <w:r w:rsidR="00B17C99" w:rsidRPr="005247CB">
        <w:rPr>
          <w:lang w:val="en-US"/>
        </w:rPr>
        <w:t>27% (IQR = 26</w:t>
      </w:r>
      <w:r w:rsidR="004932C0">
        <w:rPr>
          <w:lang w:val="en-US"/>
        </w:rPr>
        <w:t>-</w:t>
      </w:r>
      <w:r w:rsidR="00B17C99" w:rsidRPr="005247CB">
        <w:rPr>
          <w:lang w:val="en-US"/>
        </w:rPr>
        <w:t xml:space="preserve">28%), </w:t>
      </w:r>
      <w:r w:rsidR="00FC503E" w:rsidRPr="005247CB">
        <w:rPr>
          <w:lang w:val="en-US"/>
        </w:rPr>
        <w:t>23% (IQR = 23</w:t>
      </w:r>
      <w:r w:rsidR="004932C0">
        <w:rPr>
          <w:lang w:val="en-US"/>
        </w:rPr>
        <w:t>-</w:t>
      </w:r>
      <w:r w:rsidR="00FC503E" w:rsidRPr="005247CB">
        <w:rPr>
          <w:lang w:val="en-US"/>
        </w:rPr>
        <w:t>24%)</w:t>
      </w:r>
      <w:r w:rsidR="00D273FF" w:rsidRPr="005247CB">
        <w:rPr>
          <w:lang w:val="en-US"/>
        </w:rPr>
        <w:t xml:space="preserve"> </w:t>
      </w:r>
      <w:r w:rsidR="00B17C99" w:rsidRPr="005247CB">
        <w:rPr>
          <w:lang w:val="en-US"/>
        </w:rPr>
        <w:t>and 25% (IQR = 25</w:t>
      </w:r>
      <w:r w:rsidR="004932C0">
        <w:rPr>
          <w:lang w:val="en-US"/>
        </w:rPr>
        <w:t>-</w:t>
      </w:r>
      <w:r w:rsidR="00B17C99" w:rsidRPr="005247CB">
        <w:rPr>
          <w:lang w:val="en-US"/>
        </w:rPr>
        <w:t>26%)</w:t>
      </w:r>
      <w:r w:rsidR="00D273FF" w:rsidRPr="005247CB">
        <w:rPr>
          <w:lang w:val="en-US"/>
        </w:rPr>
        <w:t xml:space="preserve"> </w:t>
      </w:r>
      <w:r w:rsidR="00D3475A" w:rsidRPr="005247CB">
        <w:rPr>
          <w:lang w:val="en-US"/>
        </w:rPr>
        <w:t>for the 2009 A/H1N1</w:t>
      </w:r>
      <w:r w:rsidR="000162FC" w:rsidRPr="005247CB">
        <w:rPr>
          <w:lang w:val="en-US"/>
        </w:rPr>
        <w:t>-like</w:t>
      </w:r>
      <w:r w:rsidR="00D3475A" w:rsidRPr="005247CB">
        <w:rPr>
          <w:lang w:val="en-US"/>
        </w:rPr>
        <w:t>, 1968 A/H3N2</w:t>
      </w:r>
      <w:r w:rsidR="000162FC" w:rsidRPr="005247CB">
        <w:rPr>
          <w:lang w:val="en-US"/>
        </w:rPr>
        <w:t>-like</w:t>
      </w:r>
      <w:r w:rsidR="00D3475A" w:rsidRPr="005247CB">
        <w:rPr>
          <w:lang w:val="en-US"/>
        </w:rPr>
        <w:t>, COVID-19-like and 1918 A/H1N1</w:t>
      </w:r>
      <w:r w:rsidR="000162FC" w:rsidRPr="005247CB">
        <w:rPr>
          <w:lang w:val="en-US"/>
        </w:rPr>
        <w:t>-like</w:t>
      </w:r>
      <w:r w:rsidR="00D3475A" w:rsidRPr="005247CB">
        <w:rPr>
          <w:lang w:val="en-US"/>
        </w:rPr>
        <w:t xml:space="preserve"> influenza pandemics respectively</w:t>
      </w:r>
      <w:r w:rsidR="006630DB" w:rsidRPr="005247CB">
        <w:rPr>
          <w:lang w:val="en-US"/>
        </w:rPr>
        <w:t xml:space="preserve">, while </w:t>
      </w:r>
      <w:r w:rsidR="00440B17" w:rsidRPr="005247CB">
        <w:rPr>
          <w:lang w:val="en-US"/>
        </w:rPr>
        <w:t>the</w:t>
      </w:r>
      <w:r w:rsidR="006630DB" w:rsidRPr="005247CB">
        <w:rPr>
          <w:lang w:val="en-US"/>
        </w:rPr>
        <w:t xml:space="preserve"> m</w:t>
      </w:r>
      <w:r w:rsidR="006E2E7A" w:rsidRPr="005247CB">
        <w:rPr>
          <w:lang w:val="en-US"/>
        </w:rPr>
        <w:t>edian</w:t>
      </w:r>
      <w:r w:rsidR="006630DB" w:rsidRPr="005247CB">
        <w:rPr>
          <w:lang w:val="en-US"/>
        </w:rPr>
        <w:t xml:space="preserve"> </w:t>
      </w:r>
      <w:r w:rsidR="00085407" w:rsidRPr="005247CB">
        <w:rPr>
          <w:lang w:val="en-US"/>
        </w:rPr>
        <w:t>mean</w:t>
      </w:r>
      <w:r w:rsidR="00CA1858" w:rsidRPr="005247CB">
        <w:rPr>
          <w:lang w:val="en-US"/>
        </w:rPr>
        <w:t xml:space="preserve"> </w:t>
      </w:r>
      <w:r w:rsidR="00335EE2" w:rsidRPr="005247CB">
        <w:rPr>
          <w:lang w:val="en-US"/>
        </w:rPr>
        <w:t>oseltamivir</w:t>
      </w:r>
      <w:r w:rsidR="00D3475A" w:rsidRPr="005247CB">
        <w:rPr>
          <w:lang w:val="en-US"/>
        </w:rPr>
        <w:t xml:space="preserve"> demand</w:t>
      </w:r>
      <w:r w:rsidR="009F1B38" w:rsidRPr="005247CB">
        <w:rPr>
          <w:lang w:val="en-US"/>
        </w:rPr>
        <w:t xml:space="preserve"> </w:t>
      </w:r>
      <w:r w:rsidR="00BA64DC" w:rsidRPr="005247CB">
        <w:rPr>
          <w:lang w:val="en-US"/>
        </w:rPr>
        <w:t>is</w:t>
      </w:r>
      <w:r w:rsidR="009F1B38" w:rsidRPr="005247CB">
        <w:rPr>
          <w:lang w:val="en-US"/>
        </w:rPr>
        <w:t xml:space="preserve"> ~5</w:t>
      </w:r>
      <w:r w:rsidR="004932C0">
        <w:rPr>
          <w:lang w:val="en-US"/>
        </w:rPr>
        <w:t>-</w:t>
      </w:r>
      <w:r w:rsidR="009F1B38" w:rsidRPr="005247CB">
        <w:rPr>
          <w:lang w:val="en-US"/>
        </w:rPr>
        <w:t>10% greater</w:t>
      </w:r>
      <w:r w:rsidR="00335EE2" w:rsidRPr="005247CB">
        <w:rPr>
          <w:lang w:val="en-US"/>
        </w:rPr>
        <w:t xml:space="preserve"> than BXM</w:t>
      </w:r>
      <w:r w:rsidR="00440B17" w:rsidRPr="005247CB">
        <w:rPr>
          <w:lang w:val="en-US"/>
        </w:rPr>
        <w:t xml:space="preserve">, correspondingly amounting to </w:t>
      </w:r>
      <w:r w:rsidR="00D3475A" w:rsidRPr="005247CB">
        <w:rPr>
          <w:lang w:val="en-US"/>
        </w:rPr>
        <w:t>32% (IQR = 28</w:t>
      </w:r>
      <w:r w:rsidR="004932C0">
        <w:rPr>
          <w:lang w:val="en-US"/>
        </w:rPr>
        <w:t>-</w:t>
      </w:r>
      <w:r w:rsidR="00D3475A" w:rsidRPr="005247CB">
        <w:rPr>
          <w:lang w:val="en-US"/>
        </w:rPr>
        <w:t>33%</w:t>
      </w:r>
      <w:r w:rsidR="004C74F1" w:rsidRPr="005247CB">
        <w:rPr>
          <w:lang w:val="en-US"/>
        </w:rPr>
        <w:t>; 2.3</w:t>
      </w:r>
      <w:r w:rsidR="00BB6EBE">
        <w:rPr>
          <w:lang w:val="en-US"/>
        </w:rPr>
        <w:t>-</w:t>
      </w:r>
      <w:r w:rsidR="004C74F1" w:rsidRPr="005247CB">
        <w:rPr>
          <w:lang w:val="en-US"/>
        </w:rPr>
        <w:t>2.7 billion courses</w:t>
      </w:r>
      <w:r w:rsidR="00141923" w:rsidRPr="005247CB">
        <w:rPr>
          <w:lang w:val="en-US"/>
        </w:rPr>
        <w:t xml:space="preserve"> of oseltamivir</w:t>
      </w:r>
      <w:r w:rsidR="00D3475A" w:rsidRPr="005247CB">
        <w:rPr>
          <w:lang w:val="en-US"/>
        </w:rPr>
        <w:t>), 28% (IQR = 25</w:t>
      </w:r>
      <w:r w:rsidR="004932C0">
        <w:rPr>
          <w:lang w:val="en-US"/>
        </w:rPr>
        <w:t>-</w:t>
      </w:r>
      <w:r w:rsidR="00D3475A" w:rsidRPr="005247CB">
        <w:rPr>
          <w:lang w:val="en-US"/>
        </w:rPr>
        <w:t>30%</w:t>
      </w:r>
      <w:r w:rsidR="004C74F1" w:rsidRPr="005247CB">
        <w:rPr>
          <w:lang w:val="en-US"/>
        </w:rPr>
        <w:t>; 2.0</w:t>
      </w:r>
      <w:r w:rsidR="00BB6EBE">
        <w:rPr>
          <w:lang w:val="en-US"/>
        </w:rPr>
        <w:t>-</w:t>
      </w:r>
      <w:r w:rsidR="004C74F1" w:rsidRPr="005247CB">
        <w:rPr>
          <w:lang w:val="en-US"/>
        </w:rPr>
        <w:t xml:space="preserve">2.5 billion </w:t>
      </w:r>
      <w:r w:rsidR="004C74F1" w:rsidRPr="005247CB">
        <w:rPr>
          <w:lang w:val="en-US"/>
        </w:rPr>
        <w:lastRenderedPageBreak/>
        <w:t>courses</w:t>
      </w:r>
      <w:r w:rsidR="00D3475A" w:rsidRPr="005247CB">
        <w:rPr>
          <w:lang w:val="en-US"/>
        </w:rPr>
        <w:t>), 36% (IQR = 35</w:t>
      </w:r>
      <w:r w:rsidR="004932C0">
        <w:rPr>
          <w:lang w:val="en-US"/>
        </w:rPr>
        <w:t>-</w:t>
      </w:r>
      <w:r w:rsidR="00D3475A" w:rsidRPr="005247CB">
        <w:rPr>
          <w:lang w:val="en-US"/>
        </w:rPr>
        <w:t>37%</w:t>
      </w:r>
      <w:r w:rsidR="004C74F1" w:rsidRPr="005247CB">
        <w:rPr>
          <w:lang w:val="en-US"/>
        </w:rPr>
        <w:t>; 2.9</w:t>
      </w:r>
      <w:r w:rsidR="00BB6EBE">
        <w:rPr>
          <w:lang w:val="en-US"/>
        </w:rPr>
        <w:t>-</w:t>
      </w:r>
      <w:r w:rsidR="004C74F1" w:rsidRPr="005247CB">
        <w:rPr>
          <w:lang w:val="en-US"/>
        </w:rPr>
        <w:t>3.0 billion courses</w:t>
      </w:r>
      <w:r w:rsidR="00D3475A" w:rsidRPr="005247CB">
        <w:rPr>
          <w:lang w:val="en-US"/>
        </w:rPr>
        <w:t>) and 32% (IQR = 28</w:t>
      </w:r>
      <w:r w:rsidR="004932C0">
        <w:rPr>
          <w:lang w:val="en-US"/>
        </w:rPr>
        <w:t>-</w:t>
      </w:r>
      <w:r w:rsidR="00D3475A" w:rsidRPr="005247CB">
        <w:rPr>
          <w:lang w:val="en-US"/>
        </w:rPr>
        <w:t>33%</w:t>
      </w:r>
      <w:r w:rsidR="004C74F1" w:rsidRPr="005247CB">
        <w:rPr>
          <w:lang w:val="en-US"/>
        </w:rPr>
        <w:t>; 2.3</w:t>
      </w:r>
      <w:r w:rsidR="00BB6EBE">
        <w:rPr>
          <w:lang w:val="en-US"/>
        </w:rPr>
        <w:t>-</w:t>
      </w:r>
      <w:r w:rsidR="004C74F1" w:rsidRPr="005247CB">
        <w:rPr>
          <w:lang w:val="en-US"/>
        </w:rPr>
        <w:t>2.7 billion courses</w:t>
      </w:r>
      <w:r w:rsidR="00D3475A" w:rsidRPr="005247CB">
        <w:rPr>
          <w:lang w:val="en-US"/>
        </w:rPr>
        <w:t>)</w:t>
      </w:r>
      <w:r w:rsidR="006630DB" w:rsidRPr="005247CB">
        <w:rPr>
          <w:lang w:val="en-US"/>
        </w:rPr>
        <w:t xml:space="preserve"> </w:t>
      </w:r>
      <w:r w:rsidR="00A818AF" w:rsidRPr="005247CB">
        <w:rPr>
          <w:lang w:val="en-US"/>
        </w:rPr>
        <w:t xml:space="preserve">per-capita </w:t>
      </w:r>
      <w:r w:rsidR="003B50F3" w:rsidRPr="005247CB">
        <w:rPr>
          <w:lang w:val="en-US"/>
        </w:rPr>
        <w:t>for</w:t>
      </w:r>
      <w:r w:rsidR="00440B17" w:rsidRPr="005247CB">
        <w:rPr>
          <w:lang w:val="en-US"/>
        </w:rPr>
        <w:t xml:space="preserve"> the four pandemic</w:t>
      </w:r>
      <w:r w:rsidR="001615B7" w:rsidRPr="005247CB">
        <w:rPr>
          <w:lang w:val="en-US"/>
        </w:rPr>
        <w:t xml:space="preserve"> scenarios.</w:t>
      </w:r>
      <w:r w:rsidR="00D3475A" w:rsidRPr="005247CB">
        <w:rPr>
          <w:lang w:val="en-US"/>
        </w:rPr>
        <w:t xml:space="preserve"> </w:t>
      </w:r>
    </w:p>
    <w:p w14:paraId="279D53E2" w14:textId="77777777" w:rsidR="005D4FCC" w:rsidRPr="005247CB" w:rsidRDefault="005D4FCC" w:rsidP="005D4FCC">
      <w:pPr>
        <w:rPr>
          <w:lang w:val="en-US"/>
        </w:rPr>
      </w:pPr>
      <w:r w:rsidRPr="005247CB">
        <w:rPr>
          <w:noProof/>
          <w:lang w:val="en-US"/>
        </w:rPr>
        <w:drawing>
          <wp:inline distT="0" distB="0" distL="0" distR="0" wp14:anchorId="17182120" wp14:editId="13BB7729">
            <wp:extent cx="5722067" cy="22865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00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2067" cy="2286595"/>
                    </a:xfrm>
                    <a:prstGeom prst="rect">
                      <a:avLst/>
                    </a:prstGeom>
                  </pic:spPr>
                </pic:pic>
              </a:graphicData>
            </a:graphic>
          </wp:inline>
        </w:drawing>
      </w:r>
    </w:p>
    <w:p w14:paraId="59A7D80C" w14:textId="77777777" w:rsidR="005D4FCC" w:rsidRPr="005247CB" w:rsidRDefault="005D4FCC" w:rsidP="005D4FCC">
      <w:pPr>
        <w:rPr>
          <w:lang w:val="en-US"/>
        </w:rPr>
      </w:pPr>
      <w:r w:rsidRPr="005247CB">
        <w:rPr>
          <w:b/>
          <w:lang w:val="en-US"/>
        </w:rPr>
        <w:t>Fig. 1: Mean percentage deaths averted by test-and-treat with oral antivirals in 186 countries under ideal</w:t>
      </w:r>
      <w:r>
        <w:rPr>
          <w:b/>
          <w:lang w:val="en-US"/>
        </w:rPr>
        <w:t>ise</w:t>
      </w:r>
      <w:r w:rsidRPr="005247CB">
        <w:rPr>
          <w:b/>
          <w:lang w:val="en-US"/>
        </w:rPr>
        <w:t>d assumptions</w:t>
      </w:r>
      <w:r w:rsidRPr="005247CB">
        <w:rPr>
          <w:lang w:val="en-US"/>
        </w:rPr>
        <w:t>. Baloxavir marboxil (BXM; left column) or oseltamivir (OSL; right column) was administered to all individuals that were positively diagnosed, using a rapid test with 70% test sensitivity, within two days of symptom onset. All symptomatic individuals were assumed to have sought testing within one day after symptom onset on average. Distribution of oral antivirals for treatment began one week after the pandemic was initiated in the country with ten infections. (</w:t>
      </w:r>
      <w:r w:rsidRPr="005247CB">
        <w:rPr>
          <w:b/>
          <w:lang w:val="en-US"/>
        </w:rPr>
        <w:t>A</w:t>
      </w:r>
      <w:r w:rsidRPr="005247CB">
        <w:rPr>
          <w:lang w:val="en-US"/>
        </w:rPr>
        <w:t>) 1918 A/H1N1 pandemic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oMath>
      <w:r w:rsidRPr="005247CB">
        <w:rPr>
          <w:lang w:val="en-US"/>
        </w:rPr>
        <w:t>=2.0). (</w:t>
      </w:r>
      <w:r w:rsidRPr="005247CB">
        <w:rPr>
          <w:b/>
          <w:lang w:val="en-US"/>
        </w:rPr>
        <w:t>B</w:t>
      </w:r>
      <w:r w:rsidRPr="005247CB">
        <w:rPr>
          <w:lang w:val="en-US"/>
        </w:rPr>
        <w:t>) Hypothetical influenza pandemic with COVID-19-like disease burden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oMath>
      <w:r w:rsidRPr="005247CB">
        <w:rPr>
          <w:lang w:val="en-US"/>
        </w:rPr>
        <w:t xml:space="preserve">=3.0) but generation interval akin to seasonal influenza viruses.   </w:t>
      </w:r>
    </w:p>
    <w:p w14:paraId="2FF995FB" w14:textId="4BA55DDB" w:rsidR="005D4FCC" w:rsidRDefault="005D4FCC" w:rsidP="00B60886">
      <w:pPr>
        <w:rPr>
          <w:lang w:val="en-US"/>
        </w:rPr>
      </w:pPr>
    </w:p>
    <w:p w14:paraId="4C7744D9" w14:textId="77777777" w:rsidR="005D4FCC" w:rsidRPr="005247CB" w:rsidRDefault="005D4FCC" w:rsidP="005D4FCC">
      <w:pPr>
        <w:rPr>
          <w:lang w:val="en-US"/>
        </w:rPr>
      </w:pPr>
      <w:r w:rsidRPr="005247CB">
        <w:rPr>
          <w:noProof/>
          <w:lang w:val="en-US"/>
        </w:rPr>
        <w:drawing>
          <wp:inline distT="0" distB="0" distL="0" distR="0" wp14:anchorId="08B90A4F" wp14:editId="3DCD22CF">
            <wp:extent cx="5722067" cy="22865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00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22067" cy="2286595"/>
                    </a:xfrm>
                    <a:prstGeom prst="rect">
                      <a:avLst/>
                    </a:prstGeom>
                  </pic:spPr>
                </pic:pic>
              </a:graphicData>
            </a:graphic>
          </wp:inline>
        </w:drawing>
      </w:r>
    </w:p>
    <w:p w14:paraId="16990DF4" w14:textId="76CEDFDB" w:rsidR="005D4FCC" w:rsidRDefault="005D4FCC" w:rsidP="005D4FCC">
      <w:pPr>
        <w:rPr>
          <w:lang w:val="en-US"/>
        </w:rPr>
      </w:pPr>
      <w:r w:rsidRPr="005247CB">
        <w:rPr>
          <w:b/>
          <w:lang w:val="en-US"/>
        </w:rPr>
        <w:t>Fig. 2: Maximum treatment oral antiviral demand of 186 countries under ideal</w:t>
      </w:r>
      <w:r>
        <w:rPr>
          <w:b/>
          <w:lang w:val="en-US"/>
        </w:rPr>
        <w:t>ise</w:t>
      </w:r>
      <w:r w:rsidRPr="005247CB">
        <w:rPr>
          <w:b/>
          <w:lang w:val="en-US"/>
        </w:rPr>
        <w:t>d assumptions</w:t>
      </w:r>
      <w:r w:rsidRPr="005247CB">
        <w:rPr>
          <w:lang w:val="en-US"/>
        </w:rPr>
        <w:t xml:space="preserve">. Baloxavir marboxil (BXM; left column) or oseltamivir (OSL; right column) </w:t>
      </w:r>
      <w:r w:rsidRPr="005247CB">
        <w:rPr>
          <w:lang w:val="en-US"/>
        </w:rPr>
        <w:lastRenderedPageBreak/>
        <w:t>was administered to all individuals that were positively diagnosed, using a rapid test with 70% test sensitivity, within two days of symptom onset. All symptomatic individuals were assumed to have sought testing within one day after symptom onset on average. Distribution of oral antivirals for treatment began one week after the pandemic was initiated in the country with ten infections. (</w:t>
      </w:r>
      <w:r w:rsidRPr="005247CB">
        <w:rPr>
          <w:b/>
          <w:lang w:val="en-US"/>
        </w:rPr>
        <w:t>A</w:t>
      </w:r>
      <w:r w:rsidRPr="005247CB">
        <w:rPr>
          <w:lang w:val="en-US"/>
        </w:rPr>
        <w:t>) 1918 A/H1N1 pandemic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oMath>
      <w:r w:rsidRPr="005247CB">
        <w:rPr>
          <w:lang w:val="en-US"/>
        </w:rPr>
        <w:t>=2.0). (</w:t>
      </w:r>
      <w:r w:rsidRPr="005247CB">
        <w:rPr>
          <w:b/>
          <w:lang w:val="en-US"/>
        </w:rPr>
        <w:t>B</w:t>
      </w:r>
      <w:r w:rsidRPr="005247CB">
        <w:rPr>
          <w:lang w:val="en-US"/>
        </w:rPr>
        <w:t>) Hypothetical influenza pandemic with COVID-19-like disease burden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oMath>
      <w:r w:rsidRPr="005247CB">
        <w:rPr>
          <w:lang w:val="en-US"/>
        </w:rPr>
        <w:t>=3.0) but generation interval akin to seasonal influenza viruses.</w:t>
      </w:r>
    </w:p>
    <w:p w14:paraId="796ECB64" w14:textId="25CA4489" w:rsidR="005D4FCC" w:rsidRDefault="005D4FCC" w:rsidP="005D4FCC">
      <w:pPr>
        <w:rPr>
          <w:lang w:val="en-US"/>
        </w:rPr>
      </w:pPr>
    </w:p>
    <w:p w14:paraId="25C3109D" w14:textId="77777777" w:rsidR="005D4FCC" w:rsidRPr="005247CB" w:rsidRDefault="005D4FCC" w:rsidP="005D4FCC">
      <w:pPr>
        <w:rPr>
          <w:lang w:val="en-US"/>
        </w:rPr>
      </w:pPr>
      <w:r w:rsidRPr="005247CB">
        <w:rPr>
          <w:noProof/>
          <w:lang w:val="en-US"/>
        </w:rPr>
        <w:drawing>
          <wp:inline distT="0" distB="0" distL="0" distR="0" wp14:anchorId="713BF0FE" wp14:editId="23992B20">
            <wp:extent cx="5520655" cy="3054169"/>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00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20655" cy="3054169"/>
                    </a:xfrm>
                    <a:prstGeom prst="rect">
                      <a:avLst/>
                    </a:prstGeom>
                  </pic:spPr>
                </pic:pic>
              </a:graphicData>
            </a:graphic>
          </wp:inline>
        </w:drawing>
      </w:r>
    </w:p>
    <w:p w14:paraId="47610CFC" w14:textId="77777777" w:rsidR="005D4FCC" w:rsidRPr="005247CB" w:rsidRDefault="005D4FCC" w:rsidP="005D4FCC">
      <w:pPr>
        <w:rPr>
          <w:lang w:val="en-US"/>
        </w:rPr>
      </w:pPr>
      <w:r w:rsidRPr="005247CB">
        <w:rPr>
          <w:b/>
          <w:lang w:val="en-US"/>
        </w:rPr>
        <w:t>Fig. 3: Demographic and economic covariates to treatment oral antiviral demand and impact</w:t>
      </w:r>
      <w:r w:rsidRPr="005247CB">
        <w:rPr>
          <w:lang w:val="en-US"/>
        </w:rPr>
        <w:t xml:space="preserve">. Mean percentage deaths averted (left column) and maximum treatment oral antiviral demand (right column) for each country (circle, shading denotes median age of country’s population) under different pandemic scenarios (denoted by </w:t>
      </w:r>
      <w:r>
        <w:rPr>
          <w:lang w:val="en-US"/>
        </w:rPr>
        <w:t>colour</w:t>
      </w:r>
      <w:r w:rsidRPr="005247CB">
        <w:rPr>
          <w:lang w:val="en-US"/>
        </w:rPr>
        <w:t xml:space="preserve"> of circles; red, 1918 A/H1N1; green, 1968 A/H3N2; blue, 2009 A/H1N1; and purple, COVID-19-like) are plotted against their gross national income (GNI) per capita is US dollars (USD) in 2023. Background shading denotes the range of GNI per capita distinguishing between different country income groups as classified by the World Bank in 2024 (low income country, LIC; lower-middle income country, LMIC; upper-middle income country, UMIC; and high income country, HIC). Antiviral drugs were administered to all individuals that were positively diagnosed, using a rapid test with 70% test sensitivity, within two days of symptom onset. All symptomatic individuals were assumed to have sought testing within one day after symptom onset on average. Distribution of oral antivirals for treatment began one </w:t>
      </w:r>
      <w:r w:rsidRPr="005247CB">
        <w:rPr>
          <w:lang w:val="en-US"/>
        </w:rPr>
        <w:lastRenderedPageBreak/>
        <w:t>week after the pandemic was initiated in the country with ten infections. (</w:t>
      </w:r>
      <w:r w:rsidRPr="005247CB">
        <w:rPr>
          <w:b/>
          <w:lang w:val="en-US"/>
        </w:rPr>
        <w:t>A</w:t>
      </w:r>
      <w:r w:rsidRPr="005247CB">
        <w:rPr>
          <w:lang w:val="en-US"/>
        </w:rPr>
        <w:t>) Baloxavir marboxil. (</w:t>
      </w:r>
      <w:r w:rsidRPr="005247CB">
        <w:rPr>
          <w:b/>
          <w:lang w:val="en-US"/>
        </w:rPr>
        <w:t>B</w:t>
      </w:r>
      <w:r w:rsidRPr="005247CB">
        <w:rPr>
          <w:lang w:val="en-US"/>
        </w:rPr>
        <w:t xml:space="preserve">) Oseltamivir. </w:t>
      </w:r>
    </w:p>
    <w:p w14:paraId="5BB3FC6E" w14:textId="77777777" w:rsidR="005D4FCC" w:rsidRPr="005247CB" w:rsidRDefault="005D4FCC" w:rsidP="005D4FCC">
      <w:pPr>
        <w:rPr>
          <w:lang w:val="en-US"/>
        </w:rPr>
      </w:pPr>
    </w:p>
    <w:p w14:paraId="6C542882" w14:textId="466C2DB8" w:rsidR="0019484E" w:rsidRPr="005247CB" w:rsidRDefault="004705AE" w:rsidP="00B60886">
      <w:pPr>
        <w:rPr>
          <w:lang w:val="en-US"/>
        </w:rPr>
      </w:pPr>
      <w:r w:rsidRPr="005247CB">
        <w:rPr>
          <w:lang w:val="en-US"/>
        </w:rPr>
        <w:t>At the country level, owing to their</w:t>
      </w:r>
      <w:r w:rsidR="007D1503" w:rsidRPr="005247CB">
        <w:rPr>
          <w:lang w:val="en-US"/>
        </w:rPr>
        <w:t xml:space="preserve"> generally</w:t>
      </w:r>
      <w:r w:rsidRPr="005247CB">
        <w:rPr>
          <w:lang w:val="en-US"/>
        </w:rPr>
        <w:t xml:space="preserve"> younger </w:t>
      </w:r>
      <w:r w:rsidR="00A67F1D" w:rsidRPr="005247CB">
        <w:rPr>
          <w:lang w:val="en-US"/>
        </w:rPr>
        <w:t>demography</w:t>
      </w:r>
      <w:r w:rsidR="00AF2A5F" w:rsidRPr="005247CB">
        <w:rPr>
          <w:lang w:val="en-US"/>
        </w:rPr>
        <w:t>, the</w:t>
      </w:r>
      <w:r w:rsidRPr="005247CB">
        <w:rPr>
          <w:lang w:val="en-US"/>
        </w:rPr>
        <w:t xml:space="preserve"> </w:t>
      </w:r>
      <w:r w:rsidR="00A67F1D" w:rsidRPr="005247CB">
        <w:rPr>
          <w:lang w:val="en-US"/>
        </w:rPr>
        <w:t>maximum potential per-capita</w:t>
      </w:r>
      <w:r w:rsidR="00DC21E4">
        <w:rPr>
          <w:lang w:val="en-US"/>
        </w:rPr>
        <w:t xml:space="preserve"> </w:t>
      </w:r>
      <w:r w:rsidR="00162C24">
        <w:rPr>
          <w:lang w:val="en-US"/>
        </w:rPr>
        <w:t xml:space="preserve">mean </w:t>
      </w:r>
      <w:r w:rsidR="00A67F1D" w:rsidRPr="005247CB">
        <w:rPr>
          <w:lang w:val="en-US"/>
        </w:rPr>
        <w:t>impact on disease burden by either antiviral is lower</w:t>
      </w:r>
      <w:r w:rsidR="00AF2A5F" w:rsidRPr="005247CB">
        <w:rPr>
          <w:lang w:val="en-US"/>
        </w:rPr>
        <w:t xml:space="preserve"> </w:t>
      </w:r>
      <w:r w:rsidR="00A67F1D" w:rsidRPr="005247CB">
        <w:rPr>
          <w:lang w:val="en-US"/>
        </w:rPr>
        <w:t xml:space="preserve">in </w:t>
      </w:r>
      <w:r w:rsidR="00BA64DC" w:rsidRPr="005247CB">
        <w:rPr>
          <w:lang w:val="en-US"/>
        </w:rPr>
        <w:t>lower-middle and low</w:t>
      </w:r>
      <w:r w:rsidR="00A67F1D" w:rsidRPr="005247CB">
        <w:rPr>
          <w:lang w:val="en-US"/>
        </w:rPr>
        <w:t xml:space="preserve"> income countries </w:t>
      </w:r>
      <w:r w:rsidR="00046F0D" w:rsidRPr="005247CB">
        <w:rPr>
          <w:lang w:val="en-US"/>
        </w:rPr>
        <w:t>while requiring</w:t>
      </w:r>
      <w:r w:rsidR="00A67F1D" w:rsidRPr="005247CB">
        <w:rPr>
          <w:lang w:val="en-US"/>
        </w:rPr>
        <w:t xml:space="preserve"> up to four times more treatment courses relative to high income countries </w:t>
      </w:r>
      <w:r w:rsidR="00AF2A5F" w:rsidRPr="005247CB">
        <w:rPr>
          <w:lang w:val="en-US"/>
        </w:rPr>
        <w:t>(</w:t>
      </w:r>
      <w:r w:rsidR="006C0863" w:rsidRPr="005247CB">
        <w:rPr>
          <w:lang w:val="en-US"/>
        </w:rPr>
        <w:t>Fig. 3</w:t>
      </w:r>
      <w:r w:rsidR="00AF2A5F" w:rsidRPr="005247CB">
        <w:rPr>
          <w:lang w:val="en-US"/>
        </w:rPr>
        <w:t>)</w:t>
      </w:r>
      <w:r w:rsidR="00A67F1D" w:rsidRPr="005247CB">
        <w:rPr>
          <w:lang w:val="en-US"/>
        </w:rPr>
        <w:t xml:space="preserve">, except for the </w:t>
      </w:r>
      <w:r w:rsidRPr="005247CB">
        <w:rPr>
          <w:lang w:val="en-US"/>
        </w:rPr>
        <w:t>COVID-19-like pandemic scenario</w:t>
      </w:r>
      <w:r w:rsidR="00046F0D" w:rsidRPr="005247CB">
        <w:rPr>
          <w:lang w:val="en-US"/>
        </w:rPr>
        <w:t xml:space="preserve"> which, </w:t>
      </w:r>
      <w:r w:rsidRPr="005247CB">
        <w:rPr>
          <w:lang w:val="en-US"/>
        </w:rPr>
        <w:t xml:space="preserve">unlike historical influenza pandemics, impacted younger individuals to a lesser </w:t>
      </w:r>
      <w:r w:rsidR="00046F0D" w:rsidRPr="005247CB">
        <w:rPr>
          <w:lang w:val="en-US"/>
        </w:rPr>
        <w:t>extent</w:t>
      </w:r>
      <w:r w:rsidRPr="005247CB">
        <w:rPr>
          <w:lang w:val="en-US"/>
        </w:rPr>
        <w:t xml:space="preserve"> </w:t>
      </w:r>
      <w:r w:rsidR="00A67F1D" w:rsidRPr="005247CB">
        <w:rPr>
          <w:lang w:val="en-US"/>
        </w:rPr>
        <w:t xml:space="preserve">owing to their lower susceptibility to SARS-CoV-2 infection, and in turn, </w:t>
      </w:r>
      <w:r w:rsidR="00046F0D" w:rsidRPr="005247CB">
        <w:rPr>
          <w:lang w:val="en-US"/>
        </w:rPr>
        <w:t>reducing the</w:t>
      </w:r>
      <w:r w:rsidR="00BA64DC" w:rsidRPr="005247CB">
        <w:rPr>
          <w:lang w:val="en-US"/>
        </w:rPr>
        <w:t xml:space="preserve"> estimated</w:t>
      </w:r>
      <w:r w:rsidR="00046F0D" w:rsidRPr="005247CB">
        <w:rPr>
          <w:lang w:val="en-US"/>
        </w:rPr>
        <w:t xml:space="preserve"> </w:t>
      </w:r>
      <w:r w:rsidR="00B11252">
        <w:rPr>
          <w:lang w:val="en-US"/>
        </w:rPr>
        <w:t xml:space="preserve">mean </w:t>
      </w:r>
      <w:r w:rsidR="00046F0D" w:rsidRPr="005247CB">
        <w:rPr>
          <w:lang w:val="en-US"/>
        </w:rPr>
        <w:t>antiviral treatment demand in lower income countries</w:t>
      </w:r>
      <w:r w:rsidR="00A67F1D" w:rsidRPr="005247CB">
        <w:rPr>
          <w:lang w:val="en-US"/>
        </w:rPr>
        <w:t>.</w:t>
      </w:r>
      <w:r w:rsidR="005229A1" w:rsidRPr="005247CB">
        <w:rPr>
          <w:lang w:val="en-US"/>
        </w:rPr>
        <w:t xml:space="preserve"> </w:t>
      </w:r>
      <w:r w:rsidR="007E4DD9">
        <w:rPr>
          <w:lang w:val="en-US"/>
        </w:rPr>
        <w:t>Appendix Table</w:t>
      </w:r>
      <w:r w:rsidR="006C0863" w:rsidRPr="005247CB">
        <w:rPr>
          <w:lang w:val="en-US"/>
        </w:rPr>
        <w:t xml:space="preserve"> 3 </w:t>
      </w:r>
      <w:r w:rsidR="005229A1" w:rsidRPr="005247CB">
        <w:rPr>
          <w:lang w:val="en-US"/>
        </w:rPr>
        <w:t xml:space="preserve">tabulates the estimated maximum </w:t>
      </w:r>
      <w:r w:rsidR="0059497F" w:rsidRPr="005247CB">
        <w:rPr>
          <w:lang w:val="en-US"/>
        </w:rPr>
        <w:t xml:space="preserve">mean </w:t>
      </w:r>
      <w:r w:rsidR="005229A1" w:rsidRPr="005247CB">
        <w:rPr>
          <w:lang w:val="en-US"/>
        </w:rPr>
        <w:t>antiviral treatment demand</w:t>
      </w:r>
      <w:r w:rsidR="00FA1478" w:rsidRPr="005247CB">
        <w:rPr>
          <w:lang w:val="en-US"/>
        </w:rPr>
        <w:t>, mean rapid testing demand</w:t>
      </w:r>
      <w:r w:rsidR="0059497F" w:rsidRPr="005247CB">
        <w:rPr>
          <w:lang w:val="en-US"/>
        </w:rPr>
        <w:t xml:space="preserve"> and </w:t>
      </w:r>
      <w:r w:rsidR="00FA1478" w:rsidRPr="005247CB">
        <w:rPr>
          <w:lang w:val="en-US"/>
        </w:rPr>
        <w:t xml:space="preserve">the </w:t>
      </w:r>
      <w:r w:rsidR="005229A1" w:rsidRPr="005247CB">
        <w:rPr>
          <w:lang w:val="en-US"/>
        </w:rPr>
        <w:t>corresponding</w:t>
      </w:r>
      <w:r w:rsidR="0059497F" w:rsidRPr="005247CB">
        <w:rPr>
          <w:lang w:val="en-US"/>
        </w:rPr>
        <w:t xml:space="preserve"> mean</w:t>
      </w:r>
      <w:r w:rsidR="005229A1" w:rsidRPr="005247CB">
        <w:rPr>
          <w:lang w:val="en-US"/>
        </w:rPr>
        <w:t xml:space="preserve"> deaths averted for each individual country </w:t>
      </w:r>
      <w:r w:rsidR="00C7636F" w:rsidRPr="005247CB">
        <w:rPr>
          <w:lang w:val="en-US"/>
        </w:rPr>
        <w:t>across</w:t>
      </w:r>
      <w:r w:rsidR="005229A1" w:rsidRPr="005247CB">
        <w:rPr>
          <w:lang w:val="en-US"/>
        </w:rPr>
        <w:t xml:space="preserve"> all four simulated pandemic scenarios.  </w:t>
      </w:r>
    </w:p>
    <w:p w14:paraId="5A270C69" w14:textId="2C93D778" w:rsidR="00166593" w:rsidRDefault="00445158" w:rsidP="00B60886">
      <w:pPr>
        <w:rPr>
          <w:lang w:val="en-US"/>
        </w:rPr>
      </w:pPr>
      <w:r w:rsidRPr="005247CB">
        <w:rPr>
          <w:lang w:val="en-US"/>
        </w:rPr>
        <w:t xml:space="preserve">We also performed sensitivity analyses to account for uncertainty surrounding two key parameters, including: (1) transmission risk reduction by BXM </w:t>
      </w:r>
      <w:r w:rsidR="00386B6A" w:rsidRPr="005247CB">
        <w:rPr>
          <w:lang w:val="en-US"/>
        </w:rPr>
        <w:t>where the</w:t>
      </w:r>
      <w:r w:rsidRPr="005247CB">
        <w:rPr>
          <w:lang w:val="en-US"/>
        </w:rPr>
        <w:t xml:space="preserve"> 95% confidence interval was estimated at 12</w:t>
      </w:r>
      <w:r w:rsidR="004932C0">
        <w:rPr>
          <w:lang w:val="en-US"/>
        </w:rPr>
        <w:t>-</w:t>
      </w:r>
      <w:r w:rsidRPr="005247CB">
        <w:rPr>
          <w:lang w:val="en-US"/>
        </w:rPr>
        <w:t>45%</w:t>
      </w:r>
      <w:r w:rsidR="00A70EC9">
        <w:rPr>
          <w:lang w:val="en-US"/>
        </w:rPr>
        <w:t xml:space="preserve"> </w:t>
      </w:r>
      <w:r w:rsidRPr="005247CB">
        <w:rPr>
          <w:lang w:val="en-US"/>
        </w:rPr>
        <w:fldChar w:fldCharType="begin"/>
      </w:r>
      <w:r w:rsidR="00980AE9">
        <w:rPr>
          <w:lang w:val="en-US"/>
        </w:rPr>
        <w:instrText xml:space="preserve"> ADDIN ZOTERO_ITEM CSL_CITATION {"citationID":"a1i1hab02mm","properties":{"formattedCitation":"(Monto Arnold S. et al., 2025)","plainCitation":"(Monto Arnold S. et al., 2025)","noteIndex":0},"citationItems":[{"id":288,"uris":["http://zotero.org/users/9596130/items/HVVT3WY6"],"itemData":{"id":288,"type":"article-journal","container-title":"New England Journal of Medicine","DOI":"10.1056/NEJMoa2413156","issue":"16","journalAbbreviation":"New England Journal of Medicine","note":"publisher: Massachusetts Medical Society","page":"1582-1593","title":"Efficacy of Baloxavir Treatment in Preventing Transmission of Influenza","volume":"392","author":[{"literal":"Monto Arnold S."},{"literal":"Kuhlbusch Klaus"},{"literal":"Bernasconi Corrado"},{"literal":"Cao Bin"},{"literal":"Cohen Herman Avner"},{"literal":"Graham Emily"},{"literal":"Hurt Aeron C."},{"literal":"Katugampola Laurie"},{"literal":"Kamezawa Takashi"},{"literal":"Lauring Adam S."},{"literal":"McLean Barry"},{"literal":"Takazono Takahiro"},{"literal":"Widmer Andreas"},{"literal":"Wildum Steffen"},{"literal":"Cowling Benjamin J."}],"issued":{"date-parts":[["2025",4,23]]}}}],"schema":"https://github.com/citation-style-language/schema/raw/master/csl-citation.json"} </w:instrText>
      </w:r>
      <w:r w:rsidRPr="005247CB">
        <w:rPr>
          <w:lang w:val="en-US"/>
        </w:rPr>
        <w:fldChar w:fldCharType="separate"/>
      </w:r>
      <w:r w:rsidR="00980AE9" w:rsidRPr="00980AE9">
        <w:rPr>
          <w:lang w:val="en-US"/>
        </w:rPr>
        <w:t>(Monto Arnold S. et al., 2025)</w:t>
      </w:r>
      <w:r w:rsidRPr="005247CB">
        <w:rPr>
          <w:lang w:val="en-US"/>
        </w:rPr>
        <w:fldChar w:fldCharType="end"/>
      </w:r>
      <w:r w:rsidR="00A70EC9">
        <w:rPr>
          <w:lang w:val="en-US"/>
        </w:rPr>
        <w:t>,</w:t>
      </w:r>
      <w:r w:rsidRPr="005247CB">
        <w:rPr>
          <w:lang w:val="en-US"/>
        </w:rPr>
        <w:t xml:space="preserve"> and (2) the probability of asymptomatic infection</w:t>
      </w:r>
      <w:r w:rsidR="00E5703A" w:rsidRPr="005247CB">
        <w:rPr>
          <w:lang w:val="en-US"/>
        </w:rPr>
        <w:t>, which we varied between 0.05 and 0.40.</w:t>
      </w:r>
      <w:r w:rsidR="009B6835" w:rsidRPr="005247CB">
        <w:rPr>
          <w:lang w:val="en-US"/>
        </w:rPr>
        <w:t xml:space="preserve"> With </w:t>
      </w:r>
      <w:r w:rsidR="00386B6A" w:rsidRPr="005247CB">
        <w:rPr>
          <w:lang w:val="en-US"/>
        </w:rPr>
        <w:t>greater</w:t>
      </w:r>
      <w:r w:rsidR="009B6835" w:rsidRPr="005247CB">
        <w:rPr>
          <w:lang w:val="en-US"/>
        </w:rPr>
        <w:t xml:space="preserve"> </w:t>
      </w:r>
      <w:r w:rsidR="00E5703A" w:rsidRPr="005247CB">
        <w:rPr>
          <w:lang w:val="en-US"/>
        </w:rPr>
        <w:t xml:space="preserve">transmission risk reduction by BXM, mean percentage deaths averted </w:t>
      </w:r>
      <w:r w:rsidR="00A016FD" w:rsidRPr="005247CB">
        <w:rPr>
          <w:lang w:val="en-US"/>
        </w:rPr>
        <w:t xml:space="preserve">expectedly </w:t>
      </w:r>
      <w:r w:rsidR="00E5703A" w:rsidRPr="005247CB">
        <w:rPr>
          <w:lang w:val="en-US"/>
        </w:rPr>
        <w:t>tend to increase with decreasing antiviral demand</w:t>
      </w:r>
      <w:r w:rsidR="00CC6509" w:rsidRPr="005247CB">
        <w:rPr>
          <w:lang w:val="en-US"/>
        </w:rPr>
        <w:t xml:space="preserve"> (</w:t>
      </w:r>
      <w:r w:rsidR="007E4DD9">
        <w:rPr>
          <w:lang w:val="en-US"/>
        </w:rPr>
        <w:t>Appendix Fig.</w:t>
      </w:r>
      <w:r w:rsidR="006C0863" w:rsidRPr="005247CB">
        <w:rPr>
          <w:lang w:val="en-US"/>
        </w:rPr>
        <w:t xml:space="preserve"> 1</w:t>
      </w:r>
      <w:r w:rsidR="00CC6509" w:rsidRPr="005247CB">
        <w:rPr>
          <w:lang w:val="en-US"/>
        </w:rPr>
        <w:t>)</w:t>
      </w:r>
      <w:r w:rsidR="00E5703A" w:rsidRPr="005247CB">
        <w:rPr>
          <w:lang w:val="en-US"/>
        </w:rPr>
        <w:t xml:space="preserve">. However, the marginal changes to mean percentage deaths averted and antiviral demand depends on the pandemic simulated, with more diffuse changes </w:t>
      </w:r>
      <w:r w:rsidR="000F7201" w:rsidRPr="005247CB">
        <w:rPr>
          <w:lang w:val="en-US"/>
        </w:rPr>
        <w:t>estimated</w:t>
      </w:r>
      <w:r w:rsidR="00E5703A" w:rsidRPr="005247CB">
        <w:rPr>
          <w:lang w:val="en-US"/>
        </w:rPr>
        <w:t xml:space="preserve"> for milder pandemics. </w:t>
      </w:r>
      <w:r w:rsidR="00386B6A" w:rsidRPr="005247CB">
        <w:rPr>
          <w:lang w:val="en-US"/>
        </w:rPr>
        <w:t>B</w:t>
      </w:r>
      <w:r w:rsidR="009B6835" w:rsidRPr="005247CB">
        <w:rPr>
          <w:lang w:val="en-US"/>
        </w:rPr>
        <w:t>oth mean percentage deaths averted and antiviral demand also</w:t>
      </w:r>
      <w:r w:rsidR="00420F98" w:rsidRPr="005247CB">
        <w:rPr>
          <w:lang w:val="en-US"/>
        </w:rPr>
        <w:t xml:space="preserve"> expectedly</w:t>
      </w:r>
      <w:r w:rsidR="009B6835" w:rsidRPr="005247CB">
        <w:rPr>
          <w:lang w:val="en-US"/>
        </w:rPr>
        <w:t xml:space="preserve"> decrease with </w:t>
      </w:r>
      <w:r w:rsidR="00420F98" w:rsidRPr="005247CB">
        <w:rPr>
          <w:lang w:val="en-US"/>
        </w:rPr>
        <w:t xml:space="preserve">higher </w:t>
      </w:r>
      <w:r w:rsidR="009B6835" w:rsidRPr="005247CB">
        <w:rPr>
          <w:lang w:val="en-US"/>
        </w:rPr>
        <w:t>probability of asymptomatic infection (</w:t>
      </w:r>
      <w:r w:rsidR="007E4DD9">
        <w:rPr>
          <w:lang w:val="en-US"/>
        </w:rPr>
        <w:t>Appendix Fig.</w:t>
      </w:r>
      <w:r w:rsidR="009B6835" w:rsidRPr="005247CB">
        <w:rPr>
          <w:lang w:val="en-US"/>
        </w:rPr>
        <w:t xml:space="preserve"> 2</w:t>
      </w:r>
      <w:r w:rsidR="004828E5" w:rsidRPr="005247CB">
        <w:rPr>
          <w:lang w:val="en-US"/>
        </w:rPr>
        <w:t xml:space="preserve"> and 3</w:t>
      </w:r>
      <w:r w:rsidR="009B6835" w:rsidRPr="005247CB">
        <w:rPr>
          <w:lang w:val="en-US"/>
        </w:rPr>
        <w:t>).</w:t>
      </w:r>
      <w:r w:rsidR="004828E5" w:rsidRPr="005247CB">
        <w:rPr>
          <w:lang w:val="en-US"/>
        </w:rPr>
        <w:t xml:space="preserve"> BXM tends to result in larger decreases in mean percentage deaths averted than oseltamivir </w:t>
      </w:r>
      <w:r w:rsidR="006C41A8" w:rsidRPr="005247CB">
        <w:rPr>
          <w:lang w:val="en-US"/>
        </w:rPr>
        <w:t>since</w:t>
      </w:r>
      <w:r w:rsidR="00386B6A" w:rsidRPr="005247CB">
        <w:rPr>
          <w:lang w:val="en-US"/>
        </w:rPr>
        <w:t xml:space="preserve"> fewer </w:t>
      </w:r>
      <w:r w:rsidR="004828E5" w:rsidRPr="005247CB">
        <w:rPr>
          <w:lang w:val="en-US"/>
        </w:rPr>
        <w:t>symptomatic infections are tested for treatment</w:t>
      </w:r>
      <w:r w:rsidR="006C41A8" w:rsidRPr="005247CB">
        <w:rPr>
          <w:lang w:val="en-US"/>
        </w:rPr>
        <w:t xml:space="preserve"> with higher asymptomatic infection rates.</w:t>
      </w:r>
      <w:r w:rsidR="009B6835" w:rsidRPr="005247CB">
        <w:rPr>
          <w:lang w:val="en-US"/>
        </w:rPr>
        <w:t xml:space="preserve">   </w:t>
      </w:r>
      <w:r w:rsidR="00E5703A" w:rsidRPr="005247CB">
        <w:rPr>
          <w:lang w:val="en-US"/>
        </w:rPr>
        <w:t xml:space="preserve">   </w:t>
      </w:r>
      <w:r w:rsidRPr="005247CB">
        <w:rPr>
          <w:lang w:val="en-US"/>
        </w:rPr>
        <w:t xml:space="preserve">    </w:t>
      </w:r>
    </w:p>
    <w:p w14:paraId="24B33DBF" w14:textId="65CBE542" w:rsidR="00545B91" w:rsidRPr="005247CB" w:rsidRDefault="00445158" w:rsidP="00B60886">
      <w:pPr>
        <w:rPr>
          <w:lang w:val="en-US"/>
        </w:rPr>
      </w:pPr>
      <w:r w:rsidRPr="005247CB">
        <w:rPr>
          <w:lang w:val="en-US"/>
        </w:rPr>
        <w:t xml:space="preserve"> </w:t>
      </w:r>
    </w:p>
    <w:p w14:paraId="2949C97B" w14:textId="46E3474E" w:rsidR="00664AF7" w:rsidRPr="005247CB" w:rsidRDefault="00664AF7" w:rsidP="00664AF7">
      <w:pPr>
        <w:pStyle w:val="Heading2"/>
      </w:pPr>
      <w:r w:rsidRPr="005247CB">
        <w:t xml:space="preserve">Impact of </w:t>
      </w:r>
      <w:r w:rsidR="00D14077" w:rsidRPr="005247CB">
        <w:t>treatment delay, distribution strategies, post-exposure prophylaxis and antiviral resistance</w:t>
      </w:r>
    </w:p>
    <w:p w14:paraId="36BA13F8" w14:textId="724097A7" w:rsidR="00126B84" w:rsidRDefault="00EF01C5" w:rsidP="00126B84">
      <w:pPr>
        <w:rPr>
          <w:lang w:val="en-US"/>
        </w:rPr>
      </w:pPr>
      <w:r w:rsidRPr="005247CB">
        <w:rPr>
          <w:lang w:val="en-US"/>
        </w:rPr>
        <w:t>W</w:t>
      </w:r>
      <w:r w:rsidR="005557F4" w:rsidRPr="005247CB">
        <w:rPr>
          <w:lang w:val="en-US"/>
        </w:rPr>
        <w:t>e</w:t>
      </w:r>
      <w:r w:rsidR="00005085" w:rsidRPr="005247CB">
        <w:rPr>
          <w:lang w:val="en-US"/>
        </w:rPr>
        <w:t xml:space="preserve"> </w:t>
      </w:r>
      <w:r w:rsidRPr="005247CB">
        <w:rPr>
          <w:lang w:val="en-US"/>
        </w:rPr>
        <w:t>subsequently</w:t>
      </w:r>
      <w:r w:rsidR="00FA2B8C" w:rsidRPr="005247CB">
        <w:rPr>
          <w:lang w:val="en-US"/>
        </w:rPr>
        <w:t xml:space="preserve"> </w:t>
      </w:r>
      <w:r w:rsidR="00231DF4" w:rsidRPr="005247CB">
        <w:rPr>
          <w:lang w:val="en-US"/>
        </w:rPr>
        <w:t>investigated</w:t>
      </w:r>
      <w:r w:rsidR="00FA2B8C" w:rsidRPr="005247CB">
        <w:rPr>
          <w:lang w:val="en-US"/>
        </w:rPr>
        <w:t xml:space="preserve"> </w:t>
      </w:r>
      <w:r w:rsidR="00005085" w:rsidRPr="005247CB">
        <w:rPr>
          <w:lang w:val="en-US"/>
        </w:rPr>
        <w:t>how</w:t>
      </w:r>
      <w:r w:rsidR="00522A93" w:rsidRPr="005247CB">
        <w:rPr>
          <w:lang w:val="en-US"/>
        </w:rPr>
        <w:t xml:space="preserve"> </w:t>
      </w:r>
      <w:r w:rsidR="000C64AC" w:rsidRPr="005247CB">
        <w:rPr>
          <w:lang w:val="en-US"/>
        </w:rPr>
        <w:t>pandemic death</w:t>
      </w:r>
      <w:r w:rsidR="00522A93" w:rsidRPr="005247CB">
        <w:rPr>
          <w:lang w:val="en-US"/>
        </w:rPr>
        <w:t xml:space="preserve"> reduction</w:t>
      </w:r>
      <w:r w:rsidR="00B11BB6" w:rsidRPr="005247CB">
        <w:rPr>
          <w:lang w:val="en-US"/>
        </w:rPr>
        <w:t xml:space="preserve"> and</w:t>
      </w:r>
      <w:r w:rsidR="00522A93" w:rsidRPr="005247CB">
        <w:rPr>
          <w:lang w:val="en-US"/>
        </w:rPr>
        <w:t xml:space="preserve"> the corresponding demand </w:t>
      </w:r>
      <w:r w:rsidRPr="005247CB">
        <w:rPr>
          <w:lang w:val="en-US"/>
        </w:rPr>
        <w:t xml:space="preserve">for BXM, the potentially more impactful antiviral drug, </w:t>
      </w:r>
      <w:r w:rsidR="00522A93" w:rsidRPr="005247CB">
        <w:rPr>
          <w:lang w:val="en-US"/>
        </w:rPr>
        <w:t xml:space="preserve">would change </w:t>
      </w:r>
      <w:r w:rsidR="00231DF4" w:rsidRPr="005247CB">
        <w:rPr>
          <w:lang w:val="en-US"/>
        </w:rPr>
        <w:t>by</w:t>
      </w:r>
      <w:r w:rsidR="002907A7" w:rsidRPr="005247CB">
        <w:rPr>
          <w:lang w:val="en-US"/>
        </w:rPr>
        <w:t xml:space="preserve"> deviations</w:t>
      </w:r>
      <w:r w:rsidR="00147806" w:rsidRPr="005247CB">
        <w:rPr>
          <w:lang w:val="en-US"/>
        </w:rPr>
        <w:t xml:space="preserve"> in reality</w:t>
      </w:r>
      <w:r w:rsidR="002907A7" w:rsidRPr="005247CB">
        <w:rPr>
          <w:lang w:val="en-US"/>
        </w:rPr>
        <w:t xml:space="preserve"> from </w:t>
      </w:r>
      <w:r w:rsidR="00231DF4" w:rsidRPr="005247CB">
        <w:rPr>
          <w:lang w:val="en-US"/>
        </w:rPr>
        <w:t>ideal</w:t>
      </w:r>
      <w:r w:rsidR="005247CB">
        <w:rPr>
          <w:lang w:val="en-US"/>
        </w:rPr>
        <w:t>ise</w:t>
      </w:r>
      <w:r w:rsidR="00231DF4" w:rsidRPr="005247CB">
        <w:rPr>
          <w:lang w:val="en-US"/>
        </w:rPr>
        <w:t>d assumptions</w:t>
      </w:r>
      <w:r w:rsidR="002907A7" w:rsidRPr="005247CB">
        <w:rPr>
          <w:lang w:val="en-US"/>
        </w:rPr>
        <w:t xml:space="preserve">. We used a Bayesian multilevel model </w:t>
      </w:r>
      <w:r w:rsidR="00231DF4" w:rsidRPr="005247CB">
        <w:rPr>
          <w:lang w:val="en-US"/>
        </w:rPr>
        <w:t>t</w:t>
      </w:r>
      <w:r w:rsidR="002907A7" w:rsidRPr="005247CB">
        <w:rPr>
          <w:lang w:val="en-US"/>
        </w:rPr>
        <w:t>o estimate the joint impact of these deviations (</w:t>
      </w:r>
      <w:r w:rsidR="006C0863" w:rsidRPr="005247CB">
        <w:rPr>
          <w:lang w:val="en-US"/>
        </w:rPr>
        <w:t>Fig. 4</w:t>
      </w:r>
      <w:r w:rsidR="002907A7" w:rsidRPr="005247CB">
        <w:rPr>
          <w:lang w:val="en-US"/>
        </w:rPr>
        <w:t>).</w:t>
      </w:r>
      <w:r w:rsidR="00231DF4" w:rsidRPr="005247CB">
        <w:rPr>
          <w:lang w:val="en-US"/>
        </w:rPr>
        <w:t xml:space="preserve"> </w:t>
      </w:r>
      <w:r w:rsidR="00366332" w:rsidRPr="005247CB">
        <w:rPr>
          <w:lang w:val="en-US"/>
        </w:rPr>
        <w:t>First,</w:t>
      </w:r>
      <w:r w:rsidR="005D6D72" w:rsidRPr="005247CB">
        <w:rPr>
          <w:lang w:val="en-US"/>
        </w:rPr>
        <w:t xml:space="preserve"> </w:t>
      </w:r>
      <w:r w:rsidR="003900E9" w:rsidRPr="005247CB">
        <w:rPr>
          <w:lang w:val="en-US"/>
        </w:rPr>
        <w:t>distribution</w:t>
      </w:r>
      <w:r w:rsidR="00126B84" w:rsidRPr="005247CB">
        <w:rPr>
          <w:lang w:val="en-US"/>
        </w:rPr>
        <w:t xml:space="preserve"> of test and treatment</w:t>
      </w:r>
      <w:r w:rsidR="003900E9" w:rsidRPr="005247CB">
        <w:rPr>
          <w:lang w:val="en-US"/>
        </w:rPr>
        <w:t xml:space="preserve"> across the country</w:t>
      </w:r>
      <w:r w:rsidR="005D6D72" w:rsidRPr="005247CB">
        <w:rPr>
          <w:lang w:val="en-US"/>
        </w:rPr>
        <w:t xml:space="preserve"> </w:t>
      </w:r>
      <w:r w:rsidR="0034767A" w:rsidRPr="005247CB">
        <w:rPr>
          <w:lang w:val="en-US"/>
        </w:rPr>
        <w:lastRenderedPageBreak/>
        <w:t>is often delayed beyond one week since pandemic initiation in the country. Sufficient epidemiological evidence must accumulate before a pandemic emergency can be ascertained. Additionally, resource, logistical and public health infrastructure constraints, especially in low-resourced countries, can further impede timely test-and-treat interventions.</w:t>
      </w:r>
      <w:r w:rsidR="00114502" w:rsidRPr="005247CB">
        <w:rPr>
          <w:lang w:val="en-US"/>
        </w:rPr>
        <w:t xml:space="preserve"> </w:t>
      </w:r>
      <w:r w:rsidR="000656AF" w:rsidRPr="005247CB">
        <w:rPr>
          <w:lang w:val="en-US"/>
        </w:rPr>
        <w:t>Excluding p</w:t>
      </w:r>
      <w:r w:rsidR="00126B84" w:rsidRPr="005247CB">
        <w:rPr>
          <w:lang w:val="en-US"/>
        </w:rPr>
        <w:t>andemic</w:t>
      </w:r>
      <w:r w:rsidR="000656AF" w:rsidRPr="005247CB">
        <w:rPr>
          <w:lang w:val="en-US"/>
        </w:rPr>
        <w:t>-</w:t>
      </w:r>
      <w:r w:rsidR="00126B84" w:rsidRPr="005247CB">
        <w:rPr>
          <w:lang w:val="en-US"/>
        </w:rPr>
        <w:t xml:space="preserve"> and countr</w:t>
      </w:r>
      <w:r w:rsidR="000656AF" w:rsidRPr="005247CB">
        <w:rPr>
          <w:lang w:val="en-US"/>
        </w:rPr>
        <w:t>y-specific effects</w:t>
      </w:r>
      <w:r w:rsidR="00126B84" w:rsidRPr="005247CB">
        <w:rPr>
          <w:lang w:val="en-US"/>
        </w:rPr>
        <w:t xml:space="preserve">, percentage of </w:t>
      </w:r>
      <w:r w:rsidR="006F78B3" w:rsidRPr="005247CB">
        <w:rPr>
          <w:lang w:val="en-US"/>
        </w:rPr>
        <w:t xml:space="preserve">mean </w:t>
      </w:r>
      <w:r w:rsidR="00126B84" w:rsidRPr="005247CB">
        <w:rPr>
          <w:lang w:val="en-US"/>
        </w:rPr>
        <w:t xml:space="preserve">deaths averted by BXM decreases by </w:t>
      </w:r>
      <w:r w:rsidR="0046570A" w:rsidRPr="005247CB">
        <w:rPr>
          <w:lang w:val="en-US"/>
        </w:rPr>
        <w:t>0.9</w:t>
      </w:r>
      <w:r w:rsidR="00126B84" w:rsidRPr="005247CB">
        <w:rPr>
          <w:lang w:val="en-US"/>
        </w:rPr>
        <w:t>% (95% highest posterior density (HPD) = 0.</w:t>
      </w:r>
      <w:r w:rsidR="0046570A" w:rsidRPr="005247CB">
        <w:rPr>
          <w:lang w:val="en-US"/>
        </w:rPr>
        <w:t>1</w:t>
      </w:r>
      <w:r w:rsidR="004932C0">
        <w:rPr>
          <w:lang w:val="en-US"/>
        </w:rPr>
        <w:t>-</w:t>
      </w:r>
      <w:r w:rsidR="00126B84" w:rsidRPr="005247CB">
        <w:rPr>
          <w:lang w:val="en-US"/>
        </w:rPr>
        <w:t>1</w:t>
      </w:r>
      <w:r w:rsidR="0046570A" w:rsidRPr="005247CB">
        <w:rPr>
          <w:lang w:val="en-US"/>
        </w:rPr>
        <w:t>.6</w:t>
      </w:r>
      <w:r w:rsidR="00126B84" w:rsidRPr="005247CB">
        <w:rPr>
          <w:lang w:val="en-US"/>
        </w:rPr>
        <w:t xml:space="preserve">%) for every week of delay to </w:t>
      </w:r>
      <w:r w:rsidR="003900E9" w:rsidRPr="005247CB">
        <w:rPr>
          <w:lang w:val="en-US"/>
        </w:rPr>
        <w:t>test-and-treatment</w:t>
      </w:r>
      <w:r w:rsidR="00126B84" w:rsidRPr="005247CB">
        <w:rPr>
          <w:lang w:val="en-US"/>
        </w:rPr>
        <w:t xml:space="preserve"> distribution since the first infections in the country. </w:t>
      </w:r>
      <w:r w:rsidR="000656AF" w:rsidRPr="005247CB">
        <w:rPr>
          <w:lang w:val="en-US"/>
        </w:rPr>
        <w:t>This decrease is further exacerbated</w:t>
      </w:r>
      <w:r w:rsidR="00126B84" w:rsidRPr="005247CB">
        <w:rPr>
          <w:lang w:val="en-US"/>
        </w:rPr>
        <w:t xml:space="preserve"> </w:t>
      </w:r>
      <w:r w:rsidR="000656AF" w:rsidRPr="005247CB">
        <w:rPr>
          <w:lang w:val="en-US"/>
        </w:rPr>
        <w:t>under</w:t>
      </w:r>
      <w:r w:rsidR="00126B84" w:rsidRPr="005247CB">
        <w:rPr>
          <w:lang w:val="en-US"/>
        </w:rPr>
        <w:t xml:space="preserve"> pandemic</w:t>
      </w:r>
      <w:r w:rsidR="000656AF" w:rsidRPr="005247CB">
        <w:rPr>
          <w:lang w:val="en-US"/>
        </w:rPr>
        <w:t xml:space="preserve"> scenarios</w:t>
      </w:r>
      <w:r w:rsidR="00126B84" w:rsidRPr="005247CB">
        <w:rPr>
          <w:lang w:val="en-US"/>
        </w:rPr>
        <w:t xml:space="preserve"> with faster growth rates, for instance each week of distribution delay under a COVID-19-like pandemic scenario decreases percentage </w:t>
      </w:r>
      <w:r w:rsidR="00A11A47">
        <w:rPr>
          <w:lang w:val="en-US"/>
        </w:rPr>
        <w:t xml:space="preserve">of </w:t>
      </w:r>
      <w:r w:rsidR="00A11A47" w:rsidRPr="005247CB">
        <w:rPr>
          <w:lang w:val="en-US"/>
        </w:rPr>
        <w:t xml:space="preserve">mean </w:t>
      </w:r>
      <w:r w:rsidR="00126B84" w:rsidRPr="005247CB">
        <w:rPr>
          <w:lang w:val="en-US"/>
        </w:rPr>
        <w:t>deaths averted by 2.</w:t>
      </w:r>
      <w:r w:rsidR="0046570A" w:rsidRPr="005247CB">
        <w:rPr>
          <w:lang w:val="en-US"/>
        </w:rPr>
        <w:t>9</w:t>
      </w:r>
      <w:r w:rsidR="00126B84" w:rsidRPr="005247CB">
        <w:rPr>
          <w:lang w:val="en-US"/>
        </w:rPr>
        <w:t>% (95% HPD = 2.</w:t>
      </w:r>
      <w:r w:rsidR="0046570A" w:rsidRPr="005247CB">
        <w:rPr>
          <w:lang w:val="en-US"/>
        </w:rPr>
        <w:t>8</w:t>
      </w:r>
      <w:r w:rsidR="004932C0">
        <w:rPr>
          <w:lang w:val="en-US"/>
        </w:rPr>
        <w:t>-</w:t>
      </w:r>
      <w:r w:rsidR="0046570A" w:rsidRPr="005247CB">
        <w:rPr>
          <w:lang w:val="en-US"/>
        </w:rPr>
        <w:t>3</w:t>
      </w:r>
      <w:r w:rsidR="00126B84" w:rsidRPr="005247CB">
        <w:rPr>
          <w:lang w:val="en-US"/>
        </w:rPr>
        <w:t>.</w:t>
      </w:r>
      <w:r w:rsidR="0046570A" w:rsidRPr="005247CB">
        <w:rPr>
          <w:lang w:val="en-US"/>
        </w:rPr>
        <w:t>0</w:t>
      </w:r>
      <w:r w:rsidR="00126B84" w:rsidRPr="005247CB">
        <w:rPr>
          <w:lang w:val="en-US"/>
        </w:rPr>
        <w:t xml:space="preserve">%). </w:t>
      </w:r>
      <w:r w:rsidR="00A1004F" w:rsidRPr="005247CB">
        <w:rPr>
          <w:lang w:val="en-US"/>
        </w:rPr>
        <w:t>W</w:t>
      </w:r>
      <w:r w:rsidR="00E51120" w:rsidRPr="005247CB">
        <w:rPr>
          <w:lang w:val="en-US"/>
        </w:rPr>
        <w:t>ithout prompt delivery and accessibility to test-and-treatment,</w:t>
      </w:r>
      <w:r w:rsidR="00892C43" w:rsidRPr="005247CB">
        <w:rPr>
          <w:lang w:val="en-US"/>
        </w:rPr>
        <w:t xml:space="preserve"> </w:t>
      </w:r>
      <w:r w:rsidR="00346198" w:rsidRPr="005247CB">
        <w:rPr>
          <w:lang w:val="en-US"/>
        </w:rPr>
        <w:t>the theoretical utility of a</w:t>
      </w:r>
      <w:r w:rsidR="00126B84" w:rsidRPr="005247CB">
        <w:rPr>
          <w:lang w:val="en-US"/>
        </w:rPr>
        <w:t xml:space="preserve"> pandemic oral antiviral stockpile</w:t>
      </w:r>
      <w:r w:rsidR="009C51B8" w:rsidRPr="005247CB">
        <w:rPr>
          <w:lang w:val="en-US"/>
        </w:rPr>
        <w:t xml:space="preserve"> </w:t>
      </w:r>
      <w:r w:rsidR="00A73662" w:rsidRPr="005247CB">
        <w:rPr>
          <w:lang w:val="en-US"/>
        </w:rPr>
        <w:t>is greatly diminished</w:t>
      </w:r>
      <w:r w:rsidR="0005144F">
        <w:rPr>
          <w:lang w:val="en-US"/>
        </w:rPr>
        <w:t xml:space="preserve"> </w:t>
      </w:r>
      <w:r w:rsidR="00346198" w:rsidRPr="005247CB">
        <w:rPr>
          <w:lang w:val="en-US"/>
        </w:rPr>
        <w:fldChar w:fldCharType="begin"/>
      </w:r>
      <w:r w:rsidR="006A263E">
        <w:rPr>
          <w:lang w:val="en-US"/>
        </w:rPr>
        <w:instrText xml:space="preserve"> ADDIN ZOTERO_ITEM CSL_CITATION {"citationID":"a1b2stkb5h3","properties":{"formattedCitation":"(Han et al., 2023)","plainCitation":"(Han et al., 2023)","noteIndex":0},"citationItems":[{"id":19,"uris":["http://zotero.org/users/local/0pdZPGmr/items/XZABVFG3","http://zotero.org/users/9596130/items/XZABVFG3"],"itemData":{"id":19,"type":"article-journal","abstract":"Oral antivirals have the potential to reduce the public health burden of COVID-19. However, now that we have exited the emergency-phase of the COVID-19 pandemic, declining SARS-CoV-2 clinical testing rates (average testing rates = $$\\ll$$10 tests/100,000 people/day in low-and-middle income countries; &lt;100 tests/100,000 people/day in high-income countries; September 2023) make the development of effective test-and-treat programs challenging. We used an agent-based model to investigate how testing rates and strategies affect the use and effectiveness of oral antiviral test-to-treat programs in four country archetypes of different income levels and demographies. We find that in the post-emergency-phase of the pandemic, in countries where low testing rates are driven by limited testing capacity, significant population-level impact of test-and-treat programs can only be achieved by both increasing testing rates and prioritizing individuals with greater risk of severe disease. However, for all countries, significant reductions in severe cases with antivirals are only possible if testing rates were substantially increased with high willingness of people to seek testing. Comparing the potential population-level reductions in severe disease outcomes of test-to-treat programs and vaccination shows that test-and-treat strategies are likely substantially more resource intensive requiring very high levels of testing (</w:instrText>
      </w:r>
      <w:r w:rsidR="006A263E">
        <w:rPr>
          <w:rFonts w:ascii="Cambria Math" w:hAnsi="Cambria Math" w:cs="Cambria Math"/>
          <w:lang w:val="en-US"/>
        </w:rPr>
        <w:instrText>≫</w:instrText>
      </w:r>
      <w:r w:rsidR="006A263E">
        <w:rPr>
          <w:lang w:val="en-US"/>
        </w:rPr>
        <w:instrText xml:space="preserve">100 tests/100,000 people/day) and antiviral use suggesting that vaccination should be a higher priority.","container-title":"Nature Communications","DOI":"10.1038/s41467-023-43769-z","ISSN":"2041-1723","issue":"1","journalAbbreviation":"Nature Communications","page":"7981","title":"Estimating the potential impact and diagnostic requirements for SARS-CoV-2 test-and-treat programs","volume":"14","author":[{"family":"Han","given":"Alvin X."},{"family":"Hannay","given":"Emma"},{"family":"Carmona","given":"Sergio"},{"family":"Rodriguez","given":"Bill"},{"family":"Nichols","given":"Brooke E."},{"family":"Russell","given":"Colin A."}],"issued":{"date-parts":[["2023",12,2]]}}}],"schema":"https://github.com/citation-style-language/schema/raw/master/csl-citation.json"} </w:instrText>
      </w:r>
      <w:r w:rsidR="00346198" w:rsidRPr="005247CB">
        <w:rPr>
          <w:lang w:val="en-US"/>
        </w:rPr>
        <w:fldChar w:fldCharType="separate"/>
      </w:r>
      <w:r w:rsidR="006A263E">
        <w:rPr>
          <w:lang w:val="en-US"/>
        </w:rPr>
        <w:t>(Han et al., 2023)</w:t>
      </w:r>
      <w:r w:rsidR="00346198" w:rsidRPr="005247CB">
        <w:rPr>
          <w:lang w:val="en-US"/>
        </w:rPr>
        <w:fldChar w:fldCharType="end"/>
      </w:r>
      <w:r w:rsidR="0005144F">
        <w:rPr>
          <w:lang w:val="en-US"/>
        </w:rPr>
        <w:t>.</w:t>
      </w:r>
      <w:r w:rsidR="00923E55" w:rsidRPr="005247CB">
        <w:rPr>
          <w:lang w:val="en-US"/>
        </w:rPr>
        <w:t xml:space="preserve"> </w:t>
      </w:r>
    </w:p>
    <w:p w14:paraId="73CF1E5F" w14:textId="77777777" w:rsidR="005D4FCC" w:rsidRDefault="005D4FCC" w:rsidP="00126B84">
      <w:pPr>
        <w:rPr>
          <w:lang w:val="en-US"/>
        </w:rPr>
      </w:pPr>
    </w:p>
    <w:p w14:paraId="580B300A" w14:textId="77777777" w:rsidR="005D4FCC" w:rsidRPr="005247CB" w:rsidRDefault="005D4FCC" w:rsidP="005D4FCC">
      <w:pPr>
        <w:rPr>
          <w:lang w:val="en-US"/>
        </w:rPr>
      </w:pPr>
      <w:r w:rsidRPr="005247CB">
        <w:rPr>
          <w:noProof/>
          <w:lang w:val="en-US"/>
        </w:rPr>
        <w:drawing>
          <wp:inline distT="0" distB="0" distL="0" distR="0" wp14:anchorId="43ACF9AA" wp14:editId="5DF2C2C0">
            <wp:extent cx="5718825" cy="28467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00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18825" cy="2846704"/>
                    </a:xfrm>
                    <a:prstGeom prst="rect">
                      <a:avLst/>
                    </a:prstGeom>
                  </pic:spPr>
                </pic:pic>
              </a:graphicData>
            </a:graphic>
          </wp:inline>
        </w:drawing>
      </w:r>
    </w:p>
    <w:p w14:paraId="403EC8DF" w14:textId="77777777" w:rsidR="005D4FCC" w:rsidRDefault="005D4FCC" w:rsidP="005D4FCC">
      <w:pPr>
        <w:rPr>
          <w:lang w:val="en-US"/>
        </w:rPr>
      </w:pPr>
      <w:r w:rsidRPr="005247CB">
        <w:rPr>
          <w:b/>
          <w:lang w:val="en-US"/>
        </w:rPr>
        <w:t>Fig. 4: Joint effects of treatment delays, distribution strategies, post-exposure prophylaxis and antiviral resistance on mean percentage deaths averted and total antiviral demand</w:t>
      </w:r>
      <w:r w:rsidRPr="005247CB">
        <w:rPr>
          <w:lang w:val="en-US"/>
        </w:rPr>
        <w:t>. Relative to the ideal</w:t>
      </w:r>
      <w:r>
        <w:rPr>
          <w:lang w:val="en-US"/>
        </w:rPr>
        <w:t>ise</w:t>
      </w:r>
      <w:r w:rsidRPr="005247CB">
        <w:rPr>
          <w:lang w:val="en-US"/>
        </w:rPr>
        <w:t xml:space="preserve">d scenario (i.e. antivirals are swiftly distributed to patients across the country one week after the first infection in the country, with no limits on access and availability of tests and antivirals; &gt;95% of all symptomatic individuals are treated within two days after symptom onset if positively diagnosed by a rapid diagnostic test; No emergence and spread of BXM-resistant viruses), mean posterior changes in mean percentage deaths averted (left plot) and total antiviral (i.e. BXM and oseltamivir) demand (right plot) across pandemics and countries are plotted as black circles (i.e. fixed effects) while the thick </w:t>
      </w:r>
      <w:r w:rsidRPr="005247CB">
        <w:rPr>
          <w:lang w:val="en-US"/>
        </w:rPr>
        <w:lastRenderedPageBreak/>
        <w:t xml:space="preserve">and thin lines denote the corresponding 67% and 95% highest posterior density intervals respectively. The corresponding pandemic scenario-adjusted posterior effects are plotted alongside (posterior mean and 95% highest posterior density interval denoted by </w:t>
      </w:r>
      <w:r>
        <w:rPr>
          <w:lang w:val="en-US"/>
        </w:rPr>
        <w:t>colour</w:t>
      </w:r>
      <w:r w:rsidRPr="005247CB">
        <w:rPr>
          <w:lang w:val="en-US"/>
        </w:rPr>
        <w:t xml:space="preserve"> of circle and line respectively; red, 1918 A/H1N1; green, 1968 A/H3N2; blue, 2009 A/H1N1; and purple, COVID-19-like).</w:t>
      </w:r>
      <w:r>
        <w:rPr>
          <w:lang w:val="en-US"/>
        </w:rPr>
        <w:t xml:space="preserve">   </w:t>
      </w:r>
    </w:p>
    <w:p w14:paraId="21FF0E88" w14:textId="77777777" w:rsidR="005D4FCC" w:rsidRPr="005247CB" w:rsidRDefault="005D4FCC" w:rsidP="00126B84">
      <w:pPr>
        <w:rPr>
          <w:lang w:val="en-US"/>
        </w:rPr>
      </w:pPr>
    </w:p>
    <w:p w14:paraId="54E9927F" w14:textId="7F686E4E" w:rsidR="00923E55" w:rsidRPr="005247CB" w:rsidRDefault="00CA355D" w:rsidP="00923E55">
      <w:pPr>
        <w:rPr>
          <w:lang w:val="en-US"/>
        </w:rPr>
      </w:pPr>
      <w:r w:rsidRPr="005247CB">
        <w:rPr>
          <w:lang w:val="en-US"/>
        </w:rPr>
        <w:t>I</w:t>
      </w:r>
      <w:r w:rsidR="00923E55" w:rsidRPr="005247CB">
        <w:rPr>
          <w:lang w:val="en-US"/>
        </w:rPr>
        <w:t xml:space="preserve">t is </w:t>
      </w:r>
      <w:r w:rsidR="0031549D" w:rsidRPr="005247CB">
        <w:rPr>
          <w:lang w:val="en-US"/>
        </w:rPr>
        <w:t xml:space="preserve">also </w:t>
      </w:r>
      <w:r w:rsidR="00923E55" w:rsidRPr="005247CB">
        <w:rPr>
          <w:lang w:val="en-US"/>
        </w:rPr>
        <w:t>unlikely</w:t>
      </w:r>
      <w:r w:rsidRPr="005247CB">
        <w:rPr>
          <w:lang w:val="en-US"/>
        </w:rPr>
        <w:t xml:space="preserve"> that</w:t>
      </w:r>
      <w:r w:rsidR="00923E55" w:rsidRPr="005247CB">
        <w:rPr>
          <w:lang w:val="en-US"/>
        </w:rPr>
        <w:t xml:space="preserve"> most </w:t>
      </w:r>
      <w:r w:rsidR="009844F6" w:rsidRPr="005247CB">
        <w:rPr>
          <w:lang w:val="en-US"/>
        </w:rPr>
        <w:t>infected persons</w:t>
      </w:r>
      <w:r w:rsidR="00923E55" w:rsidRPr="005247CB">
        <w:rPr>
          <w:lang w:val="en-US"/>
        </w:rPr>
        <w:t xml:space="preserve"> would seek test-and-treatment within two days of symptom onset</w:t>
      </w:r>
      <w:r w:rsidR="00AF1FB0" w:rsidRPr="005247CB">
        <w:rPr>
          <w:lang w:val="en-US"/>
        </w:rPr>
        <w:t xml:space="preserve"> on average</w:t>
      </w:r>
      <w:r w:rsidR="0004592B" w:rsidRPr="005247CB">
        <w:rPr>
          <w:lang w:val="en-US"/>
        </w:rPr>
        <w:t xml:space="preserve"> given heterogenous </w:t>
      </w:r>
      <w:r w:rsidR="00382FBD">
        <w:rPr>
          <w:lang w:val="en-US"/>
        </w:rPr>
        <w:t>healthcare-seeking</w:t>
      </w:r>
      <w:r w:rsidR="0004592B" w:rsidRPr="005247CB">
        <w:rPr>
          <w:lang w:val="en-US"/>
        </w:rPr>
        <w:t xml:space="preserve"> </w:t>
      </w:r>
      <w:r w:rsidR="005247CB">
        <w:rPr>
          <w:lang w:val="en-US"/>
        </w:rPr>
        <w:t>behaviour</w:t>
      </w:r>
      <w:r w:rsidR="0004592B" w:rsidRPr="005247CB">
        <w:rPr>
          <w:lang w:val="en-US"/>
        </w:rPr>
        <w:t xml:space="preserve"> across the population</w:t>
      </w:r>
      <w:r w:rsidR="000D625E">
        <w:rPr>
          <w:lang w:val="en-US"/>
        </w:rPr>
        <w:t xml:space="preserve"> </w:t>
      </w:r>
      <w:r w:rsidR="00923E55" w:rsidRPr="005247CB">
        <w:rPr>
          <w:lang w:val="en-US"/>
        </w:rPr>
        <w:fldChar w:fldCharType="begin"/>
      </w:r>
      <w:r w:rsidR="006A263E">
        <w:rPr>
          <w:lang w:val="en-US"/>
        </w:rPr>
        <w:instrText xml:space="preserve"> ADDIN ZOTERO_ITEM CSL_CITATION {"citationID":"a1bceggbhin","properties":{"formattedCitation":"(Graham et al., 2022; Peppa et al., 2017)","plainCitation":"(Graham et al., 2022; Peppa et al., 2017)","noteIndex":0},"citationItems":[{"id":167,"uris":["http://zotero.org/users/local/0pdZPGmr/items/9YBMYD7M","http://zotero.org/users/9596130/items/9YBMYD7M"],"itemData":{"id":167,"type":"article-journal","abstract":"Symptomatic testing programmes are crucial to the COVID-19 pandemic response. We sought to examine United Kingdom (UK) testing rates amongst individuals with test-qualifying symptoms, and factors associated with not testing. We analysed a cohort of untested symptomatic app users (N = 1,237), nested in the Zoe COVID Symptom Study (Zoe, N = 4,394,948); and symptomatic respondents who wanted, but did not have a test (N = 1,956), drawn from a University of Maryland survey administered to Facebook users (The Global COVID-19 Trends and Impact Survey [CTIS], N = 775,746). The proportion tested among individuals with incident test-qualifying symptoms rose from ~20% to ~75% from April to December 2020 in Zoe. Testing was lower with one vs more symptoms (72.9% vs 84.6% p&lt;0.001), or short vs long symptom duration (69.9% vs 85.4% p&lt;0.001). 40.4% of survey respondents did not identify all three test-qualifying symptoms. Symptom identification decreased for every decade older (OR = 0.908 [95% CI 0.883–0.933]). Amongst symptomatic UMD-CTIS respondents who wanted but did not have a test, not knowing where to go was the most cited factor (32.4%); this increased for each decade older (OR = 1.207 [1.129–1.292]) and for every 4-years fewer in education (OR = 0.685 [0.599–0.783]). Despite current UK messaging on COVID-19 testing, there is a knowledge gap about when and where to test, and this may be contributing to the ~25% testing gap. Risk factors, including older age and less education, highlight potential opportunities to tailor public health messages. The testing gap may be ever larger in countries that do not have extensive, free testing, as the UK does.","container-title":"PLOS Global Public Health","DOI":"10.1371/journal.pgph.0000028","issue":"1","journalAbbreviation":"PLOS Global Public Health","note":"publisher: Public Library of Science","page":"e0000028","title":"Knowledge barriers in a national symptomatic-COVID-19 testing programme","volume":"2","author":[{"family":"Graham","given":"Mark S."},{"family":"May","given":"Anna"},{"family":"Varsavsky","given":"Thomas"},{"family":"Sudre","given":"Carole H."},{"family":"Murray","given":"Benjamin"},{"family":"Kläser","given":"Kerstin"},{"family":"Antonelli","given":"Michela"},{"family":"Canas","given":"Liane S."},{"family":"Molteni","given":"Erika"},{"family":"Modat","given":"Marc"},{"family":"Cardoso","given":"M. Jorge"},{"family":"Drew","given":"David A."},{"family":"Nguyen","given":"Long H."},{"family":"Rader","given":"Benjamin"},{"family":"Hu","given":"Christina"},{"family":"Capdevila","given":"Joan"},{"family":"Hammers","given":"Alexander"},{"family":"Chan","given":"Andrew T."},{"family":"Wolf","given":"Jonathan"},{"family":"Brownstein","given":"John S."},{"family":"Spector","given":"Tim D."},{"family":"Ourselin","given":"Sebastien"},{"family":"Steves","given":"Claire J."},{"family":"Astley","given":"Christina M."}],"issued":{"date-parts":[["2022",1,19]]}}},{"id":166,"uris":["http://zotero.org/users/local/0pdZPGmr/items/YWQTA88B","http://zotero.org/users/9596130/items/YWQTA88B"],"itemData":{"id":166,"type":"article-journal","abstract":"Seasonal influenza epidemics place considerable strain on health services. Robust systems of surveillance are therefore required to ensure preparedness. Sentinel surveillance does not accurately capture the community burden of epidemics as it misses cases that do not present to health services. In this study, Flusurvey (an internet-based community surveillance tool) was used to examine how severity of disease influences health-seeking behaviour in the UK.","container-title":"BMC Infectious Diseases","DOI":"10.1186/s12879-017-2337-5","ISSN":"1471-2334","issue":"1","journalAbbreviation":"BMC Infectious Diseases","page":"238","title":"Disease severity determines health-seeking behaviour amongst individuals with influenza-like illness in an internet-based cohort","volume":"17","author":[{"family":"Peppa","given":"Maria"},{"family":"John Edmunds","given":"W."},{"family":"Funk","given":"Sebastian"}],"issued":{"date-parts":[["2017",3,31]]}}}],"schema":"https://github.com/citation-style-language/schema/raw/master/csl-citation.json"} </w:instrText>
      </w:r>
      <w:r w:rsidR="00923E55" w:rsidRPr="005247CB">
        <w:rPr>
          <w:lang w:val="en-US"/>
        </w:rPr>
        <w:fldChar w:fldCharType="separate"/>
      </w:r>
      <w:r w:rsidR="006A263E">
        <w:rPr>
          <w:lang w:val="en-US"/>
        </w:rPr>
        <w:t>(Graham et al., 2022; Peppa et al., 2017)</w:t>
      </w:r>
      <w:r w:rsidR="00923E55" w:rsidRPr="005247CB">
        <w:rPr>
          <w:lang w:val="en-US"/>
        </w:rPr>
        <w:fldChar w:fldCharType="end"/>
      </w:r>
      <w:r w:rsidR="000D625E">
        <w:rPr>
          <w:lang w:val="en-US"/>
        </w:rPr>
        <w:t>.</w:t>
      </w:r>
      <w:r w:rsidR="00923E55" w:rsidRPr="005247CB">
        <w:rPr>
          <w:lang w:val="en-US"/>
        </w:rPr>
        <w:t xml:space="preserve"> </w:t>
      </w:r>
      <w:r w:rsidR="00A736EF" w:rsidRPr="005247CB">
        <w:rPr>
          <w:lang w:val="en-US"/>
        </w:rPr>
        <w:t>For</w:t>
      </w:r>
      <w:r w:rsidR="0046570A" w:rsidRPr="005247CB">
        <w:rPr>
          <w:lang w:val="en-US"/>
        </w:rPr>
        <w:t xml:space="preserve"> every day of delay in </w:t>
      </w:r>
      <w:r w:rsidR="0031549D" w:rsidRPr="005247CB">
        <w:rPr>
          <w:lang w:val="en-US"/>
        </w:rPr>
        <w:t xml:space="preserve">mean </w:t>
      </w:r>
      <w:r w:rsidR="0046570A" w:rsidRPr="005247CB">
        <w:rPr>
          <w:lang w:val="en-US"/>
        </w:rPr>
        <w:t xml:space="preserve">time to treatment since symptom onset across the population, the </w:t>
      </w:r>
      <w:r w:rsidR="005A6E5C" w:rsidRPr="005247CB">
        <w:rPr>
          <w:lang w:val="en-US"/>
        </w:rPr>
        <w:t>population-level</w:t>
      </w:r>
      <w:r w:rsidR="00923E55" w:rsidRPr="005247CB">
        <w:rPr>
          <w:lang w:val="en-US"/>
        </w:rPr>
        <w:t xml:space="preserve"> reduction in </w:t>
      </w:r>
      <w:r w:rsidR="00E14B32" w:rsidRPr="005247CB">
        <w:rPr>
          <w:lang w:val="en-US"/>
        </w:rPr>
        <w:t xml:space="preserve">mean </w:t>
      </w:r>
      <w:r w:rsidR="00923E55" w:rsidRPr="005247CB">
        <w:rPr>
          <w:lang w:val="en-US"/>
        </w:rPr>
        <w:t xml:space="preserve">deaths </w:t>
      </w:r>
      <w:r w:rsidR="0046570A" w:rsidRPr="005247CB">
        <w:rPr>
          <w:lang w:val="en-US"/>
        </w:rPr>
        <w:t>is expected to</w:t>
      </w:r>
      <w:r w:rsidR="00923E55" w:rsidRPr="005247CB">
        <w:rPr>
          <w:lang w:val="en-US"/>
        </w:rPr>
        <w:t xml:space="preserve"> decrease by 0.</w:t>
      </w:r>
      <w:r w:rsidR="0046570A" w:rsidRPr="005247CB">
        <w:rPr>
          <w:lang w:val="en-US"/>
        </w:rPr>
        <w:t>7</w:t>
      </w:r>
      <w:r w:rsidR="00923E55" w:rsidRPr="005247CB">
        <w:rPr>
          <w:lang w:val="en-US"/>
        </w:rPr>
        <w:t>% (95% HPD = 0.</w:t>
      </w:r>
      <w:r w:rsidR="0046570A" w:rsidRPr="005247CB">
        <w:rPr>
          <w:lang w:val="en-US"/>
        </w:rPr>
        <w:t>5</w:t>
      </w:r>
      <w:r w:rsidR="004932C0">
        <w:rPr>
          <w:lang w:val="en-US"/>
        </w:rPr>
        <w:t>-</w:t>
      </w:r>
      <w:r w:rsidR="00923E55" w:rsidRPr="005247CB">
        <w:rPr>
          <w:lang w:val="en-US"/>
        </w:rPr>
        <w:t>0.</w:t>
      </w:r>
      <w:r w:rsidR="0046570A" w:rsidRPr="005247CB">
        <w:rPr>
          <w:lang w:val="en-US"/>
        </w:rPr>
        <w:t>8</w:t>
      </w:r>
      <w:r w:rsidR="00923E55" w:rsidRPr="005247CB">
        <w:rPr>
          <w:lang w:val="en-US"/>
        </w:rPr>
        <w:t>%).</w:t>
      </w:r>
      <w:r w:rsidR="004F6A53" w:rsidRPr="005247CB">
        <w:rPr>
          <w:lang w:val="en-US"/>
        </w:rPr>
        <w:t xml:space="preserve"> </w:t>
      </w:r>
      <w:r w:rsidR="00DD4F3A" w:rsidRPr="005247CB">
        <w:rPr>
          <w:lang w:val="en-US"/>
        </w:rPr>
        <w:t>T</w:t>
      </w:r>
      <w:r w:rsidR="004F6A53" w:rsidRPr="005247CB">
        <w:rPr>
          <w:lang w:val="en-US"/>
        </w:rPr>
        <w:t xml:space="preserve">o </w:t>
      </w:r>
      <w:r w:rsidR="00DD4F3A" w:rsidRPr="005247CB">
        <w:rPr>
          <w:lang w:val="en-US"/>
        </w:rPr>
        <w:t>mitigate</w:t>
      </w:r>
      <w:r w:rsidR="004F6A53" w:rsidRPr="005247CB">
        <w:rPr>
          <w:lang w:val="en-US"/>
        </w:rPr>
        <w:t xml:space="preserve"> the diminishing impact of individual treatment delay</w:t>
      </w:r>
      <w:r w:rsidR="00DD4F3A" w:rsidRPr="005247CB">
        <w:rPr>
          <w:lang w:val="en-US"/>
        </w:rPr>
        <w:t>, we consider</w:t>
      </w:r>
      <w:r w:rsidR="00A73662" w:rsidRPr="005247CB">
        <w:rPr>
          <w:lang w:val="en-US"/>
        </w:rPr>
        <w:t>ed</w:t>
      </w:r>
      <w:r w:rsidR="00DD4F3A" w:rsidRPr="005247CB">
        <w:rPr>
          <w:lang w:val="en-US"/>
        </w:rPr>
        <w:t xml:space="preserve"> </w:t>
      </w:r>
      <w:r w:rsidR="00A93C0B" w:rsidRPr="005247CB">
        <w:rPr>
          <w:lang w:val="en-US"/>
        </w:rPr>
        <w:t>extend</w:t>
      </w:r>
      <w:r w:rsidR="00DD4F3A" w:rsidRPr="005247CB">
        <w:rPr>
          <w:lang w:val="en-US"/>
        </w:rPr>
        <w:t>ing</w:t>
      </w:r>
      <w:r w:rsidR="00A93C0B" w:rsidRPr="005247CB">
        <w:rPr>
          <w:lang w:val="en-US"/>
        </w:rPr>
        <w:t xml:space="preserve"> the current indicated BXM treatment </w:t>
      </w:r>
      <w:r w:rsidR="00E50797" w:rsidRPr="005247CB">
        <w:rPr>
          <w:lang w:val="en-US"/>
        </w:rPr>
        <w:t>use</w:t>
      </w:r>
      <w:r w:rsidR="00A93C0B" w:rsidRPr="005247CB">
        <w:rPr>
          <w:lang w:val="en-US"/>
        </w:rPr>
        <w:t xml:space="preserve"> o</w:t>
      </w:r>
      <w:r w:rsidR="00E50797" w:rsidRPr="005247CB">
        <w:rPr>
          <w:lang w:val="en-US"/>
        </w:rPr>
        <w:t xml:space="preserve">f within </w:t>
      </w:r>
      <w:r w:rsidR="00A93C0B" w:rsidRPr="005247CB">
        <w:rPr>
          <w:lang w:val="en-US"/>
        </w:rPr>
        <w:t>two days post-symptom onset to eight days. Leveraging</w:t>
      </w:r>
      <w:r w:rsidR="00F91707">
        <w:rPr>
          <w:lang w:val="en-US"/>
        </w:rPr>
        <w:t xml:space="preserve"> on</w:t>
      </w:r>
      <w:r w:rsidR="00A93C0B" w:rsidRPr="005247CB">
        <w:rPr>
          <w:lang w:val="en-US"/>
        </w:rPr>
        <w:t xml:space="preserve"> BXM’s</w:t>
      </w:r>
      <w:r w:rsidR="003B1528" w:rsidRPr="005247CB">
        <w:rPr>
          <w:lang w:val="en-US"/>
        </w:rPr>
        <w:t xml:space="preserve"> rapid inhibition of viral replication</w:t>
      </w:r>
      <w:r w:rsidR="00D97D41">
        <w:rPr>
          <w:lang w:val="en-US"/>
        </w:rPr>
        <w:t xml:space="preserve"> </w:t>
      </w:r>
      <w:r w:rsidR="003B1528" w:rsidRPr="005247CB">
        <w:rPr>
          <w:lang w:val="en-US"/>
        </w:rPr>
        <w:fldChar w:fldCharType="begin"/>
      </w:r>
      <w:r w:rsidR="006A263E">
        <w:rPr>
          <w:lang w:val="en-US"/>
        </w:rPr>
        <w:instrText xml:space="preserve"> ADDIN ZOTERO_ITEM CSL_CITATION {"citationID":"a1963nbbv25","properties":{"formattedCitation":"(Hayden Frederick G. et al., 2018)","plainCitation":"(Hayden Frederick G. et al., 2018)","noteIndex":0},"citationItems":[{"id":9,"uris":["http://zotero.org/users/local/0pdZPGmr/items/LU5QH5UX","http://zotero.org/users/9596130/items/LU5QH5UX"],"itemData":{"id":9,"type":"article-journal","abstract":"In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003B1528" w:rsidRPr="005247CB">
        <w:rPr>
          <w:lang w:val="en-US"/>
        </w:rPr>
        <w:fldChar w:fldCharType="separate"/>
      </w:r>
      <w:r w:rsidR="006A263E">
        <w:rPr>
          <w:lang w:val="en-US"/>
        </w:rPr>
        <w:t>(Hayden Frederick G. et al., 2018)</w:t>
      </w:r>
      <w:r w:rsidR="003B1528" w:rsidRPr="005247CB">
        <w:rPr>
          <w:lang w:val="en-US"/>
        </w:rPr>
        <w:fldChar w:fldCharType="end"/>
      </w:r>
      <w:r w:rsidR="00D97D41">
        <w:rPr>
          <w:lang w:val="en-US"/>
        </w:rPr>
        <w:t>,</w:t>
      </w:r>
      <w:r w:rsidR="004F6A53" w:rsidRPr="005247CB">
        <w:rPr>
          <w:lang w:val="en-US"/>
        </w:rPr>
        <w:t xml:space="preserve"> </w:t>
      </w:r>
      <w:r w:rsidR="00A93C0B" w:rsidRPr="005247CB">
        <w:rPr>
          <w:lang w:val="en-US"/>
        </w:rPr>
        <w:t xml:space="preserve">additionally treating individuals who sought treatment after two days post-symptom onset </w:t>
      </w:r>
      <w:r w:rsidR="00A73662" w:rsidRPr="005247CB">
        <w:rPr>
          <w:lang w:val="en-US"/>
        </w:rPr>
        <w:t xml:space="preserve">could </w:t>
      </w:r>
      <w:r w:rsidR="00E50797" w:rsidRPr="005247CB">
        <w:rPr>
          <w:lang w:val="en-US"/>
        </w:rPr>
        <w:t>theoretically</w:t>
      </w:r>
      <w:r w:rsidR="00A93C0B" w:rsidRPr="005247CB">
        <w:rPr>
          <w:lang w:val="en-US"/>
        </w:rPr>
        <w:t xml:space="preserve"> lower their infectiousness</w:t>
      </w:r>
      <w:r w:rsidR="00E50797" w:rsidRPr="005247CB">
        <w:rPr>
          <w:lang w:val="en-US"/>
        </w:rPr>
        <w:t xml:space="preserve"> (</w:t>
      </w:r>
      <w:r w:rsidR="007E4DD9">
        <w:rPr>
          <w:lang w:val="en-US"/>
        </w:rPr>
        <w:t>Appendix Fig.</w:t>
      </w:r>
      <w:r w:rsidR="00E50797" w:rsidRPr="005247CB">
        <w:rPr>
          <w:lang w:val="en-US"/>
        </w:rPr>
        <w:t xml:space="preserve"> </w:t>
      </w:r>
      <w:r w:rsidR="009B6835" w:rsidRPr="005247CB">
        <w:rPr>
          <w:lang w:val="en-US"/>
        </w:rPr>
        <w:t>4</w:t>
      </w:r>
      <w:r w:rsidR="00E50797" w:rsidRPr="005247CB">
        <w:rPr>
          <w:lang w:val="en-US"/>
        </w:rPr>
        <w:t>)</w:t>
      </w:r>
      <w:r w:rsidR="00A93C0B" w:rsidRPr="005247CB">
        <w:rPr>
          <w:lang w:val="en-US"/>
        </w:rPr>
        <w:t xml:space="preserve"> such that population-level</w:t>
      </w:r>
      <w:r w:rsidR="00810C0A" w:rsidRPr="005247CB">
        <w:rPr>
          <w:lang w:val="en-US"/>
        </w:rPr>
        <w:t xml:space="preserve"> percentage </w:t>
      </w:r>
      <w:r w:rsidR="004B1AEA" w:rsidRPr="005247CB">
        <w:rPr>
          <w:lang w:val="en-US"/>
        </w:rPr>
        <w:t xml:space="preserve">mean </w:t>
      </w:r>
      <w:r w:rsidR="00810C0A" w:rsidRPr="005247CB">
        <w:rPr>
          <w:lang w:val="en-US"/>
        </w:rPr>
        <w:t>deaths</w:t>
      </w:r>
      <w:r w:rsidR="00231DF4" w:rsidRPr="005247CB">
        <w:rPr>
          <w:lang w:val="en-US"/>
        </w:rPr>
        <w:t xml:space="preserve"> averted </w:t>
      </w:r>
      <w:r w:rsidR="00A93C0B" w:rsidRPr="005247CB">
        <w:rPr>
          <w:lang w:val="en-US"/>
        </w:rPr>
        <w:t>would</w:t>
      </w:r>
      <w:r w:rsidR="00231DF4" w:rsidRPr="005247CB">
        <w:rPr>
          <w:lang w:val="en-US"/>
        </w:rPr>
        <w:t xml:space="preserve"> increase</w:t>
      </w:r>
      <w:r w:rsidR="00810C0A" w:rsidRPr="005247CB">
        <w:rPr>
          <w:lang w:val="en-US"/>
        </w:rPr>
        <w:t xml:space="preserve"> </w:t>
      </w:r>
      <w:r w:rsidR="00052FD2" w:rsidRPr="005247CB">
        <w:rPr>
          <w:lang w:val="en-US"/>
        </w:rPr>
        <w:t>by 2.</w:t>
      </w:r>
      <w:r w:rsidR="0046570A" w:rsidRPr="005247CB">
        <w:rPr>
          <w:lang w:val="en-US"/>
        </w:rPr>
        <w:t>4</w:t>
      </w:r>
      <w:r w:rsidR="00052FD2" w:rsidRPr="005247CB">
        <w:rPr>
          <w:lang w:val="en-US"/>
        </w:rPr>
        <w:t>% (95% HPD = 1.8</w:t>
      </w:r>
      <w:r w:rsidR="004932C0">
        <w:rPr>
          <w:lang w:val="en-US"/>
        </w:rPr>
        <w:t>-</w:t>
      </w:r>
      <w:r w:rsidR="00052FD2" w:rsidRPr="005247CB">
        <w:rPr>
          <w:lang w:val="en-US"/>
        </w:rPr>
        <w:t>3.</w:t>
      </w:r>
      <w:r w:rsidR="0046570A" w:rsidRPr="005247CB">
        <w:rPr>
          <w:lang w:val="en-US"/>
        </w:rPr>
        <w:t>0</w:t>
      </w:r>
      <w:r w:rsidR="00052FD2" w:rsidRPr="005247CB">
        <w:rPr>
          <w:lang w:val="en-US"/>
        </w:rPr>
        <w:t>%)</w:t>
      </w:r>
      <w:r w:rsidR="00282497" w:rsidRPr="005247CB">
        <w:rPr>
          <w:lang w:val="en-US"/>
        </w:rPr>
        <w:t xml:space="preserve"> while requiring</w:t>
      </w:r>
      <w:r w:rsidR="008728B0" w:rsidRPr="005247CB">
        <w:rPr>
          <w:lang w:val="en-US"/>
        </w:rPr>
        <w:t xml:space="preserve"> </w:t>
      </w:r>
      <w:r w:rsidR="00282497" w:rsidRPr="005247CB">
        <w:rPr>
          <w:lang w:val="en-US"/>
        </w:rPr>
        <w:t>2.3% (95% HPD = 0.</w:t>
      </w:r>
      <w:r w:rsidR="0046570A" w:rsidRPr="005247CB">
        <w:rPr>
          <w:lang w:val="en-US"/>
        </w:rPr>
        <w:t>9</w:t>
      </w:r>
      <w:r w:rsidR="004932C0">
        <w:rPr>
          <w:lang w:val="en-US"/>
        </w:rPr>
        <w:t>-</w:t>
      </w:r>
      <w:r w:rsidR="00282497" w:rsidRPr="005247CB">
        <w:rPr>
          <w:lang w:val="en-US"/>
        </w:rPr>
        <w:t>3.</w:t>
      </w:r>
      <w:r w:rsidR="0046570A" w:rsidRPr="005247CB">
        <w:rPr>
          <w:lang w:val="en-US"/>
        </w:rPr>
        <w:t>6</w:t>
      </w:r>
      <w:r w:rsidR="00282497" w:rsidRPr="005247CB">
        <w:rPr>
          <w:lang w:val="en-US"/>
        </w:rPr>
        <w:t>%) more per-capita courses of</w:t>
      </w:r>
      <w:r w:rsidR="00A93C0B" w:rsidRPr="005247CB">
        <w:rPr>
          <w:lang w:val="en-US"/>
        </w:rPr>
        <w:t xml:space="preserve"> BXM</w:t>
      </w:r>
      <w:r w:rsidR="00052FD2" w:rsidRPr="005247CB">
        <w:rPr>
          <w:lang w:val="en-US"/>
        </w:rPr>
        <w:t>.</w:t>
      </w:r>
    </w:p>
    <w:p w14:paraId="0A37A2EF" w14:textId="349EF565" w:rsidR="00212D0E" w:rsidRPr="005247CB" w:rsidRDefault="000C5B79" w:rsidP="0012071B">
      <w:pPr>
        <w:rPr>
          <w:lang w:val="en-US"/>
        </w:rPr>
      </w:pPr>
      <w:r w:rsidRPr="005247CB">
        <w:rPr>
          <w:lang w:val="en-US"/>
        </w:rPr>
        <w:t>A</w:t>
      </w:r>
      <w:r w:rsidR="008E164C" w:rsidRPr="005247CB">
        <w:rPr>
          <w:lang w:val="en-US"/>
        </w:rPr>
        <w:t>ge-based rationing</w:t>
      </w:r>
      <w:r w:rsidR="00510597" w:rsidRPr="005247CB">
        <w:rPr>
          <w:lang w:val="en-US"/>
        </w:rPr>
        <w:t xml:space="preserve"> is a</w:t>
      </w:r>
      <w:r w:rsidR="0012071B" w:rsidRPr="005247CB">
        <w:rPr>
          <w:lang w:val="en-US"/>
        </w:rPr>
        <w:t xml:space="preserve"> common</w:t>
      </w:r>
      <w:r w:rsidRPr="005247CB">
        <w:rPr>
          <w:lang w:val="en-US"/>
        </w:rPr>
        <w:t xml:space="preserve"> resource</w:t>
      </w:r>
      <w:r w:rsidR="0012071B" w:rsidRPr="005247CB">
        <w:rPr>
          <w:lang w:val="en-US"/>
        </w:rPr>
        <w:t xml:space="preserve"> </w:t>
      </w:r>
      <w:r w:rsidRPr="005247CB">
        <w:rPr>
          <w:lang w:val="en-US"/>
        </w:rPr>
        <w:t xml:space="preserve">saving </w:t>
      </w:r>
      <w:r w:rsidR="008E164C" w:rsidRPr="005247CB">
        <w:rPr>
          <w:lang w:val="en-US"/>
        </w:rPr>
        <w:t>strategy</w:t>
      </w:r>
      <w:r w:rsidR="00510597" w:rsidRPr="005247CB">
        <w:rPr>
          <w:lang w:val="en-US"/>
        </w:rPr>
        <w:t xml:space="preserve"> under limited drug availability.</w:t>
      </w:r>
      <w:r w:rsidR="0012071B" w:rsidRPr="005247CB">
        <w:rPr>
          <w:lang w:val="en-US"/>
        </w:rPr>
        <w:t xml:space="preserve"> </w:t>
      </w:r>
      <w:r w:rsidR="00B545F5" w:rsidRPr="005247CB">
        <w:rPr>
          <w:lang w:val="en-US"/>
        </w:rPr>
        <w:t xml:space="preserve">We </w:t>
      </w:r>
      <w:r w:rsidR="00510597" w:rsidRPr="005247CB">
        <w:rPr>
          <w:lang w:val="en-US"/>
        </w:rPr>
        <w:t>estimated</w:t>
      </w:r>
      <w:r w:rsidR="0049540D" w:rsidRPr="005247CB">
        <w:rPr>
          <w:lang w:val="en-US"/>
        </w:rPr>
        <w:t xml:space="preserve"> how</w:t>
      </w:r>
      <w:r w:rsidR="00B545F5" w:rsidRPr="005247CB">
        <w:rPr>
          <w:lang w:val="en-US"/>
        </w:rPr>
        <w:t xml:space="preserve"> overall pandemic deaths and </w:t>
      </w:r>
      <w:r w:rsidR="002750C7" w:rsidRPr="005247CB">
        <w:rPr>
          <w:lang w:val="en-US"/>
        </w:rPr>
        <w:t>BXM</w:t>
      </w:r>
      <w:r w:rsidR="00B545F5" w:rsidRPr="005247CB">
        <w:rPr>
          <w:lang w:val="en-US"/>
        </w:rPr>
        <w:t xml:space="preserve"> demand would change</w:t>
      </w:r>
      <w:r w:rsidR="000B532C" w:rsidRPr="005247CB">
        <w:rPr>
          <w:lang w:val="en-US"/>
        </w:rPr>
        <w:t>, relative to the ideal</w:t>
      </w:r>
      <w:r w:rsidR="005247CB">
        <w:rPr>
          <w:lang w:val="en-US"/>
        </w:rPr>
        <w:t>ise</w:t>
      </w:r>
      <w:r w:rsidR="000B532C" w:rsidRPr="005247CB">
        <w:rPr>
          <w:lang w:val="en-US"/>
        </w:rPr>
        <w:t>d scenario of no age restriction,</w:t>
      </w:r>
      <w:r w:rsidR="00704755" w:rsidRPr="005247CB">
        <w:rPr>
          <w:lang w:val="en-US"/>
        </w:rPr>
        <w:t xml:space="preserve"> </w:t>
      </w:r>
      <w:r w:rsidR="00B545F5" w:rsidRPr="005247CB">
        <w:rPr>
          <w:lang w:val="en-US"/>
        </w:rPr>
        <w:t xml:space="preserve">if </w:t>
      </w:r>
      <w:r w:rsidR="0080731D" w:rsidRPr="005247CB">
        <w:rPr>
          <w:lang w:val="en-US"/>
        </w:rPr>
        <w:t xml:space="preserve">BXM </w:t>
      </w:r>
      <w:r w:rsidR="008E164C" w:rsidRPr="005247CB">
        <w:rPr>
          <w:lang w:val="en-US"/>
        </w:rPr>
        <w:t xml:space="preserve">was differently </w:t>
      </w:r>
      <w:r w:rsidR="00F56701" w:rsidRPr="005247CB">
        <w:rPr>
          <w:lang w:val="en-US"/>
        </w:rPr>
        <w:t>restricted</w:t>
      </w:r>
      <w:r w:rsidR="008E164C" w:rsidRPr="005247CB">
        <w:rPr>
          <w:lang w:val="en-US"/>
        </w:rPr>
        <w:t xml:space="preserve"> for</w:t>
      </w:r>
      <w:r w:rsidR="00B545F5" w:rsidRPr="005247CB">
        <w:rPr>
          <w:lang w:val="en-US"/>
        </w:rPr>
        <w:t xml:space="preserve"> individuals </w:t>
      </w:r>
      <w:r w:rsidR="00704755" w:rsidRPr="005247CB">
        <w:rPr>
          <w:lang w:val="en-US"/>
        </w:rPr>
        <w:t xml:space="preserve">aged </w:t>
      </w:r>
      <w:r w:rsidR="00B545F5" w:rsidRPr="005247CB">
        <w:rPr>
          <w:lang w:val="en-US"/>
        </w:rPr>
        <w:t>5</w:t>
      </w:r>
      <w:r w:rsidR="00243B12" w:rsidRPr="005247CB">
        <w:rPr>
          <w:lang w:val="en-US"/>
        </w:rPr>
        <w:t>–</w:t>
      </w:r>
      <w:r w:rsidR="00B545F5" w:rsidRPr="005247CB">
        <w:rPr>
          <w:lang w:val="en-US"/>
        </w:rPr>
        <w:t>24 years</w:t>
      </w:r>
      <w:r w:rsidR="00704755" w:rsidRPr="005247CB">
        <w:rPr>
          <w:lang w:val="en-US"/>
        </w:rPr>
        <w:t xml:space="preserve">, </w:t>
      </w:r>
      <w:r w:rsidR="00B545F5" w:rsidRPr="005247CB">
        <w:rPr>
          <w:lang w:val="en-US"/>
        </w:rPr>
        <w:t>25</w:t>
      </w:r>
      <w:r w:rsidR="00243B12" w:rsidRPr="005247CB">
        <w:rPr>
          <w:lang w:val="en-US"/>
        </w:rPr>
        <w:t>–</w:t>
      </w:r>
      <w:r w:rsidR="00B545F5" w:rsidRPr="005247CB">
        <w:rPr>
          <w:lang w:val="en-US"/>
        </w:rPr>
        <w:t>64 years</w:t>
      </w:r>
      <w:r w:rsidR="00704755" w:rsidRPr="005247CB">
        <w:rPr>
          <w:lang w:val="en-US"/>
        </w:rPr>
        <w:t xml:space="preserve">, and those </w:t>
      </w:r>
      <m:oMath>
        <m:r>
          <w:rPr>
            <w:rFonts w:ascii="Cambria Math" w:hAnsi="Cambria Math"/>
            <w:lang w:val="en-US"/>
          </w:rPr>
          <m:t>≥</m:t>
        </m:r>
      </m:oMath>
      <w:r w:rsidR="00704755" w:rsidRPr="005247CB">
        <w:rPr>
          <w:lang w:val="en-US"/>
        </w:rPr>
        <w:t>65 years of age</w:t>
      </w:r>
      <w:r w:rsidR="008E164C" w:rsidRPr="005247CB">
        <w:rPr>
          <w:lang w:val="en-US"/>
        </w:rPr>
        <w:t xml:space="preserve"> only</w:t>
      </w:r>
      <w:r w:rsidR="0080731D" w:rsidRPr="005247CB">
        <w:rPr>
          <w:lang w:val="en-US"/>
        </w:rPr>
        <w:t xml:space="preserve"> while </w:t>
      </w:r>
      <w:r w:rsidR="00721A00" w:rsidRPr="005247CB">
        <w:rPr>
          <w:lang w:val="en-US"/>
        </w:rPr>
        <w:t>other age groups</w:t>
      </w:r>
      <w:r w:rsidR="0080731D" w:rsidRPr="005247CB">
        <w:rPr>
          <w:lang w:val="en-US"/>
        </w:rPr>
        <w:t xml:space="preserve"> </w:t>
      </w:r>
      <w:r w:rsidR="00721A00" w:rsidRPr="005247CB">
        <w:rPr>
          <w:lang w:val="en-US"/>
        </w:rPr>
        <w:t>were allotted</w:t>
      </w:r>
      <w:r w:rsidR="00B739F9" w:rsidRPr="005247CB">
        <w:rPr>
          <w:lang w:val="en-US"/>
        </w:rPr>
        <w:t xml:space="preserve"> oseltamivir</w:t>
      </w:r>
      <w:r w:rsidR="00721A00" w:rsidRPr="005247CB">
        <w:rPr>
          <w:lang w:val="en-US"/>
        </w:rPr>
        <w:t xml:space="preserve"> instead</w:t>
      </w:r>
      <w:r w:rsidR="00B545F5" w:rsidRPr="005247CB">
        <w:rPr>
          <w:lang w:val="en-US"/>
        </w:rPr>
        <w:t>.</w:t>
      </w:r>
      <w:r w:rsidR="00CC45DB" w:rsidRPr="005247CB">
        <w:rPr>
          <w:lang w:val="en-US"/>
        </w:rPr>
        <w:t xml:space="preserve"> </w:t>
      </w:r>
      <w:r w:rsidR="00721A00" w:rsidRPr="005247CB">
        <w:rPr>
          <w:lang w:val="en-US"/>
        </w:rPr>
        <w:t>Rationing BXM</w:t>
      </w:r>
      <w:r w:rsidR="002750C7" w:rsidRPr="005247CB">
        <w:rPr>
          <w:lang w:val="en-US"/>
        </w:rPr>
        <w:t xml:space="preserve"> </w:t>
      </w:r>
      <w:r w:rsidR="00721A00" w:rsidRPr="005247CB">
        <w:rPr>
          <w:lang w:val="en-US"/>
        </w:rPr>
        <w:t xml:space="preserve">for </w:t>
      </w:r>
      <w:r w:rsidR="00B453A4" w:rsidRPr="005247CB">
        <w:rPr>
          <w:lang w:val="en-US"/>
        </w:rPr>
        <w:t>different age groups</w:t>
      </w:r>
      <w:r w:rsidR="00636E4B" w:rsidRPr="005247CB">
        <w:rPr>
          <w:lang w:val="en-US"/>
        </w:rPr>
        <w:t xml:space="preserve"> </w:t>
      </w:r>
      <w:r w:rsidR="00754BBC" w:rsidRPr="005247CB">
        <w:rPr>
          <w:lang w:val="en-US"/>
        </w:rPr>
        <w:t>leads</w:t>
      </w:r>
      <w:r w:rsidR="00F56701" w:rsidRPr="005247CB">
        <w:rPr>
          <w:lang w:val="en-US"/>
        </w:rPr>
        <w:t xml:space="preserve"> only</w:t>
      </w:r>
      <w:r w:rsidR="00754BBC" w:rsidRPr="005247CB">
        <w:rPr>
          <w:lang w:val="en-US"/>
        </w:rPr>
        <w:t xml:space="preserve"> to </w:t>
      </w:r>
      <w:r w:rsidR="00B0166C" w:rsidRPr="005247CB">
        <w:rPr>
          <w:lang w:val="en-US"/>
        </w:rPr>
        <w:t>trivial</w:t>
      </w:r>
      <w:r w:rsidR="00754BBC" w:rsidRPr="005247CB">
        <w:rPr>
          <w:lang w:val="en-US"/>
        </w:rPr>
        <w:t xml:space="preserve"> changes</w:t>
      </w:r>
      <w:r w:rsidR="00B453A4" w:rsidRPr="005247CB">
        <w:rPr>
          <w:lang w:val="en-US"/>
        </w:rPr>
        <w:t xml:space="preserve"> in</w:t>
      </w:r>
      <w:r w:rsidR="00F90F4C">
        <w:rPr>
          <w:lang w:val="en-US"/>
        </w:rPr>
        <w:t xml:space="preserve"> </w:t>
      </w:r>
      <w:r w:rsidR="0080731D" w:rsidRPr="005247CB">
        <w:rPr>
          <w:lang w:val="en-US"/>
        </w:rPr>
        <w:t xml:space="preserve">total </w:t>
      </w:r>
      <w:r w:rsidR="005B2B33" w:rsidRPr="005247CB">
        <w:rPr>
          <w:lang w:val="en-US"/>
        </w:rPr>
        <w:t>antiviral</w:t>
      </w:r>
      <w:r w:rsidR="00672E90" w:rsidRPr="005247CB">
        <w:rPr>
          <w:lang w:val="en-US"/>
        </w:rPr>
        <w:t xml:space="preserve"> (i.e. BXM and oseltamivir)</w:t>
      </w:r>
      <w:r w:rsidR="005B2B33" w:rsidRPr="005247CB">
        <w:rPr>
          <w:lang w:val="en-US"/>
        </w:rPr>
        <w:t xml:space="preserve"> </w:t>
      </w:r>
      <w:r w:rsidR="002750C7" w:rsidRPr="005247CB">
        <w:rPr>
          <w:lang w:val="en-US"/>
        </w:rPr>
        <w:t>demand</w:t>
      </w:r>
      <w:r w:rsidR="008E164C" w:rsidRPr="005247CB">
        <w:rPr>
          <w:lang w:val="en-US"/>
        </w:rPr>
        <w:t xml:space="preserve"> </w:t>
      </w:r>
      <w:r w:rsidR="002750C7" w:rsidRPr="005247CB">
        <w:rPr>
          <w:lang w:val="en-US"/>
        </w:rPr>
        <w:t xml:space="preserve">(i.e. </w:t>
      </w:r>
      <w:r w:rsidR="00B453A4" w:rsidRPr="005247CB">
        <w:rPr>
          <w:lang w:val="en-US"/>
        </w:rPr>
        <w:t xml:space="preserve">age group, </w:t>
      </w:r>
      <w:r w:rsidR="002750C7" w:rsidRPr="005247CB">
        <w:rPr>
          <w:lang w:val="en-US"/>
        </w:rPr>
        <w:t xml:space="preserve">95% HPD: </w:t>
      </w:r>
      <w:r w:rsidR="00B453A4" w:rsidRPr="005247CB">
        <w:rPr>
          <w:lang w:val="en-US"/>
        </w:rPr>
        <w:t xml:space="preserve">5–24 years, </w:t>
      </w:r>
      <w:r w:rsidR="002750C7" w:rsidRPr="005247CB">
        <w:rPr>
          <w:lang w:val="en-US"/>
        </w:rPr>
        <w:t>-</w:t>
      </w:r>
      <w:r w:rsidR="003455FA" w:rsidRPr="005247CB">
        <w:rPr>
          <w:lang w:val="en-US"/>
        </w:rPr>
        <w:t>0.1</w:t>
      </w:r>
      <w:r w:rsidR="004932C0">
        <w:rPr>
          <w:lang w:val="en-US"/>
        </w:rPr>
        <w:t>-</w:t>
      </w:r>
      <w:r w:rsidR="003455FA" w:rsidRPr="005247CB">
        <w:rPr>
          <w:lang w:val="en-US"/>
        </w:rPr>
        <w:t>1.2</w:t>
      </w:r>
      <w:r w:rsidR="002750C7" w:rsidRPr="005247CB">
        <w:rPr>
          <w:lang w:val="en-US"/>
        </w:rPr>
        <w:t>%</w:t>
      </w:r>
      <w:r w:rsidR="00B453A4" w:rsidRPr="005247CB">
        <w:rPr>
          <w:lang w:val="en-US"/>
        </w:rPr>
        <w:t xml:space="preserve">; 25–64 years, </w:t>
      </w:r>
      <w:r w:rsidR="00B0166C" w:rsidRPr="005247CB">
        <w:rPr>
          <w:lang w:val="en-US"/>
        </w:rPr>
        <w:t>-</w:t>
      </w:r>
      <w:r w:rsidR="003455FA" w:rsidRPr="005247CB">
        <w:rPr>
          <w:lang w:val="en-US"/>
        </w:rPr>
        <w:t>0.3</w:t>
      </w:r>
      <w:r w:rsidR="004932C0">
        <w:rPr>
          <w:lang w:val="en-US"/>
        </w:rPr>
        <w:t>-</w:t>
      </w:r>
      <w:r w:rsidR="00B453A4" w:rsidRPr="005247CB">
        <w:rPr>
          <w:lang w:val="en-US"/>
        </w:rPr>
        <w:t>1.</w:t>
      </w:r>
      <w:r w:rsidR="003455FA" w:rsidRPr="005247CB">
        <w:rPr>
          <w:lang w:val="en-US"/>
        </w:rPr>
        <w:t>4</w:t>
      </w:r>
      <w:r w:rsidR="00B453A4" w:rsidRPr="005247CB">
        <w:rPr>
          <w:lang w:val="en-US"/>
        </w:rPr>
        <w:t>%</w:t>
      </w:r>
      <w:r w:rsidR="003455FA" w:rsidRPr="005247CB">
        <w:rPr>
          <w:lang w:val="en-US"/>
        </w:rPr>
        <w:t xml:space="preserve">; </w:t>
      </w:r>
      <m:oMath>
        <m:r>
          <w:rPr>
            <w:rFonts w:ascii="Cambria Math" w:hAnsi="Cambria Math"/>
            <w:lang w:val="en-US"/>
          </w:rPr>
          <m:t>≥</m:t>
        </m:r>
      </m:oMath>
      <w:r w:rsidR="003455FA" w:rsidRPr="005247CB">
        <w:rPr>
          <w:lang w:val="en-US"/>
        </w:rPr>
        <w:t>65 years, -0.3</w:t>
      </w:r>
      <w:r w:rsidR="004932C0">
        <w:rPr>
          <w:lang w:val="en-US"/>
        </w:rPr>
        <w:t>-</w:t>
      </w:r>
      <w:r w:rsidR="003455FA" w:rsidRPr="005247CB">
        <w:rPr>
          <w:lang w:val="en-US"/>
        </w:rPr>
        <w:t>3.0%</w:t>
      </w:r>
      <w:r w:rsidR="00754BBC" w:rsidRPr="005247CB">
        <w:rPr>
          <w:lang w:val="en-US"/>
        </w:rPr>
        <w:t>).</w:t>
      </w:r>
      <w:r w:rsidR="00636E4B" w:rsidRPr="005247CB">
        <w:rPr>
          <w:lang w:val="en-US"/>
        </w:rPr>
        <w:t xml:space="preserve"> </w:t>
      </w:r>
      <w:r w:rsidR="003B01AF" w:rsidRPr="005247CB">
        <w:rPr>
          <w:lang w:val="en-US"/>
        </w:rPr>
        <w:t xml:space="preserve">However, </w:t>
      </w:r>
      <w:r w:rsidR="00082A7C" w:rsidRPr="005247CB">
        <w:rPr>
          <w:lang w:val="en-US"/>
        </w:rPr>
        <w:t>mean</w:t>
      </w:r>
      <w:r w:rsidR="00082A7C">
        <w:rPr>
          <w:lang w:val="en-US"/>
        </w:rPr>
        <w:t xml:space="preserve"> </w:t>
      </w:r>
      <w:r w:rsidR="003B01AF" w:rsidRPr="005247CB">
        <w:rPr>
          <w:lang w:val="en-US"/>
        </w:rPr>
        <w:t>BXM demand could approximately b</w:t>
      </w:r>
      <w:r w:rsidR="00F6073B">
        <w:rPr>
          <w:lang w:val="en-US"/>
        </w:rPr>
        <w:t>e</w:t>
      </w:r>
      <w:r w:rsidR="003B01AF" w:rsidRPr="005247CB">
        <w:rPr>
          <w:lang w:val="en-US"/>
        </w:rPr>
        <w:t xml:space="preserve"> halved if </w:t>
      </w:r>
      <w:r w:rsidR="00721A00" w:rsidRPr="005247CB">
        <w:rPr>
          <w:lang w:val="en-US"/>
        </w:rPr>
        <w:t>rationed for</w:t>
      </w:r>
      <w:r w:rsidR="003B01AF" w:rsidRPr="005247CB">
        <w:rPr>
          <w:lang w:val="en-US"/>
        </w:rPr>
        <w:t xml:space="preserve"> individuals aged 5–24 years, lowered by ~60% if given to 25–64 years only and further reduced by ~96% if only seniors </w:t>
      </w:r>
      <m:oMath>
        <m:r>
          <w:rPr>
            <w:rFonts w:ascii="Cambria Math" w:hAnsi="Cambria Math"/>
            <w:lang w:val="en-US"/>
          </w:rPr>
          <m:t>≥</m:t>
        </m:r>
      </m:oMath>
      <w:r w:rsidR="003B01AF" w:rsidRPr="005247CB">
        <w:rPr>
          <w:lang w:val="en-US"/>
        </w:rPr>
        <w:t>65 years</w:t>
      </w:r>
      <w:r w:rsidR="00721A00" w:rsidRPr="005247CB">
        <w:rPr>
          <w:lang w:val="en-US"/>
        </w:rPr>
        <w:t xml:space="preserve"> </w:t>
      </w:r>
      <w:r w:rsidR="003B01AF" w:rsidRPr="005247CB">
        <w:rPr>
          <w:lang w:val="en-US"/>
        </w:rPr>
        <w:t xml:space="preserve">are given BXM, with variation depending on the pandemic and </w:t>
      </w:r>
      <w:r w:rsidR="00721A00" w:rsidRPr="005247CB">
        <w:rPr>
          <w:lang w:val="en-US"/>
        </w:rPr>
        <w:t xml:space="preserve">the </w:t>
      </w:r>
      <w:r w:rsidR="003B01AF" w:rsidRPr="005247CB">
        <w:rPr>
          <w:lang w:val="en-US"/>
        </w:rPr>
        <w:t>country</w:t>
      </w:r>
      <w:r w:rsidR="00F87D2E" w:rsidRPr="005247CB">
        <w:rPr>
          <w:lang w:val="en-US"/>
        </w:rPr>
        <w:t xml:space="preserve"> (</w:t>
      </w:r>
      <w:r w:rsidR="007E4DD9">
        <w:rPr>
          <w:lang w:val="en-US"/>
        </w:rPr>
        <w:t>Appendix Table</w:t>
      </w:r>
      <w:r w:rsidR="006C0863" w:rsidRPr="005247CB">
        <w:rPr>
          <w:lang w:val="en-US"/>
        </w:rPr>
        <w:t xml:space="preserve"> </w:t>
      </w:r>
      <w:r w:rsidR="00F87D2E" w:rsidRPr="005247CB">
        <w:rPr>
          <w:lang w:val="en-US"/>
        </w:rPr>
        <w:t>4)</w:t>
      </w:r>
      <w:r w:rsidR="003B01AF" w:rsidRPr="005247CB">
        <w:rPr>
          <w:lang w:val="en-US"/>
        </w:rPr>
        <w:t>.</w:t>
      </w:r>
      <w:r w:rsidR="00212D0E" w:rsidRPr="005247CB">
        <w:rPr>
          <w:lang w:val="en-US"/>
        </w:rPr>
        <w:t xml:space="preserve"> </w:t>
      </w:r>
    </w:p>
    <w:p w14:paraId="6DB056DF" w14:textId="2E44AF3D" w:rsidR="0012071B" w:rsidRPr="005247CB" w:rsidRDefault="009C01AC" w:rsidP="0012071B">
      <w:pPr>
        <w:rPr>
          <w:lang w:val="en-US"/>
        </w:rPr>
      </w:pPr>
      <w:r w:rsidRPr="005247CB">
        <w:rPr>
          <w:lang w:val="en-US"/>
        </w:rPr>
        <w:t xml:space="preserve">Changes to </w:t>
      </w:r>
      <w:r w:rsidR="006E04BF" w:rsidRPr="005247CB">
        <w:rPr>
          <w:lang w:val="en-US"/>
        </w:rPr>
        <w:t xml:space="preserve">percentage </w:t>
      </w:r>
      <w:r w:rsidR="00082A7C" w:rsidRPr="005247CB">
        <w:rPr>
          <w:lang w:val="en-US"/>
        </w:rPr>
        <w:t xml:space="preserve">mean </w:t>
      </w:r>
      <w:r w:rsidR="006E04BF" w:rsidRPr="005247CB">
        <w:rPr>
          <w:lang w:val="en-US"/>
        </w:rPr>
        <w:t>pandemic deaths</w:t>
      </w:r>
      <w:r w:rsidRPr="005247CB">
        <w:rPr>
          <w:lang w:val="en-US"/>
        </w:rPr>
        <w:t xml:space="preserve"> averted depend</w:t>
      </w:r>
      <w:r w:rsidR="00212D0E" w:rsidRPr="005247CB">
        <w:rPr>
          <w:lang w:val="en-US"/>
        </w:rPr>
        <w:t>s</w:t>
      </w:r>
      <w:r w:rsidRPr="005247CB">
        <w:rPr>
          <w:lang w:val="en-US"/>
        </w:rPr>
        <w:t xml:space="preserve"> on</w:t>
      </w:r>
      <w:r w:rsidR="00212D0E" w:rsidRPr="005247CB">
        <w:rPr>
          <w:lang w:val="en-US"/>
        </w:rPr>
        <w:t xml:space="preserve"> the</w:t>
      </w:r>
      <w:r w:rsidRPr="005247CB">
        <w:rPr>
          <w:lang w:val="en-US"/>
        </w:rPr>
        <w:t xml:space="preserve"> age group</w:t>
      </w:r>
      <w:r w:rsidR="00417F3B" w:rsidRPr="005247CB">
        <w:rPr>
          <w:lang w:val="en-US"/>
        </w:rPr>
        <w:t xml:space="preserve"> allotted BXM</w:t>
      </w:r>
      <w:r w:rsidRPr="005247CB">
        <w:rPr>
          <w:lang w:val="en-US"/>
        </w:rPr>
        <w:t xml:space="preserve"> (</w:t>
      </w:r>
      <w:r w:rsidR="006C0863" w:rsidRPr="005247CB">
        <w:rPr>
          <w:lang w:val="en-US"/>
        </w:rPr>
        <w:t>Fig. 4</w:t>
      </w:r>
      <w:r w:rsidRPr="005247CB">
        <w:rPr>
          <w:lang w:val="en-US"/>
        </w:rPr>
        <w:t>).</w:t>
      </w:r>
      <w:r w:rsidR="006E04BF" w:rsidRPr="005247CB">
        <w:rPr>
          <w:lang w:val="en-US"/>
        </w:rPr>
        <w:t xml:space="preserve"> </w:t>
      </w:r>
      <w:r w:rsidR="008E164C" w:rsidRPr="005247CB">
        <w:rPr>
          <w:lang w:val="en-US"/>
        </w:rPr>
        <w:t xml:space="preserve">If BXM </w:t>
      </w:r>
      <w:r w:rsidR="00343BB1" w:rsidRPr="005247CB">
        <w:rPr>
          <w:lang w:val="en-US"/>
        </w:rPr>
        <w:t>is</w:t>
      </w:r>
      <w:r w:rsidR="008E164C" w:rsidRPr="005247CB">
        <w:rPr>
          <w:lang w:val="en-US"/>
        </w:rPr>
        <w:t xml:space="preserve"> </w:t>
      </w:r>
      <w:r w:rsidR="00343BB1" w:rsidRPr="005247CB">
        <w:rPr>
          <w:lang w:val="en-US"/>
        </w:rPr>
        <w:t>given</w:t>
      </w:r>
      <w:r w:rsidR="008E164C" w:rsidRPr="005247CB">
        <w:rPr>
          <w:lang w:val="en-US"/>
        </w:rPr>
        <w:t xml:space="preserve"> </w:t>
      </w:r>
      <w:r w:rsidR="00343BB1" w:rsidRPr="005247CB">
        <w:rPr>
          <w:lang w:val="en-US"/>
        </w:rPr>
        <w:t>to</w:t>
      </w:r>
      <w:r w:rsidR="008E164C" w:rsidRPr="005247CB">
        <w:rPr>
          <w:lang w:val="en-US"/>
        </w:rPr>
        <w:t xml:space="preserve"> </w:t>
      </w:r>
      <w:r w:rsidR="00B36CD6" w:rsidRPr="005247CB">
        <w:rPr>
          <w:lang w:val="en-US"/>
        </w:rPr>
        <w:t xml:space="preserve">younger </w:t>
      </w:r>
      <w:r w:rsidR="008E164C" w:rsidRPr="005247CB">
        <w:rPr>
          <w:lang w:val="en-US"/>
        </w:rPr>
        <w:t>individuals aged 5–24 years only</w:t>
      </w:r>
      <w:r w:rsidR="00F224C8" w:rsidRPr="005247CB">
        <w:rPr>
          <w:lang w:val="en-US"/>
        </w:rPr>
        <w:t>,</w:t>
      </w:r>
      <w:r w:rsidR="00C731B0" w:rsidRPr="005247CB">
        <w:rPr>
          <w:lang w:val="en-US"/>
        </w:rPr>
        <w:t xml:space="preserve"> </w:t>
      </w:r>
      <w:r w:rsidR="00636E4B" w:rsidRPr="005247CB">
        <w:rPr>
          <w:lang w:val="en-US"/>
        </w:rPr>
        <w:t xml:space="preserve">percentage </w:t>
      </w:r>
      <w:r w:rsidR="00895535" w:rsidRPr="005247CB">
        <w:rPr>
          <w:lang w:val="en-US"/>
        </w:rPr>
        <w:t xml:space="preserve">mean </w:t>
      </w:r>
      <w:r w:rsidR="00636E4B" w:rsidRPr="005247CB">
        <w:rPr>
          <w:lang w:val="en-US"/>
        </w:rPr>
        <w:t>pandemic deaths</w:t>
      </w:r>
      <w:r w:rsidR="00343BB1" w:rsidRPr="005247CB">
        <w:rPr>
          <w:lang w:val="en-US"/>
        </w:rPr>
        <w:t xml:space="preserve"> averted</w:t>
      </w:r>
      <w:r w:rsidR="00636E4B" w:rsidRPr="005247CB">
        <w:rPr>
          <w:lang w:val="en-US"/>
        </w:rPr>
        <w:t xml:space="preserve"> </w:t>
      </w:r>
      <w:r w:rsidR="00343BB1" w:rsidRPr="005247CB">
        <w:rPr>
          <w:lang w:val="en-US"/>
        </w:rPr>
        <w:t>decreases</w:t>
      </w:r>
      <w:r w:rsidR="00636E4B" w:rsidRPr="005247CB">
        <w:rPr>
          <w:lang w:val="en-US"/>
        </w:rPr>
        <w:t xml:space="preserve"> by 4.7% (95% HPD = </w:t>
      </w:r>
      <w:r w:rsidR="008E164C" w:rsidRPr="005247CB">
        <w:rPr>
          <w:lang w:val="en-US"/>
        </w:rPr>
        <w:t>1.6</w:t>
      </w:r>
      <w:r w:rsidR="004932C0">
        <w:rPr>
          <w:lang w:val="en-US"/>
        </w:rPr>
        <w:t>-</w:t>
      </w:r>
      <w:r w:rsidR="008E164C" w:rsidRPr="005247CB">
        <w:rPr>
          <w:lang w:val="en-US"/>
        </w:rPr>
        <w:t xml:space="preserve">7.7%). </w:t>
      </w:r>
      <w:r w:rsidRPr="005247CB">
        <w:rPr>
          <w:lang w:val="en-US"/>
        </w:rPr>
        <w:t>I</w:t>
      </w:r>
      <w:r w:rsidR="00343BB1" w:rsidRPr="005247CB">
        <w:rPr>
          <w:lang w:val="en-US"/>
        </w:rPr>
        <w:t xml:space="preserve">f BXM is </w:t>
      </w:r>
      <w:r w:rsidR="00343BB1" w:rsidRPr="005247CB">
        <w:rPr>
          <w:lang w:val="en-US"/>
        </w:rPr>
        <w:lastRenderedPageBreak/>
        <w:t>restricted to individuals aged 25–64 years</w:t>
      </w:r>
      <w:r w:rsidRPr="005247CB">
        <w:rPr>
          <w:lang w:val="en-US"/>
        </w:rPr>
        <w:t xml:space="preserve">, </w:t>
      </w:r>
      <w:r w:rsidR="00343BB1" w:rsidRPr="005247CB">
        <w:rPr>
          <w:lang w:val="en-US"/>
        </w:rPr>
        <w:t>changes to</w:t>
      </w:r>
      <w:r w:rsidRPr="005247CB">
        <w:rPr>
          <w:lang w:val="en-US"/>
        </w:rPr>
        <w:t xml:space="preserve"> </w:t>
      </w:r>
      <w:r w:rsidR="00343BB1" w:rsidRPr="005247CB">
        <w:rPr>
          <w:lang w:val="en-US"/>
        </w:rPr>
        <w:t xml:space="preserve">percentage </w:t>
      </w:r>
      <w:r w:rsidR="00264DFF" w:rsidRPr="005247CB">
        <w:rPr>
          <w:lang w:val="en-US"/>
        </w:rPr>
        <w:t xml:space="preserve">mean </w:t>
      </w:r>
      <w:r w:rsidR="00343BB1" w:rsidRPr="005247CB">
        <w:rPr>
          <w:lang w:val="en-US"/>
        </w:rPr>
        <w:t>pandemic deaths averted strong</w:t>
      </w:r>
      <w:r w:rsidR="0002453E" w:rsidRPr="005247CB">
        <w:rPr>
          <w:lang w:val="en-US"/>
        </w:rPr>
        <w:t>ly</w:t>
      </w:r>
      <w:r w:rsidR="00343BB1" w:rsidRPr="005247CB">
        <w:rPr>
          <w:lang w:val="en-US"/>
        </w:rPr>
        <w:t xml:space="preserve"> depend</w:t>
      </w:r>
      <w:r w:rsidR="00264DFF">
        <w:rPr>
          <w:lang w:val="en-US"/>
        </w:rPr>
        <w:t>s</w:t>
      </w:r>
      <w:r w:rsidR="00343BB1" w:rsidRPr="005247CB">
        <w:rPr>
          <w:lang w:val="en-US"/>
        </w:rPr>
        <w:t xml:space="preserve"> on</w:t>
      </w:r>
      <w:r w:rsidR="008E164C" w:rsidRPr="005247CB">
        <w:rPr>
          <w:lang w:val="en-US"/>
        </w:rPr>
        <w:t xml:space="preserve"> </w:t>
      </w:r>
      <w:r w:rsidR="00343BB1" w:rsidRPr="005247CB">
        <w:rPr>
          <w:lang w:val="en-US"/>
        </w:rPr>
        <w:t>pandemic-</w:t>
      </w:r>
      <w:r w:rsidR="009E3915" w:rsidRPr="005247CB">
        <w:rPr>
          <w:lang w:val="en-US"/>
        </w:rPr>
        <w:t>specific effects</w:t>
      </w:r>
      <w:r w:rsidRPr="005247CB">
        <w:rPr>
          <w:lang w:val="en-US"/>
        </w:rPr>
        <w:t xml:space="preserve"> </w:t>
      </w:r>
      <w:r w:rsidR="003E68B1" w:rsidRPr="005247CB">
        <w:rPr>
          <w:lang w:val="en-US"/>
        </w:rPr>
        <w:t xml:space="preserve">with trivial country-level effects despite the variation in age demography </w:t>
      </w:r>
      <w:r w:rsidR="00212D0E" w:rsidRPr="005247CB">
        <w:rPr>
          <w:lang w:val="en-US"/>
        </w:rPr>
        <w:t>between</w:t>
      </w:r>
      <w:r w:rsidR="003E68B1" w:rsidRPr="005247CB">
        <w:rPr>
          <w:lang w:val="en-US"/>
        </w:rPr>
        <w:t xml:space="preserve"> countries (</w:t>
      </w:r>
      <w:r w:rsidR="007E4DD9">
        <w:rPr>
          <w:lang w:val="en-US"/>
        </w:rPr>
        <w:t>Appendix Fig.</w:t>
      </w:r>
      <w:r w:rsidR="003E68B1" w:rsidRPr="005247CB">
        <w:rPr>
          <w:lang w:val="en-US"/>
        </w:rPr>
        <w:t xml:space="preserve"> </w:t>
      </w:r>
      <w:r w:rsidR="009B6835" w:rsidRPr="005247CB">
        <w:rPr>
          <w:lang w:val="en-US"/>
        </w:rPr>
        <w:t>5</w:t>
      </w:r>
      <w:r w:rsidR="003E68B1" w:rsidRPr="005247CB">
        <w:rPr>
          <w:lang w:val="en-US"/>
        </w:rPr>
        <w:t xml:space="preserve">). For example, </w:t>
      </w:r>
      <w:r w:rsidR="00E92171" w:rsidRPr="005247CB">
        <w:rPr>
          <w:lang w:val="en-US"/>
        </w:rPr>
        <w:t xml:space="preserve">if </w:t>
      </w:r>
      <w:r w:rsidR="003E68B1" w:rsidRPr="005247CB">
        <w:rPr>
          <w:lang w:val="en-US"/>
        </w:rPr>
        <w:t xml:space="preserve">BXM is </w:t>
      </w:r>
      <w:r w:rsidR="00E92171" w:rsidRPr="005247CB">
        <w:rPr>
          <w:lang w:val="en-US"/>
        </w:rPr>
        <w:t>distributed to 25–64 years only</w:t>
      </w:r>
      <w:r w:rsidR="00AE52E1" w:rsidRPr="005247CB">
        <w:rPr>
          <w:lang w:val="en-US"/>
        </w:rPr>
        <w:t xml:space="preserve">, </w:t>
      </w:r>
      <w:r w:rsidR="00E92171" w:rsidRPr="005247CB">
        <w:rPr>
          <w:lang w:val="en-US"/>
        </w:rPr>
        <w:t>percentage</w:t>
      </w:r>
      <w:r w:rsidR="00264DFF">
        <w:rPr>
          <w:lang w:val="en-US"/>
        </w:rPr>
        <w:t xml:space="preserve"> </w:t>
      </w:r>
      <w:r w:rsidR="00264DFF" w:rsidRPr="005247CB">
        <w:rPr>
          <w:lang w:val="en-US"/>
        </w:rPr>
        <w:t>mean</w:t>
      </w:r>
      <w:r w:rsidR="00E92171" w:rsidRPr="005247CB">
        <w:rPr>
          <w:lang w:val="en-US"/>
        </w:rPr>
        <w:t xml:space="preserve"> deaths averted </w:t>
      </w:r>
      <w:r w:rsidR="003E68B1" w:rsidRPr="005247CB">
        <w:rPr>
          <w:lang w:val="en-US"/>
        </w:rPr>
        <w:t xml:space="preserve">would </w:t>
      </w:r>
      <w:r w:rsidR="00E92171" w:rsidRPr="005247CB">
        <w:rPr>
          <w:lang w:val="en-US"/>
        </w:rPr>
        <w:t>decrease by 3.3% (95% HPD = 3.0</w:t>
      </w:r>
      <w:r w:rsidR="004932C0">
        <w:rPr>
          <w:lang w:val="en-US"/>
        </w:rPr>
        <w:t>-</w:t>
      </w:r>
      <w:r w:rsidR="00E92171" w:rsidRPr="005247CB">
        <w:rPr>
          <w:lang w:val="en-US"/>
        </w:rPr>
        <w:t xml:space="preserve">3.6%) under COVID-19-like pandemic scenario but increase by </w:t>
      </w:r>
      <w:r w:rsidR="00D0519D" w:rsidRPr="005247CB">
        <w:rPr>
          <w:lang w:val="en-US"/>
        </w:rPr>
        <w:t>0.8% (95% HPD = 0.5</w:t>
      </w:r>
      <w:r w:rsidR="004932C0">
        <w:rPr>
          <w:lang w:val="en-US"/>
        </w:rPr>
        <w:t>-</w:t>
      </w:r>
      <w:r w:rsidR="00D0519D" w:rsidRPr="005247CB">
        <w:rPr>
          <w:lang w:val="en-US"/>
        </w:rPr>
        <w:t>1.2%) during the 2009 A/H1N1</w:t>
      </w:r>
      <w:r w:rsidR="000162FC" w:rsidRPr="005247CB">
        <w:rPr>
          <w:lang w:val="en-US"/>
        </w:rPr>
        <w:t>-like</w:t>
      </w:r>
      <w:r w:rsidR="00D0519D" w:rsidRPr="005247CB">
        <w:rPr>
          <w:lang w:val="en-US"/>
        </w:rPr>
        <w:t xml:space="preserve"> pandemic</w:t>
      </w:r>
      <w:r w:rsidR="0093659B" w:rsidRPr="005247CB">
        <w:rPr>
          <w:lang w:val="en-US"/>
        </w:rPr>
        <w:t xml:space="preserve"> which disproportionately affected middle-aged adults</w:t>
      </w:r>
      <w:r w:rsidR="0076261D">
        <w:rPr>
          <w:lang w:val="en-US"/>
        </w:rPr>
        <w:t xml:space="preserve"> </w:t>
      </w:r>
      <w:r w:rsidR="0093659B" w:rsidRPr="005247CB">
        <w:rPr>
          <w:lang w:val="en-US"/>
        </w:rPr>
        <w:fldChar w:fldCharType="begin"/>
      </w:r>
      <w:r w:rsidR="006A263E">
        <w:rPr>
          <w:lang w:val="en-US"/>
        </w:rPr>
        <w:instrText xml:space="preserve"> ADDIN ZOTERO_ITEM CSL_CITATION {"citationID":"a2a1af6i5f1","properties":{"formattedCitation":"(Dawood et al., 2012)","plainCitation":"(Dawood et al., 2012)","noteIndex":0},"citationItems":[{"id":190,"uris":["http://zotero.org/users/local/0pdZPGmr/items/XAJUCWF4","http://zotero.org/users/9596130/items/XAJUCWF4"],"itemData":{"id":190,"type":"article-journal","container-title":"The Lancet Infectious Diseases","DOI":"10.1016/S1473-3099(12)70121-4","ISSN":"1473-3099","issue":"9","note":"publisher: Elsevier","page":"687-695","title":"Estimated global mortality associated with the first 12 months of 2009 pandemic influenza A H1N1 virus circulation: a modelling study","volume":"12","author":[{"family":"Dawood","given":"Fatimah S"},{"family":"Iuliano","given":"A Danielle"},{"family":"Reed","given":"Carrie"},{"family":"Meltzer","given":"Martin I"},{"family":"Shay","given":"David K"},{"family":"Cheng","given":"Po-Yung"},{"family":"Bandaranayake","given":"Don"},{"family":"Breiman","given":"Robert F"},{"family":"Brooks","given":"W Abdullah"},{"family":"Buchy","given":"Philippe"},{"family":"Feikin","given":"Daniel R"},{"family":"Fowler","given":"Karen B"},{"family":"Gordon","given":"Aubree"},{"family":"Hien","given":"Nguyen Tran"},{"family":"Horby","given":"Peter"},{"family":"Huang","given":"Q Sue"},{"family":"Katz","given":"Mark A"},{"family":"Krishnan","given":"Anand"},{"family":"Lal","given":"Renu"},{"family":"Montgomery","given":"Joel M"},{"family":"Mølbak","given":"Kåre"},{"family":"Pebody","given":"Richard"},{"family":"Presanis","given":"Anne M"},{"family":"Razuri","given":"Hugo"},{"family":"Steens","given":"Anneke"},{"family":"Tinoco","given":"Yeny O"},{"family":"Wallinga","given":"Jacco"},{"family":"Yu","given":"Hongjie"},{"family":"Vong","given":"Sirenda"},{"family":"Bresee","given":"Joseph"},{"family":"Widdowson","given":"Marc-Alain"}],"issued":{"date-parts":[["2012",9,1]]}}}],"schema":"https://github.com/citation-style-language/schema/raw/master/csl-citation.json"} </w:instrText>
      </w:r>
      <w:r w:rsidR="0093659B" w:rsidRPr="005247CB">
        <w:rPr>
          <w:lang w:val="en-US"/>
        </w:rPr>
        <w:fldChar w:fldCharType="separate"/>
      </w:r>
      <w:r w:rsidR="006A263E">
        <w:rPr>
          <w:lang w:val="en-US"/>
        </w:rPr>
        <w:t>(Dawood et al., 2012)</w:t>
      </w:r>
      <w:r w:rsidR="0093659B" w:rsidRPr="005247CB">
        <w:rPr>
          <w:lang w:val="en-US"/>
        </w:rPr>
        <w:fldChar w:fldCharType="end"/>
      </w:r>
      <w:r w:rsidR="00E92171" w:rsidRPr="005247CB">
        <w:rPr>
          <w:lang w:val="en-US"/>
        </w:rPr>
        <w:t xml:space="preserve"> </w:t>
      </w:r>
      <w:r w:rsidR="00907368" w:rsidRPr="005247CB">
        <w:rPr>
          <w:lang w:val="en-US"/>
        </w:rPr>
        <w:t>(</w:t>
      </w:r>
      <w:r w:rsidR="006C0863" w:rsidRPr="005247CB">
        <w:rPr>
          <w:lang w:val="en-US"/>
        </w:rPr>
        <w:t>Fig. 4</w:t>
      </w:r>
      <w:r w:rsidR="00907368" w:rsidRPr="005247CB">
        <w:rPr>
          <w:lang w:val="en-US"/>
        </w:rPr>
        <w:t xml:space="preserve">). </w:t>
      </w:r>
      <w:r w:rsidRPr="005247CB">
        <w:rPr>
          <w:lang w:val="en-US"/>
        </w:rPr>
        <w:t xml:space="preserve">If BXM is allotted to older individuals </w:t>
      </w:r>
      <m:oMath>
        <m:r>
          <w:rPr>
            <w:rFonts w:ascii="Cambria Math" w:hAnsi="Cambria Math"/>
            <w:lang w:val="en-US"/>
          </w:rPr>
          <m:t>≥</m:t>
        </m:r>
      </m:oMath>
      <w:r w:rsidRPr="005247CB">
        <w:rPr>
          <w:lang w:val="en-US"/>
        </w:rPr>
        <w:t>65 years of age</w:t>
      </w:r>
      <w:r w:rsidR="00671B51" w:rsidRPr="005247CB">
        <w:rPr>
          <w:lang w:val="en-US"/>
        </w:rPr>
        <w:t xml:space="preserve"> only,</w:t>
      </w:r>
      <w:r w:rsidR="003E68B1" w:rsidRPr="005247CB">
        <w:rPr>
          <w:lang w:val="en-US"/>
        </w:rPr>
        <w:t xml:space="preserve"> </w:t>
      </w:r>
      <w:r w:rsidR="00212D0E" w:rsidRPr="005247CB">
        <w:rPr>
          <w:lang w:val="en-US"/>
        </w:rPr>
        <w:t xml:space="preserve">decrease in </w:t>
      </w:r>
      <w:r w:rsidRPr="005247CB">
        <w:rPr>
          <w:lang w:val="en-US"/>
        </w:rPr>
        <w:t>percentage</w:t>
      </w:r>
      <w:r w:rsidR="00E2723F">
        <w:rPr>
          <w:lang w:val="en-US"/>
        </w:rPr>
        <w:t xml:space="preserve"> </w:t>
      </w:r>
      <w:r w:rsidR="00E2723F" w:rsidRPr="005247CB">
        <w:rPr>
          <w:lang w:val="en-US"/>
        </w:rPr>
        <w:t>mean</w:t>
      </w:r>
      <w:r w:rsidRPr="005247CB">
        <w:rPr>
          <w:lang w:val="en-US"/>
        </w:rPr>
        <w:t xml:space="preserve"> deaths averted</w:t>
      </w:r>
      <w:r w:rsidR="00212D0E" w:rsidRPr="005247CB">
        <w:rPr>
          <w:lang w:val="en-US"/>
        </w:rPr>
        <w:t xml:space="preserve"> depends on the pandemic scenario</w:t>
      </w:r>
      <w:r w:rsidRPr="005247CB">
        <w:rPr>
          <w:lang w:val="en-US"/>
        </w:rPr>
        <w:t xml:space="preserve"> (i.e. </w:t>
      </w:r>
      <w:r w:rsidR="00671B51" w:rsidRPr="005247CB">
        <w:rPr>
          <w:lang w:val="en-US"/>
        </w:rPr>
        <w:t>1918 A/H1N1</w:t>
      </w:r>
      <w:r w:rsidR="000162FC" w:rsidRPr="005247CB">
        <w:rPr>
          <w:lang w:val="en-US"/>
        </w:rPr>
        <w:t>-like</w:t>
      </w:r>
      <w:r w:rsidR="00671B51" w:rsidRPr="005247CB">
        <w:rPr>
          <w:lang w:val="en-US"/>
        </w:rPr>
        <w:t>, 95% HPD =  -4.9</w:t>
      </w:r>
      <w:r w:rsidR="00597470">
        <w:rPr>
          <w:lang w:val="en-US"/>
        </w:rPr>
        <w:t>-</w:t>
      </w:r>
      <w:r w:rsidR="00671B51" w:rsidRPr="005247CB">
        <w:rPr>
          <w:lang w:val="en-US"/>
        </w:rPr>
        <w:t>4.0%; 1969 A/H3N2</w:t>
      </w:r>
      <w:r w:rsidR="000162FC" w:rsidRPr="005247CB">
        <w:rPr>
          <w:lang w:val="en-US"/>
        </w:rPr>
        <w:t>-like</w:t>
      </w:r>
      <w:r w:rsidR="00671B51" w:rsidRPr="005247CB">
        <w:rPr>
          <w:lang w:val="en-US"/>
        </w:rPr>
        <w:t>, 95% HPD =  -1.1</w:t>
      </w:r>
      <w:r w:rsidR="00597470">
        <w:rPr>
          <w:lang w:val="en-US"/>
        </w:rPr>
        <w:t>-</w:t>
      </w:r>
      <w:r w:rsidR="00671B51" w:rsidRPr="005247CB">
        <w:rPr>
          <w:lang w:val="en-US"/>
        </w:rPr>
        <w:t>0.2%; 2009 A/H1N1</w:t>
      </w:r>
      <w:r w:rsidR="000162FC" w:rsidRPr="005247CB">
        <w:rPr>
          <w:lang w:val="en-US"/>
        </w:rPr>
        <w:t>-like</w:t>
      </w:r>
      <w:r w:rsidR="00671B51" w:rsidRPr="005247CB">
        <w:rPr>
          <w:lang w:val="en-US"/>
        </w:rPr>
        <w:t>, 95% HPD =  -7.9</w:t>
      </w:r>
      <w:r w:rsidR="00597470">
        <w:rPr>
          <w:lang w:val="en-US"/>
        </w:rPr>
        <w:t>-</w:t>
      </w:r>
      <w:r w:rsidR="00671B51" w:rsidRPr="005247CB">
        <w:rPr>
          <w:lang w:val="en-US"/>
        </w:rPr>
        <w:t>7.0%; COVID-19-like, 95% HPD =  -2.7</w:t>
      </w:r>
      <w:r w:rsidR="00597470">
        <w:rPr>
          <w:lang w:val="en-US"/>
        </w:rPr>
        <w:t>-</w:t>
      </w:r>
      <w:r w:rsidR="00671B51" w:rsidRPr="005247CB">
        <w:rPr>
          <w:lang w:val="en-US"/>
        </w:rPr>
        <w:t>1.8%</w:t>
      </w:r>
      <w:r w:rsidR="0094018F" w:rsidRPr="005247CB">
        <w:rPr>
          <w:lang w:val="en-US"/>
        </w:rPr>
        <w:t xml:space="preserve">; </w:t>
      </w:r>
      <w:r w:rsidR="006C0863" w:rsidRPr="005247CB">
        <w:rPr>
          <w:lang w:val="en-US"/>
        </w:rPr>
        <w:t>Fig. 4</w:t>
      </w:r>
      <w:r w:rsidRPr="005247CB">
        <w:rPr>
          <w:lang w:val="en-US"/>
        </w:rPr>
        <w:t>)</w:t>
      </w:r>
      <w:r w:rsidR="00505709" w:rsidRPr="005247CB">
        <w:rPr>
          <w:lang w:val="en-US"/>
        </w:rPr>
        <w:t xml:space="preserve">. </w:t>
      </w:r>
    </w:p>
    <w:p w14:paraId="79EB099A" w14:textId="7420CCB7" w:rsidR="002907A7" w:rsidRPr="005247CB" w:rsidRDefault="003F1EBC" w:rsidP="00B60886">
      <w:pPr>
        <w:rPr>
          <w:lang w:val="en-US"/>
        </w:rPr>
      </w:pPr>
      <w:r w:rsidRPr="005247CB">
        <w:rPr>
          <w:lang w:val="en-US"/>
        </w:rPr>
        <w:t xml:space="preserve">Although BXM </w:t>
      </w:r>
      <w:r w:rsidR="00A73662" w:rsidRPr="005247CB">
        <w:rPr>
          <w:lang w:val="en-US"/>
        </w:rPr>
        <w:t xml:space="preserve">is </w:t>
      </w:r>
      <w:r w:rsidRPr="005247CB">
        <w:rPr>
          <w:lang w:val="en-US"/>
        </w:rPr>
        <w:t>effective</w:t>
      </w:r>
      <w:r w:rsidR="00A73662" w:rsidRPr="005247CB">
        <w:rPr>
          <w:lang w:val="en-US"/>
        </w:rPr>
        <w:t xml:space="preserve"> as</w:t>
      </w:r>
      <w:r w:rsidRPr="005247CB">
        <w:rPr>
          <w:lang w:val="en-US"/>
        </w:rPr>
        <w:t xml:space="preserve"> </w:t>
      </w:r>
      <w:r w:rsidR="0003332E" w:rsidRPr="005247CB">
        <w:rPr>
          <w:lang w:val="en-US"/>
        </w:rPr>
        <w:t>PEP</w:t>
      </w:r>
      <w:r w:rsidR="0076261D">
        <w:rPr>
          <w:lang w:val="en-US"/>
        </w:rPr>
        <w:t xml:space="preserve"> </w:t>
      </w:r>
      <w:r w:rsidRPr="005247CB">
        <w:rPr>
          <w:lang w:val="en-US"/>
        </w:rPr>
        <w:fldChar w:fldCharType="begin"/>
      </w:r>
      <w:r w:rsidR="006A263E">
        <w:rPr>
          <w:lang w:val="en-US"/>
        </w:rPr>
        <w:instrText xml:space="preserve"> ADDIN ZOTERO_ITEM CSL_CITATION {"citationID":"amo74e4rus","properties":{"formattedCitation":"(Ikematsu Hideyuki et al., 2020)","plainCitation":"(Ikematsu Hideyuki et al., 2020)","noteIndex":0},"citationItems":[{"id":100,"uris":["http://zotero.org/users/local/0pdZPGmr/items/XGBVRI4I","http://zotero.org/users/9596130/items/XGBVRI4I"],"itemData":{"id":100,"type":"article-journal","container-title":"New England Journal of Medicine","DOI":"10.1056/NEJMoa1915341","issue":"4","journalAbbreviation":"New England Journal of Medicine","note":"publisher: Massachusetts Medical Society","page":"309-320","title":"Baloxavir Marboxil for Prophylaxis against Influenza in Household Contacts","volume":"383","author":[{"literal":"Ikematsu Hideyuki"},{"literal":"Hayden Frederick G."},{"literal":"Kawaguchi Keiko"},{"literal":"Kinoshita Masahiro"},{"literal":"de Jong Menno D."},{"literal":"Lee Nelson"},{"literal":"Takashima Satoru"},{"literal":"Noshi Takeshi"},{"literal":"Tsuchiya Kenji"},{"literal":"Uehara Takeki"}],"issued":{"date-parts":[["2020",7,23]]}}}],"schema":"https://github.com/citation-style-language/schema/raw/master/csl-citation.json"} </w:instrText>
      </w:r>
      <w:r w:rsidRPr="005247CB">
        <w:rPr>
          <w:lang w:val="en-US"/>
        </w:rPr>
        <w:fldChar w:fldCharType="separate"/>
      </w:r>
      <w:r w:rsidR="006A263E">
        <w:rPr>
          <w:lang w:val="en-US"/>
        </w:rPr>
        <w:t>(Ikematsu Hideyuki et al., 2020)</w:t>
      </w:r>
      <w:r w:rsidRPr="005247CB">
        <w:rPr>
          <w:lang w:val="en-US"/>
        </w:rPr>
        <w:fldChar w:fldCharType="end"/>
      </w:r>
      <w:r w:rsidR="0076261D">
        <w:rPr>
          <w:lang w:val="en-US"/>
        </w:rPr>
        <w:t>,</w:t>
      </w:r>
      <w:r w:rsidRPr="005247CB">
        <w:rPr>
          <w:lang w:val="en-US"/>
        </w:rPr>
        <w:t xml:space="preserve"> </w:t>
      </w:r>
      <w:r w:rsidR="009E636D" w:rsidRPr="005247CB">
        <w:rPr>
          <w:lang w:val="en-US"/>
        </w:rPr>
        <w:t xml:space="preserve">swift and extensive </w:t>
      </w:r>
      <w:r w:rsidRPr="005247CB">
        <w:rPr>
          <w:lang w:val="en-US"/>
        </w:rPr>
        <w:t xml:space="preserve">contact tracing </w:t>
      </w:r>
      <w:r w:rsidR="009E636D" w:rsidRPr="005247CB">
        <w:rPr>
          <w:lang w:val="en-US"/>
        </w:rPr>
        <w:t xml:space="preserve">for PEP distribution </w:t>
      </w:r>
      <w:r w:rsidR="00B10402" w:rsidRPr="005247CB">
        <w:rPr>
          <w:lang w:val="en-US"/>
        </w:rPr>
        <w:t>can be</w:t>
      </w:r>
      <w:r w:rsidR="009E636D" w:rsidRPr="005247CB">
        <w:rPr>
          <w:lang w:val="en-US"/>
        </w:rPr>
        <w:t xml:space="preserve"> challenging</w:t>
      </w:r>
      <w:r w:rsidR="00B10402" w:rsidRPr="005247CB">
        <w:rPr>
          <w:lang w:val="en-US"/>
        </w:rPr>
        <w:t xml:space="preserve"> to implement during a pandemic</w:t>
      </w:r>
      <w:r w:rsidR="0076261D">
        <w:rPr>
          <w:lang w:val="en-US"/>
        </w:rPr>
        <w:t xml:space="preserve"> </w:t>
      </w:r>
      <w:r w:rsidR="00B10402" w:rsidRPr="005247CB">
        <w:rPr>
          <w:lang w:val="en-US"/>
        </w:rPr>
        <w:fldChar w:fldCharType="begin"/>
      </w:r>
      <w:r w:rsidR="006A263E">
        <w:rPr>
          <w:lang w:val="en-US"/>
        </w:rPr>
        <w:instrText xml:space="preserve"> ADDIN ZOTERO_ITEM CSL_CITATION {"citationID":"e3RN4fIP","properties":{"formattedCitation":"(Clark et al., 2021; Davis et al., 2021)","plainCitation":"(Clark et al., 2021; Davis et al., 2021)","noteIndex":0},"citationItems":[{"id":168,"uris":["http://zotero.org/users/local/0pdZPGmr/items/Z72NGIBC","http://zotero.org/users/9596130/items/Z72NGIBC"],"itemData":{"id":168,"type":"article-journal","abstract":"By late April 2020, public discourse in the United States had shifted toward the idea of using more targeted case-based mitigation tactics (eg, contact tracing) to combat coronavirus disease 2019 (COVID-19) transmission while allowing for the safe “reopening” of society, in an effort to reduce the social, economic, and political ramifications associated with stricter approaches. Expanded tracing-testing efforts were touted as a key solution that would allow for a precision approach, thus preventing economies from having to shut down again. However, it is now clear that many regions of the United States were unable to mount robust enough testing-tracing programs to prevent major resurgences of disease. This viewpoint offers a discussion of why testing-tracing efforts failed to sufficiently mitigate COVID-19 across much of the nation, with the hope that such deliberation will help the US public health community better plan for the future.","container-title":"Clinical Infectious Diseases","DOI":"10.1093/cid/ciaa1155","ISSN":"1058-4838","issue":"9","journalAbbreviation":"Clinical Infectious Diseases","page":"e415-e419","title":"Why Contact Tracing Efforts Have Failed to Curb Coronavirus Disease 2019 (COVID-19) Transmission in Much of the United States","volume":"72","author":[{"family":"Clark","given":"Eva"},{"family":"Chiao","given":"Elizabeth Y"},{"family":"Amirian","given":"E Susan"}],"issued":{"date-parts":[["2021",5,1]]}}},{"id":197,"uris":["http://zotero.org/users/local/0pdZPGmr/items/CHSKQUIS","http://zotero.org/users/9596130/items/CHSKQUIS"],"itemData":{"id":197,"type":"article-journal","abstract":"Emerging evidence suggests that contact tracing has had limited success in the UK in reducing the R number across the COVID-19 pandemic. We investigate potential pitfalls and areas for improvement by extending an existing branching process contact tracing model, adding diagnostic testing and refining parameter estimates. Our results demonstrate that reporting and adherence are the most important predictors of programme impact but tracing coverage and speed plus diagnostic sensitivity also play an important role. We conclude that well-implemented contact tracing could bring small but potentially important benefits to controlling and preventing outbreaks, providing up to a 15% reduction in R. We reaffirm that contact tracing is not currently appropriate as the sole control measure.","container-title":"Nature Communications","DOI":"10.1038/s41467-021-25531-5","ISSN":"2041-1723","issue":"1","journalAbbreviation":"Nature Communications","page":"5412","title":"Contact tracing is an imperfect tool for controlling COVID-19 transmission and relies on population adherence","volume":"12","author":[{"family":"Davis","given":"Emma L."},{"family":"Lucas","given":"Tim C. D."},{"family":"Borlase","given":"Anna"},{"family":"Pollington","given":"Timothy M."},{"family":"Abbott","given":"Sam"},{"family":"Ayabina","given":"Diepreye"},{"family":"Crellen","given":"Thomas"},{"family":"Hellewell","given":"Joel"},{"family":"Pi","given":"Li"},{"family":"Lowe","given":"Rachel"},{"family":"Endo","given":"Akira"},{"family":"Davies","given":"Nicholas"},{"family":"Gore-Langton","given":"Georgia R."},{"family":"Russell","given":"Timothy W."},{"family":"Bosse","given":"Nikos I."},{"family":"Quaife","given":"Matthew"},{"family":"Kucharski","given":"Adam J."},{"family":"Nightingale","given":"Emily S."},{"family":"Pearson","given":"Carl A. B."},{"family":"Gibbs","given":"Hamish"},{"family":"O’Reilly","given":"Kathleen"},{"family":"Jombart","given":"Thibaut"},{"family":"Rees","given":"Eleanor M."},{"family":"Deol","given":"Arminder K."},{"family":"Hué","given":"Stéphane"},{"family":"Auzenbergs","given":"Megan"},{"family":"Houben","given":"Rein M. G. J."},{"family":"Funk","given":"Sebastian"},{"family":"Li","given":"Yang"},{"family":"Sun","given":"Fiona"},{"family":"Prem","given":"Kiesha"},{"family":"Quilty","given":"Billy J."},{"family":"Villabona-Arenas","given":"Julian"},{"family":"Barnard","given":"Rosanna C."},{"family":"Hodgson","given":"David"},{"family":"Foss","given":"Anna"},{"family":"Jarvis","given":"Christopher I."},{"family":"Meakin","given":"Sophie R."},{"family":"Eggo","given":"Rosalind M."},{"family":"Abbas","given":"Kaja"},{"family":"Zandvoort","given":"Kevin","dropping-particle":"van"},{"family":"Emery","given":"Jon C."},{"family":"Tully","given":"Damien C."},{"family":"Sandmann","given":"Frank G."},{"family":"Edmunds","given":"W. John"},{"family":"Gimma","given":"Amy"},{"family":"Knight","given":"Gwen"},{"family":"Munday","given":"James D."},{"family":"Diamond","given":"Charlie"},{"family":"Jit","given":"Mark"},{"family":"Leclerc","given":"Quentin"},{"family":"Rosello","given":"Alicia"},{"family":"Chan","given":"Yung-Wai Desmond"},{"family":"Simons","given":"David"},{"family":"Clifford","given":"Sam"},{"family":"Flasche","given":"Stefan"},{"family":"Procter","given":"Simon R."},{"family":"Atkins","given":"Katherine E."},{"family":"Medley","given":"Graham F."},{"family":"Hollingsworth","given":"T. Déirdre"},{"family":"Klepac","given":"Petra"},{"literal":"CMMID COVID-19 Working Group"}],"issued":{"date-parts":[["2021",9,13]]}}}],"schema":"https://github.com/citation-style-language/schema/raw/master/csl-citation.json"} </w:instrText>
      </w:r>
      <w:r w:rsidR="00B10402" w:rsidRPr="005247CB">
        <w:rPr>
          <w:lang w:val="en-US"/>
        </w:rPr>
        <w:fldChar w:fldCharType="separate"/>
      </w:r>
      <w:r w:rsidR="006A263E">
        <w:rPr>
          <w:lang w:val="en-US"/>
        </w:rPr>
        <w:t>(Clark et al., 2021; Davis et al., 2021)</w:t>
      </w:r>
      <w:r w:rsidR="00B10402" w:rsidRPr="005247CB">
        <w:rPr>
          <w:lang w:val="en-US"/>
        </w:rPr>
        <w:fldChar w:fldCharType="end"/>
      </w:r>
      <w:r w:rsidR="0076261D">
        <w:rPr>
          <w:lang w:val="en-US"/>
        </w:rPr>
        <w:t xml:space="preserve">. </w:t>
      </w:r>
      <w:r w:rsidR="0002453E" w:rsidRPr="005247CB">
        <w:rPr>
          <w:lang w:val="en-US"/>
        </w:rPr>
        <w:t>U</w:t>
      </w:r>
      <w:r w:rsidR="00E03347" w:rsidRPr="005247CB">
        <w:rPr>
          <w:lang w:val="en-US"/>
        </w:rPr>
        <w:t xml:space="preserve">nder the ideal </w:t>
      </w:r>
      <w:r w:rsidR="00AA1782" w:rsidRPr="005247CB">
        <w:rPr>
          <w:lang w:val="en-US"/>
        </w:rPr>
        <w:t>assumption</w:t>
      </w:r>
      <w:r w:rsidR="00992D73" w:rsidRPr="005247CB">
        <w:rPr>
          <w:lang w:val="en-US"/>
        </w:rPr>
        <w:t xml:space="preserve"> of </w:t>
      </w:r>
      <w:r w:rsidR="00AA1782" w:rsidRPr="005247CB">
        <w:rPr>
          <w:lang w:val="en-US"/>
        </w:rPr>
        <w:t>same-day</w:t>
      </w:r>
      <w:r w:rsidR="00992D73" w:rsidRPr="005247CB">
        <w:rPr>
          <w:lang w:val="en-US"/>
        </w:rPr>
        <w:t xml:space="preserve"> BXM</w:t>
      </w:r>
      <w:r w:rsidR="00AA1782" w:rsidRPr="005247CB">
        <w:rPr>
          <w:lang w:val="en-US"/>
        </w:rPr>
        <w:t xml:space="preserve"> administration</w:t>
      </w:r>
      <w:r w:rsidR="00992D73" w:rsidRPr="005247CB">
        <w:rPr>
          <w:lang w:val="en-US"/>
        </w:rPr>
        <w:t xml:space="preserve"> to household contacts upon the identification of the index patient</w:t>
      </w:r>
      <w:r w:rsidR="00873873" w:rsidRPr="005247CB">
        <w:rPr>
          <w:lang w:val="en-US"/>
        </w:rPr>
        <w:t>,</w:t>
      </w:r>
      <w:r w:rsidR="00AA1B5A" w:rsidRPr="005247CB">
        <w:rPr>
          <w:lang w:val="en-US"/>
        </w:rPr>
        <w:t xml:space="preserve"> excluding pandemic- or country-level effects,</w:t>
      </w:r>
      <w:r w:rsidR="00873873" w:rsidRPr="005247CB">
        <w:rPr>
          <w:lang w:val="en-US"/>
        </w:rPr>
        <w:t xml:space="preserve"> </w:t>
      </w:r>
      <w:r w:rsidR="000B532C" w:rsidRPr="005247CB">
        <w:rPr>
          <w:lang w:val="en-US"/>
        </w:rPr>
        <w:t>providing BXM as PEP on top of treatment</w:t>
      </w:r>
      <w:r w:rsidR="0002453E" w:rsidRPr="005247CB">
        <w:rPr>
          <w:lang w:val="en-US"/>
        </w:rPr>
        <w:t xml:space="preserve"> </w:t>
      </w:r>
      <w:r w:rsidR="000B532C" w:rsidRPr="005247CB">
        <w:rPr>
          <w:lang w:val="en-US"/>
        </w:rPr>
        <w:t>increases</w:t>
      </w:r>
      <w:r w:rsidR="00903A19" w:rsidRPr="005247CB">
        <w:rPr>
          <w:lang w:val="en-US"/>
        </w:rPr>
        <w:t xml:space="preserve"> </w:t>
      </w:r>
      <w:r w:rsidR="00085407" w:rsidRPr="005247CB">
        <w:rPr>
          <w:lang w:val="en-US"/>
        </w:rPr>
        <w:t>mean</w:t>
      </w:r>
      <w:r w:rsidR="0002453E" w:rsidRPr="005247CB">
        <w:rPr>
          <w:lang w:val="en-US"/>
        </w:rPr>
        <w:t xml:space="preserve"> pandemic deaths averted by 5.2% (95% HPD = 1.7</w:t>
      </w:r>
      <w:r w:rsidR="004932C0">
        <w:rPr>
          <w:lang w:val="en-US"/>
        </w:rPr>
        <w:t>-</w:t>
      </w:r>
      <w:r w:rsidR="0002453E" w:rsidRPr="005247CB">
        <w:rPr>
          <w:lang w:val="en-US"/>
        </w:rPr>
        <w:t xml:space="preserve">8.6%) </w:t>
      </w:r>
      <w:r w:rsidR="00E7111E" w:rsidRPr="005247CB">
        <w:rPr>
          <w:lang w:val="en-US"/>
        </w:rPr>
        <w:t>while</w:t>
      </w:r>
      <w:r w:rsidR="000B532C" w:rsidRPr="005247CB">
        <w:rPr>
          <w:lang w:val="en-US"/>
        </w:rPr>
        <w:t xml:space="preserve"> incur</w:t>
      </w:r>
      <w:r w:rsidR="00E7111E" w:rsidRPr="005247CB">
        <w:rPr>
          <w:lang w:val="en-US"/>
        </w:rPr>
        <w:t>ring</w:t>
      </w:r>
      <w:r w:rsidR="000B532C" w:rsidRPr="005247CB">
        <w:rPr>
          <w:lang w:val="en-US"/>
        </w:rPr>
        <w:t xml:space="preserve"> additional</w:t>
      </w:r>
      <w:r w:rsidR="00521A80" w:rsidRPr="005247CB">
        <w:rPr>
          <w:lang w:val="en-US"/>
        </w:rPr>
        <w:t xml:space="preserve"> per-capita BXM demand by</w:t>
      </w:r>
      <w:r w:rsidR="000B532C" w:rsidRPr="005247CB">
        <w:rPr>
          <w:lang w:val="en-US"/>
        </w:rPr>
        <w:t xml:space="preserve"> 33.8% (95% HPD = 21.6</w:t>
      </w:r>
      <w:r w:rsidR="004932C0">
        <w:rPr>
          <w:lang w:val="en-US"/>
        </w:rPr>
        <w:t>-</w:t>
      </w:r>
      <w:r w:rsidR="000B532C" w:rsidRPr="005247CB">
        <w:rPr>
          <w:lang w:val="en-US"/>
        </w:rPr>
        <w:t>47.0%)</w:t>
      </w:r>
      <w:r w:rsidR="00C22892" w:rsidRPr="005247CB">
        <w:rPr>
          <w:lang w:val="en-US"/>
        </w:rPr>
        <w:t>.</w:t>
      </w:r>
      <w:r w:rsidR="00AA1B5A" w:rsidRPr="005247CB">
        <w:rPr>
          <w:lang w:val="en-US"/>
        </w:rPr>
        <w:t xml:space="preserve"> Changes in BXM impact and demand due to PEP varies by country (</w:t>
      </w:r>
      <w:r w:rsidR="007E4DD9">
        <w:rPr>
          <w:lang w:val="en-US"/>
        </w:rPr>
        <w:t>Appendix Fig.</w:t>
      </w:r>
      <w:r w:rsidR="00AA1B5A" w:rsidRPr="005247CB">
        <w:rPr>
          <w:lang w:val="en-US"/>
        </w:rPr>
        <w:t xml:space="preserve"> </w:t>
      </w:r>
      <w:r w:rsidR="009B6835" w:rsidRPr="005247CB">
        <w:rPr>
          <w:lang w:val="en-US"/>
        </w:rPr>
        <w:t>5</w:t>
      </w:r>
      <w:r w:rsidR="00C775D8" w:rsidRPr="005247CB">
        <w:rPr>
          <w:lang w:val="en-US"/>
        </w:rPr>
        <w:t>–</w:t>
      </w:r>
      <w:r w:rsidR="009B6835" w:rsidRPr="005247CB">
        <w:rPr>
          <w:lang w:val="en-US"/>
        </w:rPr>
        <w:t>7</w:t>
      </w:r>
      <w:r w:rsidR="00AA1B5A" w:rsidRPr="005247CB">
        <w:rPr>
          <w:lang w:val="en-US"/>
        </w:rPr>
        <w:t>)</w:t>
      </w:r>
      <w:r w:rsidR="003E42A3" w:rsidRPr="005247CB">
        <w:rPr>
          <w:lang w:val="en-US"/>
        </w:rPr>
        <w:t xml:space="preserve"> where l</w:t>
      </w:r>
      <w:r w:rsidR="00AA1B5A" w:rsidRPr="005247CB">
        <w:rPr>
          <w:lang w:val="en-US"/>
        </w:rPr>
        <w:t>ower-income countries</w:t>
      </w:r>
      <w:r w:rsidR="0011366A" w:rsidRPr="005247CB">
        <w:rPr>
          <w:lang w:val="en-US"/>
        </w:rPr>
        <w:t xml:space="preserve">, </w:t>
      </w:r>
      <w:r w:rsidR="00BA7A3E" w:rsidRPr="005247CB">
        <w:rPr>
          <w:lang w:val="en-US"/>
        </w:rPr>
        <w:t xml:space="preserve">which tend to have larger </w:t>
      </w:r>
      <w:r w:rsidR="00085407" w:rsidRPr="005247CB">
        <w:rPr>
          <w:lang w:val="en-US"/>
        </w:rPr>
        <w:t>mean</w:t>
      </w:r>
      <w:r w:rsidR="00BA7A3E" w:rsidRPr="005247CB">
        <w:rPr>
          <w:lang w:val="en-US"/>
        </w:rPr>
        <w:t xml:space="preserve"> household sizes, would benefit from PEP distribution</w:t>
      </w:r>
      <w:r w:rsidR="000B67DF" w:rsidRPr="005247CB">
        <w:rPr>
          <w:lang w:val="en-US"/>
        </w:rPr>
        <w:t xml:space="preserve"> </w:t>
      </w:r>
      <w:r w:rsidR="002515CA" w:rsidRPr="005247CB">
        <w:rPr>
          <w:lang w:val="en-US"/>
        </w:rPr>
        <w:t xml:space="preserve">when mean household size is </w:t>
      </w:r>
      <m:oMath>
        <m:r>
          <w:rPr>
            <w:rFonts w:ascii="Cambria Math" w:hAnsi="Cambria Math"/>
            <w:lang w:val="en-US"/>
          </w:rPr>
          <m:t>≥</m:t>
        </m:r>
      </m:oMath>
      <w:r w:rsidR="00721389">
        <w:rPr>
          <w:lang w:val="en-US"/>
        </w:rPr>
        <w:t>4</w:t>
      </w:r>
      <w:r w:rsidR="00682498" w:rsidRPr="005247CB">
        <w:rPr>
          <w:lang w:val="en-US"/>
        </w:rPr>
        <w:t xml:space="preserve"> members</w:t>
      </w:r>
      <w:r w:rsidR="00BA7A3E" w:rsidRPr="005247CB">
        <w:rPr>
          <w:lang w:val="en-US"/>
        </w:rPr>
        <w:t xml:space="preserve">, further increasing </w:t>
      </w:r>
      <w:r w:rsidR="00085407" w:rsidRPr="005247CB">
        <w:rPr>
          <w:lang w:val="en-US"/>
        </w:rPr>
        <w:t>mean</w:t>
      </w:r>
      <w:r w:rsidR="00BA7A3E" w:rsidRPr="005247CB">
        <w:rPr>
          <w:lang w:val="en-US"/>
        </w:rPr>
        <w:t xml:space="preserve"> pandemic deaths averted by up to ~6%</w:t>
      </w:r>
      <w:r w:rsidR="002515CA" w:rsidRPr="005247CB">
        <w:rPr>
          <w:lang w:val="en-US"/>
        </w:rPr>
        <w:t>. However, realizing this benefit</w:t>
      </w:r>
      <w:r w:rsidR="00BA7A3E" w:rsidRPr="005247CB">
        <w:rPr>
          <w:lang w:val="en-US"/>
        </w:rPr>
        <w:t xml:space="preserve"> would </w:t>
      </w:r>
      <w:r w:rsidR="002515CA" w:rsidRPr="005247CB">
        <w:rPr>
          <w:lang w:val="en-US"/>
        </w:rPr>
        <w:t xml:space="preserve">require </w:t>
      </w:r>
      <w:r w:rsidR="00251895" w:rsidRPr="005247CB">
        <w:rPr>
          <w:lang w:val="en-US"/>
        </w:rPr>
        <w:t>up to ~50% more</w:t>
      </w:r>
      <w:r w:rsidR="00BF1639" w:rsidRPr="005247CB">
        <w:rPr>
          <w:lang w:val="en-US"/>
        </w:rPr>
        <w:t xml:space="preserve"> </w:t>
      </w:r>
      <w:r w:rsidR="00BA7A3E" w:rsidRPr="005247CB">
        <w:rPr>
          <w:lang w:val="en-US"/>
        </w:rPr>
        <w:t xml:space="preserve">per-capita </w:t>
      </w:r>
      <w:r w:rsidR="00DE5C6E" w:rsidRPr="005247CB">
        <w:rPr>
          <w:lang w:val="en-US"/>
        </w:rPr>
        <w:t xml:space="preserve">mean </w:t>
      </w:r>
      <w:r w:rsidR="00BA7A3E" w:rsidRPr="005247CB">
        <w:rPr>
          <w:lang w:val="en-US"/>
        </w:rPr>
        <w:t xml:space="preserve">BXM demand. </w:t>
      </w:r>
    </w:p>
    <w:p w14:paraId="456E5C87" w14:textId="693FC328" w:rsidR="004E41FA" w:rsidRPr="005247CB" w:rsidRDefault="00B442CA" w:rsidP="001F06ED">
      <w:pPr>
        <w:rPr>
          <w:lang w:val="en-US"/>
        </w:rPr>
      </w:pPr>
      <w:r w:rsidRPr="005247CB">
        <w:rPr>
          <w:lang w:val="en-US"/>
        </w:rPr>
        <w:t>M</w:t>
      </w:r>
      <w:r w:rsidR="005408CB" w:rsidRPr="005247CB">
        <w:rPr>
          <w:lang w:val="en-US"/>
        </w:rPr>
        <w:t xml:space="preserve">ultiple </w:t>
      </w:r>
      <w:r w:rsidR="00112C72" w:rsidRPr="005247CB">
        <w:rPr>
          <w:lang w:val="en-US"/>
        </w:rPr>
        <w:t>studies</w:t>
      </w:r>
      <w:r w:rsidR="005408CB" w:rsidRPr="005247CB">
        <w:rPr>
          <w:lang w:val="en-US"/>
        </w:rPr>
        <w:t xml:space="preserve"> </w:t>
      </w:r>
      <w:r w:rsidR="009B25E6" w:rsidRPr="005247CB">
        <w:rPr>
          <w:lang w:val="en-US"/>
        </w:rPr>
        <w:t>reported</w:t>
      </w:r>
      <w:r w:rsidR="005408CB" w:rsidRPr="005247CB">
        <w:rPr>
          <w:lang w:val="en-US"/>
        </w:rPr>
        <w:t xml:space="preserve"> </w:t>
      </w:r>
      <w:r w:rsidR="009B25E6" w:rsidRPr="005247CB">
        <w:rPr>
          <w:lang w:val="en-US"/>
        </w:rPr>
        <w:t xml:space="preserve">that </w:t>
      </w:r>
      <w:r w:rsidR="00112C72" w:rsidRPr="005247CB">
        <w:rPr>
          <w:lang w:val="en-US"/>
        </w:rPr>
        <w:t>seasonal</w:t>
      </w:r>
      <w:r w:rsidR="005408CB" w:rsidRPr="005247CB">
        <w:rPr>
          <w:lang w:val="en-US"/>
        </w:rPr>
        <w:t xml:space="preserve"> </w:t>
      </w:r>
      <w:r w:rsidR="00583AAF" w:rsidRPr="005247CB">
        <w:rPr>
          <w:lang w:val="en-US"/>
        </w:rPr>
        <w:t xml:space="preserve">IAVs </w:t>
      </w:r>
      <w:r w:rsidR="005408CB" w:rsidRPr="005247CB">
        <w:rPr>
          <w:lang w:val="en-US"/>
        </w:rPr>
        <w:t>readily acquire treatment-emergent BXM-resistant mutation</w:t>
      </w:r>
      <w:r w:rsidR="00112C72" w:rsidRPr="005247CB">
        <w:rPr>
          <w:lang w:val="en-US"/>
        </w:rPr>
        <w:t xml:space="preserve">s </w:t>
      </w:r>
      <w:r w:rsidR="005408CB" w:rsidRPr="005247CB">
        <w:rPr>
          <w:lang w:val="en-US"/>
        </w:rPr>
        <w:t>without a loss in viral fitness</w:t>
      </w:r>
      <w:r w:rsidR="0076261D">
        <w:rPr>
          <w:lang w:val="en-US"/>
        </w:rPr>
        <w:t xml:space="preserve"> </w:t>
      </w:r>
      <w:r w:rsidR="005408CB" w:rsidRPr="005247CB">
        <w:rPr>
          <w:lang w:val="en-US"/>
        </w:rPr>
        <w:fldChar w:fldCharType="begin"/>
      </w:r>
      <w:r w:rsidR="006A263E">
        <w:rPr>
          <w:lang w:val="en-US"/>
        </w:rPr>
        <w:instrText xml:space="preserve"> ADDIN ZOTERO_ITEM CSL_CITATION {"citationID":"EdC0BXG6","properties":{"unsorted":true,"formattedCitation":"(Hayden Frederick G. et al., 2018; Omoto et al., 2018; Takashita et al., 2019b, 2019a; Uehara et al., 2020; Imai et al., 2020)","plainCitation":"(Hayden Frederick G. et al., 2018; Omoto et al., 2018; Takashita et al., 2019b, 2019a; Uehara et al., 2020; Imai et al., 2020)","noteIndex":0},"citationItems":[{"id":9,"uris":["http://zotero.org/users/local/0pdZPGmr/items/LU5QH5UX","http://zotero.org/users/9596130/items/LU5QH5UX"],"itemData":{"id":9,"type":"article-journal","abstract":"In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Akira"}],"issued":{"date-parts":[["2018",9,6]]}}},{"id":72,"uris":["http://zotero.org/users/local/0pdZPGmr/items/8JSJ8WJ2","http://zotero.org/users/9596130/items/8JSJ8WJ2"],"itemData":{"id":72,"type":"article-journal","abstract":"Baloxavir acid (BXA), derived from the prodrug baloxavir marboxil (BXM), potently and selectively inhibits the cap-dependent endonuclease within the polymerase PA subunit of influenza A and B viruses. In clinical trials, single doses of BXM profoundly decrease viral titers as well as alleviating influenza symptoms. Here, we characterize the impact on BXA susceptibility and replicative capacity of variant viruses detected in the post-treatment monitoring of the clinical studies. We find that the PA I38T substitution is a major pathway for reduced susceptibility to BXA, with 30- to 50-fold and 7-fold EC50 changes in A and B viruses, respectively. The viruses harboring the I38T substitution show severely impaired replicative fitness in cells, and correspondingly reduced endonuclease activity in vitro. Co-crystal structures of wild-type and I38T influenza A and B endonucleases bound to BXA show that the mutation reduces van der Waals contacts with the inhibitor. A reduced affinity to the I38T mutant is supported by the lower stability of the BXA-bound endonuclease. These mechanistic insights provide markers for future surveillance of treated populations.","container-title":"Scientific Reports","DOI":"10.1038/s41598-018-27890-4","ISSN":"2045-2322","issue":"1","journalAbbreviation":"Scientific Reports","page":"9633","title":"Characterization of influenza virus variants induced by treatment with the endonuclease inhibitor baloxavir marboxil","volume":"8","author":[{"family":"Omoto","given":"Shinya"},{"family":"Speranzini","given":"Valentina"},{"family":"Hashimoto","given":"Takashi"},{"family":"Noshi","given":"Takeshi"},{"family":"Yamaguchi","given":"Hiroto"},{"family":"Kawai","given":"Makoto"},{"family":"Kawaguchi","given":"Keiko"},{"family":"Uehara","given":"Takeki"},{"family":"Shishido","given":"Takao"},{"family":"Naito","given":"Akira"},{"family":"Cusack","given":"Stephen"}],"issued":{"date-parts":[["2018",6,25]]}}},{"id":69,"uris":["http://zotero.org/users/local/0pdZPGmr/items/HE6N9GNP","http://zotero.org/users/9596130/items/HE6N9GNP"],"itemData":{"id":69,"type":"article-journal","container-title":"Eurosurveillance","issue":"3","note":"type: doi:https://doi.org/10.2807/1560-7917.ES.2019.24.3.1800698","page":"1800698","title":"Detection of influenza A(H3N2) viruses exhibiting reduced susceptibility to the novel cap-dependent endonuclease inhibitor baloxavir in Japan, December 2018","volume":"24","author":[{"family":"Takashita","given":"Emi"},{"family":"Kawakami","given":"Chiharu"},{"family":"Morita","given":"Hiroko"},{"family":"Ogawa","given":"Rie"},{"family":"Fujisaki","given":"Seiichiro"},{"family":"Shirakura","given":"Masayuki"},{"family":"Miura","given":"Hideka"},{"family":"Nakamura","given":"Kazuya"},{"family":"Kishida","given":"Noriko"},{"family":"Kuwahara","given":"Tomoko"},{"family":"Mitamura","given":"Keiko"},{"family":"Abe","given":"Takashi"},{"family":"Ichikawa","given":"Masataka"},{"family":"Yamazaki","given":"Masahiko"},{"family":"Watanabe","given":"Shinji"},{"family":"Odagiri","given":"Takato"},{"family":"Japan","given":"on behalf of the Influenza Virus Surveillance Group","dropping-particle":"of"}],"issued":{"date-parts":[["2019"]]}},"label":"page"},{"id":73,"uris":["http://zotero.org/users/local/0pdZPGmr/items/B739GIVP","http://zotero.org/users/9596130/items/B739GIVP"],"itemData":{"id":73,"type":"article-journal","abstract":"In 2019, influenza A(H3N2) viruses carrying an I38T substitution in the polymerase acidic gene, which confers reduced susceptibility to baloxavir, were detected in Japan in an infant without baloxavir exposure and a baloxavir-treated sibling. These viruses’ whole-genome sequences were identical, indicating human-to-human transmission. Influenza virus isolates should be monitored for baloxavir susceptibility.","container-title":"Emerging Infectious Disease journal","DOI":"10.3201/eid2511.190757","ISSN":"1080-6059","issue":"11","page":"2108","title":"Human-to-Human Transmission of Influenza A(H3N2) Virus with Reduced Susceptibility to Baloxavir, Japan, February 2019","volume":"25","author":[{"family":"Takashita","given":"Emi"},{"family":"Ichikawa","given":"Masataka"},{"family":"Morita","given":"Hiroko"},{"family":"Ogawa","given":"Rie"},{"family":"Fujisaki","given":"Seiichiro"},{"family":"Shirakura","given":"Masayuki"},{"family":"Miura","given":"Hideka"},{"family":"Nakamura","given":"Kazuya"},{"family":"Kishida","given":"Noriko"},{"family":"Kuwahara","given":"Tomoko"},{"family":"Sugawara","given":"Hiromi"},{"family":"Sato","given":"Aya"},{"family":"Akimoto","given":"Miki"},{"family":"Mitamura","given":"Keiko"},{"family":"Abe","given":"Takashi"},{"family":"Yamazaki","given":"Masahiko"},{"family":"Watanabe","given":"Shinji"},{"family":"Hasegawa","given":"Hideki"},{"family":"Odagiri","given":"Takato"}],"issued":{"date-parts":[["2019"]]}}},{"id":14,"uris":["http://zotero.org/users/local/0pdZPGmr/items/Q75YUA7U","http://zotero.org/users/9596130/items/Q75YUA7U"],"itemData":{"id":14,"type":"article-journal","abstract":"Single-dose baloxavir rapidly reduces influenza virus titers and symptoms in patients with uncomplicated influenza, but viruses with reduced in vitro susceptibility due to amino acid substitutions at position 38 of polymerase acidic protein (PA/I38X) sometimes emerge.We evaluated the kinetics, risk factors, and effects on clinical and virologic outcomes of emergence of PA/I38X-substituted viruses.Viruses containing PA/I38X substitutions were identified 3–9 days after baloxavir treatment in 9.7% (36/370) of patients, of whom 85.3% had transient virus titer rises. Median time to sustained cessation of infectious virus detection was 192, 48, and 96 hours in the baloxavir recipients with PA/I38X-substituted viruses, without PA/I38X-substituted viruses, and placebo recipients, respectively. The corresponding median times to alleviation of symptoms were 63.1, 51.0, and 80.2 hours, respectively. After day 5, symptom increases occurred in 11.5%, 8.0%, and 13.0%, respectively, and in 8.9% of oseltamivir recipients. Variant virus emergence was associated with lower baseline neutralizing antibody titers.The emergence of viruses with PA/I38X substitutions following baloxavir treatment was associated with transient rises in infectious virus titers, prolongation of virus detectability, initial delay in symptom alleviation, and uncommonly with symptom rebound. The potential transmissibility of PA/I38X-substituted viruses requires careful study.NCT02954354.","container-title":"The Journal of Infectious Diseases","DOI":"10.1093/infdis/jiz244","ISSN":"0022-1899","issue":"3","journalAbbreviation":"The Journal of Infectious Diseases","page":"346-355","title":"Treatment-Emergent Influenza Variant Viruses With Reduced Baloxavir Susceptibility: Impact on Clinical and Virologic Outcomes in Uncomplicated Influenza","volume":"221","author":[{"family":"Uehara","given":"Takeki"},{"family":"Hayden","given":"Frederick G"},{"family":"Kawaguchi","given":"Keiko"},{"family":"Omoto","given":"Shinya"},{"family":"Hurt","given":"Aeron C"},{"family":"De Jong","given":"Menno D"},{"family":"Hirotsu","given":"Nobuo"},{"family":"Sugaya","given":"Norio"},{"family":"Lee","given":"Nelson"},{"family":"Baba","given":"Keiko"},{"family":"Shishido","given":"Takao"},{"family":"Tsuchiya","given":"Kenji"},{"family":"Portsmouth","given":"Simon"},{"family":"Kida","given":"Hiroshi"}],"issued":{"date-parts":[["2020",1,14]]}}},{"id":68,"uris":["http://zotero.org/users/local/0pdZPGmr/items/TXT9YKUD","http://zotero.org/users/9596130/items/TXT9YKUD"],"itemData":{"id":68,"type":"article-journal","abstract":"Here we report the isolation of the influenza A/H1N1 2009 pandemic (A/H1N1pdm) and A/H3N2 viruses carrying an I38T mutation in the polymerase acidic protein—a mutation that confers reduced susceptibility to baloxavir marboxil—from patients before and after treatment with baloxavir marboxil in Japan. These variants showed replicative abilities and pathogenicity that is similar to those of wild-type isolates in hamsters; they also transmitted efficiently between ferrets by respiratory droplets.","container-title":"Nature Microbiology","DOI":"10.1038/s41564-019-0609-0","ISSN":"2058-5276","issue":"1","journalAbbreviation":"Nature Microbiology","page":"27-33","title":"Influenza A variants with reduced susceptibility to baloxavir isolated from Japanese patients are fit and transmit through respiratory droplets","volume":"5","author":[{"family":"Imai","given":"Masaki"},{"family":"Yamashita","given":"Makoto"},{"family":"Sakai-Tagawa","given":"Yuko"},{"family":"Iwatsuki-Horimoto","given":"Kiyoko"},{"family":"Kiso","given":"Maki"},{"family":"Murakami","given":"Jurika"},{"family":"Yasuhara","given":"Atsuhiro"},{"family":"Takada","given":"Kosuke"},{"family":"Ito","given":"Mutsumi"},{"family":"Nakajima","given":"Noriko"},{"family":"Takahashi","given":"Kenta"},{"family":"Lopes","given":"Tiago J. S."},{"family":"Dutta","given":"Jayeeta"},{"family":"Khan","given":"Zenab"},{"family":"Kriti","given":"Divya"},{"family":"Bakel","given":"Harm","non-dropping-particle":"van"},{"family":"Tokita","given":"Akifumi"},{"family":"Hagiwara","given":"Haruhisa"},{"family":"Izumida","given":"Naomi"},{"family":"Kuroki","given":"Haruo"},{"family":"Nishino","given":"Tamon"},{"family":"Wada","given":"Noriyuki"},{"family":"Koga","given":"Michiko"},{"family":"Adachi","given":"Eisuke"},{"family":"Jubishi","given":"Daisuke"},{"family":"Hasegawa","given":"Hideki"},{"family":"Kawaoka","given":"Yoshihiro"}],"issued":{"date-parts":[["2020",1,1]]}}}],"schema":"https://github.com/citation-style-language/schema/raw/master/csl-citation.json"} </w:instrText>
      </w:r>
      <w:r w:rsidR="005408CB" w:rsidRPr="005247CB">
        <w:rPr>
          <w:lang w:val="en-US"/>
        </w:rPr>
        <w:fldChar w:fldCharType="separate"/>
      </w:r>
      <w:r w:rsidR="006A263E">
        <w:rPr>
          <w:lang w:val="en-US"/>
        </w:rPr>
        <w:t>(Hayden Frederick G. et al., 2018; Omoto et al., 2018; Takashita et al., 2019b, 2019a; Uehara et al., 2020; Imai et al., 2020)</w:t>
      </w:r>
      <w:r w:rsidR="005408CB" w:rsidRPr="005247CB">
        <w:rPr>
          <w:lang w:val="en-US"/>
        </w:rPr>
        <w:fldChar w:fldCharType="end"/>
      </w:r>
      <w:r w:rsidR="0076261D">
        <w:rPr>
          <w:lang w:val="en-US"/>
        </w:rPr>
        <w:t>,</w:t>
      </w:r>
      <w:r w:rsidR="005408CB" w:rsidRPr="005247CB">
        <w:rPr>
          <w:lang w:val="en-US"/>
        </w:rPr>
        <w:t xml:space="preserve"> especially among children</w:t>
      </w:r>
      <w:r w:rsidR="00112C72" w:rsidRPr="005247CB">
        <w:rPr>
          <w:lang w:val="en-US"/>
        </w:rPr>
        <w:t>, albeit at different rates of emergence</w:t>
      </w:r>
      <w:r w:rsidR="0076261D">
        <w:rPr>
          <w:lang w:val="en-US"/>
        </w:rPr>
        <w:t xml:space="preserve"> </w:t>
      </w:r>
      <w:r w:rsidR="005408CB" w:rsidRPr="005247CB">
        <w:rPr>
          <w:lang w:val="en-US"/>
        </w:rPr>
        <w:fldChar w:fldCharType="begin"/>
      </w:r>
      <w:r w:rsidR="006A263E">
        <w:rPr>
          <w:lang w:val="en-US"/>
        </w:rPr>
        <w:instrText xml:space="preserve"> ADDIN ZOTERO_ITEM CSL_CITATION {"citationID":"sPEbezIn","properties":{"formattedCitation":"(Imai et al., 2020; Omoto et al., 2018; Takashita et al., 2019b)","plainCitation":"(Imai et al., 2020; Omoto et al., 2018; Takashita et al., 2019b)","noteIndex":0},"citationItems":[{"id":72,"uris":["http://zotero.org/users/local/0pdZPGmr/items/8JSJ8WJ2","http://zotero.org/users/9596130/items/8JSJ8WJ2"],"itemData":{"id":72,"type":"article-journal","abstract":"Baloxavir acid (BXA), derived from the prodrug baloxavir marboxil (BXM), potently and selectively inhibits the cap-dependent endonuclease within the polymerase PA subunit of influenza A and B viruses. In clinical trials, single doses of BXM profoundly decrease viral titers as well as alleviating influenza symptoms. Here, we characterize the impact on BXA susceptibility and replicative capacity of variant viruses detected in the post-treatment monitoring of the clinical studies. We find that the PA I38T substitution is a major pathway for reduced susceptibility to BXA, with 30- to 50-fold and 7-fold EC50 changes in A and B viruses, respectively. The viruses harboring the I38T substitution show severely impaired replicative fitness in cells, and correspondingly reduced endonuclease activity in vitro. Co-crystal structures of wild-type and I38T influenza A and B endonucleases bound to BXA show that the mutation reduces van der Waals contacts with the inhibitor. A reduced affinity to the I38T mutant is supported by the lower stability of the BXA-bound endonuclease. These mechanistic insights provide markers for future surveillance of treated populations.","container-title":"Scientific Reports","DOI":"10.1038/s41598-018-27890-4","ISSN":"2045-2322","issue":"1","journalAbbreviation":"Scientific Reports","page":"9633","title":"Characterization of influenza virus variants induced by treatment with the endonuclease inhibitor baloxavir marboxil","volume":"8","author":[{"family":"Omoto","given":"Shinya"},{"family":"Speranzini","given":"Valentina"},{"family":"Hashimoto","given":"Takashi"},{"family":"Noshi","given":"Takeshi"},{"family":"Yamaguchi","given":"Hiroto"},{"family":"Kawai","given":"Makoto"},{"family":"Kawaguchi","given":"Keiko"},{"family":"Uehara","given":"Takeki"},{"family":"Shishido","given":"Takao"},{"family":"Naito","given":"Akira"},{"family":"Cusack","given":"Stephen"}],"issued":{"date-parts":[["2018",6,25]]}}},{"id":69,"uris":["http://zotero.org/users/local/0pdZPGmr/items/HE6N9GNP","http://zotero.org/users/9596130/items/HE6N9GNP"],"itemData":{"id":69,"type":"article-journal","container-title":"Eurosurveillance","issue":"3","note":"type: doi:https://doi.org/10.2807/1560-7917.ES.2019.24.3.1800698","page":"1800698","title":"Detection of influenza A(H3N2) viruses exhibiting reduced susceptibility to the novel cap-dependent endonuclease inhibitor baloxavir in Japan, December 2018","volume":"24","author":[{"family":"Takashita","given":"Emi"},{"family":"Kawakami","given":"Chiharu"},{"family":"Morita","given":"Hiroko"},{"family":"Ogawa","given":"Rie"},{"family":"Fujisaki","given":"Seiichiro"},{"family":"Shirakura","given":"Masayuki"},{"family":"Miura","given":"Hideka"},{"family":"Nakamura","given":"Kazuya"},{"family":"Kishida","given":"Noriko"},{"family":"Kuwahara","given":"Tomoko"},{"family":"Mitamura","given":"Keiko"},{"family":"Abe","given":"Takashi"},{"family":"Ichikawa","given":"Masataka"},{"family":"Yamazaki","given":"Masahiko"},{"family":"Watanabe","given":"Shinji"},{"family":"Odagiri","given":"Takato"},{"family":"Japan","given":"on behalf of the Influenza Virus Surveillance Group","dropping-particle":"of"}],"issued":{"date-parts":[["2019"]]}}},{"id":68,"uris":["http://zotero.org/users/local/0pdZPGmr/items/TXT9YKUD","http://zotero.org/users/9596130/items/TXT9YKUD"],"itemData":{"id":68,"type":"article-journal","abstract":"Here we report the isolation of the influenza A/H1N1 2009 pandemic (A/H1N1pdm) and A/H3N2 viruses carrying an I38T mutation in the polymerase acidic protein—a mutation that confers reduced susceptibility to baloxavir marboxil—from patients before and after treatment with baloxavir marboxil in Japan. These variants showed replicative abilities and pathogenicity that is similar to those of wild-type isolates in hamsters; they also transmitted efficiently between ferrets by respiratory droplets.","container-title":"Nature Microbiology","DOI":"10.1038/s41564-019-0609-0","ISSN":"2058-5276","issue":"1","journalAbbreviation":"Nature Microbiology","page":"27-33","title":"Influenza A variants with reduced susceptibility to baloxavir isolated from Japanese patients are fit and transmit through respiratory droplets","volume":"5","author":[{"family":"Imai","given":"Masaki"},{"family":"Yamashita","given":"Makoto"},{"family":"Sakai-Tagawa","given":"Yuko"},{"family":"Iwatsuki-Horimoto","given":"Kiyoko"},{"family":"Kiso","given":"Maki"},{"family":"Murakami","given":"Jurika"},{"family":"Yasuhara","given":"Atsuhiro"},{"family":"Takada","given":"Kosuke"},{"family":"Ito","given":"Mutsumi"},{"family":"Nakajima","given":"Noriko"},{"family":"Takahashi","given":"Kenta"},{"family":"Lopes","given":"Tiago J. S."},{"family":"Dutta","given":"Jayeeta"},{"family":"Khan","given":"Zenab"},{"family":"Kriti","given":"Divya"},{"family":"Bakel","given":"Harm","non-dropping-particle":"van"},{"family":"Tokita","given":"Akifumi"},{"family":"Hagiwara","given":"Haruhisa"},{"family":"Izumida","given":"Naomi"},{"family":"Kuroki","given":"Haruo"},{"family":"Nishino","given":"Tamon"},{"family":"Wada","given":"Noriyuki"},{"family":"Koga","given":"Michiko"},{"family":"Adachi","given":"Eisuke"},{"family":"Jubishi","given":"Daisuke"},{"family":"Hasegawa","given":"Hideki"},{"family":"Kawaoka","given":"Yoshihiro"}],"issued":{"date-parts":[["2020",1,1]]}}}],"schema":"https://github.com/citation-style-language/schema/raw/master/csl-citation.json"} </w:instrText>
      </w:r>
      <w:r w:rsidR="005408CB" w:rsidRPr="005247CB">
        <w:rPr>
          <w:lang w:val="en-US"/>
        </w:rPr>
        <w:fldChar w:fldCharType="separate"/>
      </w:r>
      <w:r w:rsidR="006A263E">
        <w:rPr>
          <w:lang w:val="en-US"/>
        </w:rPr>
        <w:t>(Imai et al., 2020; Omoto et al., 2018; Takashita et al., 2019b)</w:t>
      </w:r>
      <w:r w:rsidR="005408CB" w:rsidRPr="005247CB">
        <w:rPr>
          <w:lang w:val="en-US"/>
        </w:rPr>
        <w:fldChar w:fldCharType="end"/>
      </w:r>
      <w:r w:rsidR="0076261D">
        <w:rPr>
          <w:lang w:val="en-US"/>
        </w:rPr>
        <w:t>,</w:t>
      </w:r>
      <w:r w:rsidR="005408CB" w:rsidRPr="005247CB">
        <w:rPr>
          <w:lang w:val="en-US"/>
        </w:rPr>
        <w:t xml:space="preserve"> </w:t>
      </w:r>
      <w:r w:rsidR="00123FD9" w:rsidRPr="005247CB">
        <w:rPr>
          <w:lang w:val="en-US"/>
        </w:rPr>
        <w:t>which</w:t>
      </w:r>
      <w:r w:rsidR="005408CB" w:rsidRPr="005247CB">
        <w:rPr>
          <w:lang w:val="en-US"/>
        </w:rPr>
        <w:t xml:space="preserve"> </w:t>
      </w:r>
      <w:r w:rsidR="00123FD9" w:rsidRPr="005247CB">
        <w:rPr>
          <w:lang w:val="en-US"/>
        </w:rPr>
        <w:t xml:space="preserve">have been </w:t>
      </w:r>
      <w:r w:rsidR="005408CB" w:rsidRPr="005247CB">
        <w:rPr>
          <w:lang w:val="en-US"/>
        </w:rPr>
        <w:t>shown to be transmissible between ferrets</w:t>
      </w:r>
      <w:r w:rsidR="00044304">
        <w:rPr>
          <w:lang w:val="en-US"/>
        </w:rPr>
        <w:t xml:space="preserve"> </w:t>
      </w:r>
      <w:r w:rsidR="005408CB" w:rsidRPr="005247CB">
        <w:rPr>
          <w:lang w:val="en-US"/>
        </w:rPr>
        <w:fldChar w:fldCharType="begin"/>
      </w:r>
      <w:r w:rsidR="006A263E">
        <w:rPr>
          <w:lang w:val="en-US"/>
        </w:rPr>
        <w:instrText xml:space="preserve"> ADDIN ZOTERO_ITEM CSL_CITATION {"citationID":"ka2DHgee","properties":{"formattedCitation":"(Imai et al., 2020; Jones et al., 2020)","plainCitation":"(Imai et al., 2020; Jones et al., 2020)","noteIndex":0},"citationItems":[{"id":68,"uris":["http://zotero.org/users/local/0pdZPGmr/items/TXT9YKUD","http://zotero.org/users/9596130/items/TXT9YKUD"],"itemData":{"id":68,"type":"article-journal","abstract":"Here we report the isolation of the influenza A/H1N1 2009 pandemic (A/H1N1pdm) and A/H3N2 viruses carrying an I38T mutation in the polymerase acidic protein—a mutation that confers reduced susceptibility to baloxavir marboxil—from patients before and after treatment with baloxavir marboxil in Japan. These variants showed replicative abilities and pathogenicity that is similar to those of wild-type isolates in hamsters; they also transmitted efficiently between ferrets by respiratory droplets.","container-title":"Nature Microbiology","DOI":"10.1038/s41564-019-0609-0","ISSN":"2058-5276","issue":"1","journalAbbreviation":"Nature Microbiology","page":"27-33","title":"Influenza A variants with reduced susceptibility to baloxavir isolated from Japanese patients are fit and transmit through respiratory droplets","volume":"5","author":[{"family":"Imai","given":"Masaki"},{"family":"Yamashita","given":"Makoto"},{"family":"Sakai-Tagawa","given":"Yuko"},{"family":"Iwatsuki-Horimoto","given":"Kiyoko"},{"family":"Kiso","given":"Maki"},{"family":"Murakami","given":"Jurika"},{"family":"Yasuhara","given":"Atsuhiro"},{"family":"Takada","given":"Kosuke"},{"family":"Ito","given":"Mutsumi"},{"family":"Nakajima","given":"Noriko"},{"family":"Takahashi","given":"Kenta"},{"family":"Lopes","given":"Tiago J. S."},{"family":"Dutta","given":"Jayeeta"},{"family":"Khan","given":"Zenab"},{"family":"Kriti","given":"Divya"},{"family":"Bakel","given":"Harm","non-dropping-particle":"van"},{"family":"Tokita","given":"Akifumi"},{"family":"Hagiwara","given":"Haruhisa"},{"family":"Izumida","given":"Naomi"},{"family":"Kuroki","given":"Haruo"},{"family":"Nishino","given":"Tamon"},{"family":"Wada","given":"Noriyuki"},{"family":"Koga","given":"Michiko"},{"family":"Adachi","given":"Eisuke"},{"family":"Jubishi","given":"Daisuke"},{"family":"Hasegawa","given":"Hideki"},{"family":"Kawaoka","given":"Yoshihiro"}],"issued":{"date-parts":[["2020",1,1]]}}},{"id":70,"uris":["http://zotero.org/users/local/0pdZPGmr/items/34MYCWRF","http://zotero.org/users/9596130/items/34MYCWRF"],"itemData":{"id":70,"type":"article-journal","abstract":"The emergence of influenza viruses with reduced susceptibility to baloxavir marboxil (BXM) would limit the clinical utility of this novel antiviral. To assess the risk of such resistance emerging, we evaluated influenza A and B viruses carrying BXM-reduced susceptibility substitutions and compared their fitness to that of their drug-susceptible wild-type (I38-WT) counterparts. The 38T/F/M substitutions inhibited activity of the virus PA protein, and two of them (38T/F) hindered virus replication in cells. Even so, 38T/F/M viruses could transmit between ferrets, the gold-standard model for human transmission. These findings argue that there is a risk of transmission of BXM-resistant viruses from treated individuals. Whether such viruses could compete with WT viruses in spreading through the wider untreated community is less clear. Baloxavir marboxil (BXM) was approved in 2018 for treating influenza A and B virus infections. It is a first-in-class inhibitor targeting the endonuclease activity of the virus polymerase acidic (PA) protein. Clinical trial data revealed that PA amino acid substitutions at residue 38 (I38T/F/M) reduced BXM potency and caused virus rebound in treated patients, although the fitness characteristics of the mutant viruses were not fully defined. To determine the fitness impact of the I38T/F/M substitutions, we generated recombinant A/California/04/2009 (H1N1)pdm09, A/Texas/71/2017 (H3N2), and B/Brisbane/60/2008 viruses with I38T/F/M and examined drug susceptibility in vitro, enzymatic properties, replication efficiency, and transmissibility in ferrets. Influenza viruses with I38T/F/M substitutions exhibited reduced baloxavir susceptibility, with 38T causing the greatest reduction. The I38T/F/M substitutions impaired PA endonuclease activity as compared to that of wild-type (I38-WT) PA. However, only 38T/F A(H3N2) substitutions had a negative effect on polymerase complex activity. The 38T/F substitutions decreased replication in cells among all viruses, whereas 38M had minimal impact. Despite variable fitness consequences in vitro, all 38T/M viruses disseminated to naive ferrets by contact and airborne transmission, while 38F-containing A(H3N2) and B viruses failed to transmit via the airborne route. Reversion of 38T/F/M to I38-WT was rare among influenza A viruses in this study, suggesting stable retention of 38T/F/M genotypes during these transmission events. BXM reduced susceptibility-associated mutations had variable effects on in vitro fitness of influenza A and B viruses, but the ability of these viruses to transmit in vivo indicates a risk of their spreading from BXM-treated individuals.","container-title":"Proceedings of the National Academy of Sciences","DOI":"10.1073/pnas.1916825117","issue":"15","journalAbbreviation":"Proceedings of the National Academy of Sciences","note":"publisher: Proceedings of the National Academy of Sciences","page":"8593-8601","title":"Influenza A and B viruses with reduced baloxavir susceptibility display attenuated in vitro fitness but retain ferret transmissibility","volume":"117","author":[{"family":"Jones","given":"Jeremy C."},{"family":"Pascua","given":"Philippe Noriel Q."},{"family":"Fabrizio","given":"Thomas P."},{"family":"Marathe","given":"Bindumadhav M."},{"family":"Seiler","given":"Patrick"},{"family":"Barman","given":"Subrata"},{"family":"Webby","given":"Richard J."},{"family":"Webster","given":"Robert G."},{"family":"Govorkova","given":"Elena A."}],"issued":{"date-parts":[["2020",4,14]]}}}],"schema":"https://github.com/citation-style-language/schema/raw/master/csl-citation.json"} </w:instrText>
      </w:r>
      <w:r w:rsidR="005408CB" w:rsidRPr="005247CB">
        <w:rPr>
          <w:lang w:val="en-US"/>
        </w:rPr>
        <w:fldChar w:fldCharType="separate"/>
      </w:r>
      <w:r w:rsidR="006A263E">
        <w:rPr>
          <w:lang w:val="en-US"/>
        </w:rPr>
        <w:t>(Imai et al., 2020; Jones et al., 2020)</w:t>
      </w:r>
      <w:r w:rsidR="005408CB" w:rsidRPr="005247CB">
        <w:rPr>
          <w:lang w:val="en-US"/>
        </w:rPr>
        <w:fldChar w:fldCharType="end"/>
      </w:r>
      <w:r w:rsidR="005408CB" w:rsidRPr="005247CB">
        <w:rPr>
          <w:lang w:val="en-US"/>
        </w:rPr>
        <w:t xml:space="preserve"> </w:t>
      </w:r>
      <w:r w:rsidR="00BC4928" w:rsidRPr="005247CB">
        <w:rPr>
          <w:lang w:val="en-US"/>
        </w:rPr>
        <w:t xml:space="preserve">and potentially </w:t>
      </w:r>
      <w:r w:rsidR="004A0C31" w:rsidRPr="005247CB">
        <w:rPr>
          <w:lang w:val="en-US"/>
        </w:rPr>
        <w:t>between</w:t>
      </w:r>
      <w:r w:rsidR="00BC4928" w:rsidRPr="005247CB">
        <w:rPr>
          <w:lang w:val="en-US"/>
        </w:rPr>
        <w:t xml:space="preserve"> humans</w:t>
      </w:r>
      <w:r w:rsidR="0076261D">
        <w:rPr>
          <w:lang w:val="en-US"/>
        </w:rPr>
        <w:t xml:space="preserve"> </w:t>
      </w:r>
      <w:r w:rsidR="005408CB" w:rsidRPr="005247CB">
        <w:rPr>
          <w:lang w:val="en-US"/>
        </w:rPr>
        <w:fldChar w:fldCharType="begin"/>
      </w:r>
      <w:r w:rsidR="006A263E">
        <w:rPr>
          <w:lang w:val="en-US"/>
        </w:rPr>
        <w:instrText xml:space="preserve"> ADDIN ZOTERO_ITEM CSL_CITATION {"citationID":"U0MI9rhV","properties":{"formattedCitation":"(Imai et al., 2020; Takashita et al., 2019a)","plainCitation":"(Imai et al., 2020; Takashita et al., 2019a)","noteIndex":0},"citationItems":[{"id":68,"uris":["http://zotero.org/users/local/0pdZPGmr/items/TXT9YKUD","http://zotero.org/users/9596130/items/TXT9YKUD"],"itemData":{"id":68,"type":"article-journal","abstract":"Here we report the isolation of the influenza A/H1N1 2009 pandemic (A/H1N1pdm) and A/H3N2 viruses carrying an I38T mutation in the polymerase acidic protein—a mutation that confers reduced susceptibility to baloxavir marboxil—from patients before and after treatment with baloxavir marboxil in Japan. These variants showed replicative abilities and pathogenicity that is similar to those of wild-type isolates in hamsters; they also transmitted efficiently between ferrets by respiratory droplets.","container-title":"Nature Microbiology","DOI":"10.1038/s41564-019-0609-0","ISSN":"2058-5276","issue":"1","journalAbbreviation":"Nature Microbiology","page":"27-33","title":"Influenza A variants with reduced susceptibility to baloxavir isolated from Japanese patients are fit and transmit through respiratory droplets","volume":"5","author":[{"family":"Imai","given":"Masaki"},{"family":"Yamashita","given":"Makoto"},{"family":"Sakai-Tagawa","given":"Yuko"},{"family":"Iwatsuki-Horimoto","given":"Kiyoko"},{"family":"Kiso","given":"Maki"},{"family":"Murakami","given":"Jurika"},{"family":"Yasuhara","given":"Atsuhiro"},{"family":"Takada","given":"Kosuke"},{"family":"Ito","given":"Mutsumi"},{"family":"Nakajima","given":"Noriko"},{"family":"Takahashi","given":"Kenta"},{"family":"Lopes","given":"Tiago J. S."},{"family":"Dutta","given":"Jayeeta"},{"family":"Khan","given":"Zenab"},{"family":"Kriti","given":"Divya"},{"family":"Bakel","given":"Harm","non-dropping-particle":"van"},{"family":"Tokita","given":"Akifumi"},{"family":"Hagiwara","given":"Haruhisa"},{"family":"Izumida","given":"Naomi"},{"family":"Kuroki","given":"Haruo"},{"family":"Nishino","given":"Tamon"},{"family":"Wada","given":"Noriyuki"},{"family":"Koga","given":"Michiko"},{"family":"Adachi","given":"Eisuke"},{"family":"Jubishi","given":"Daisuke"},{"family":"Hasegawa","given":"Hideki"},{"family":"Kawaoka","given":"Yoshihiro"}],"issued":{"date-parts":[["2020",1,1]]}}},{"id":73,"uris":["http://zotero.org/users/local/0pdZPGmr/items/B739GIVP","http://zotero.org/users/9596130/items/B739GIVP"],"itemData":{"id":73,"type":"article-journal","abstract":"In 2019, influenza A(H3N2) viruses carrying an I38T substitution in the polymerase acidic gene, which confers reduced susceptibility to baloxavir, were detected in Japan in an infant without baloxavir exposure and a baloxavir-treated sibling. These viruses’ whole-genome sequences were identical, indicating human-to-human transmission. Influenza virus isolates should be monitored for baloxavir susceptibility.","container-title":"Emerging Infectious Disease journal","DOI":"10.3201/eid2511.190757","ISSN":"1080-6059","issue":"11","page":"2108","title":"Human-to-Human Transmission of Influenza A(H3N2) Virus with Reduced Susceptibility to Baloxavir, Japan, February 2019","volume":"25","author":[{"family":"Takashita","given":"Emi"},{"family":"Ichikawa","given":"Masataka"},{"family":"Morita","given":"Hiroko"},{"family":"Ogawa","given":"Rie"},{"family":"Fujisaki","given":"Seiichiro"},{"family":"Shirakura","given":"Masayuki"},{"family":"Miura","given":"Hideka"},{"family":"Nakamura","given":"Kazuya"},{"family":"Kishida","given":"Noriko"},{"family":"Kuwahara","given":"Tomoko"},{"family":"Sugawara","given":"Hiromi"},{"family":"Sato","given":"Aya"},{"family":"Akimoto","given":"Miki"},{"family":"Mitamura","given":"Keiko"},{"family":"Abe","given":"Takashi"},{"family":"Yamazaki","given":"Masahiko"},{"family":"Watanabe","given":"Shinji"},{"family":"Hasegawa","given":"Hideki"},{"family":"Odagiri","given":"Takato"}],"issued":{"date-parts":[["2019"]]}},"label":"page"}],"schema":"https://github.com/citation-style-language/schema/raw/master/csl-citation.json"} </w:instrText>
      </w:r>
      <w:r w:rsidR="005408CB" w:rsidRPr="005247CB">
        <w:rPr>
          <w:lang w:val="en-US"/>
        </w:rPr>
        <w:fldChar w:fldCharType="separate"/>
      </w:r>
      <w:r w:rsidR="006A263E">
        <w:rPr>
          <w:lang w:val="en-US"/>
        </w:rPr>
        <w:t>(Imai et al., 2020; Takashita et al., 2019a)</w:t>
      </w:r>
      <w:r w:rsidR="005408CB" w:rsidRPr="005247CB">
        <w:rPr>
          <w:lang w:val="en-US"/>
        </w:rPr>
        <w:fldChar w:fldCharType="end"/>
      </w:r>
      <w:r w:rsidR="003459C2" w:rsidRPr="005247CB">
        <w:rPr>
          <w:lang w:val="en-US"/>
        </w:rPr>
        <w:t>.</w:t>
      </w:r>
      <w:r w:rsidR="00BC4928" w:rsidRPr="005247CB">
        <w:rPr>
          <w:lang w:val="en-US"/>
        </w:rPr>
        <w:t xml:space="preserve"> </w:t>
      </w:r>
      <w:r w:rsidR="0006296D" w:rsidRPr="005247CB">
        <w:rPr>
          <w:lang w:val="en-US"/>
        </w:rPr>
        <w:t xml:space="preserve">We </w:t>
      </w:r>
      <w:r w:rsidR="00BC4928" w:rsidRPr="005247CB">
        <w:rPr>
          <w:lang w:val="en-US"/>
        </w:rPr>
        <w:t>assess</w:t>
      </w:r>
      <w:r w:rsidR="00AE52E1" w:rsidRPr="005247CB">
        <w:rPr>
          <w:lang w:val="en-US"/>
        </w:rPr>
        <w:t>ed</w:t>
      </w:r>
      <w:r w:rsidR="00BC4928" w:rsidRPr="005247CB">
        <w:rPr>
          <w:lang w:val="en-US"/>
        </w:rPr>
        <w:t xml:space="preserve"> the degree to which</w:t>
      </w:r>
      <w:r w:rsidR="00DC5BF3" w:rsidRPr="005247CB">
        <w:rPr>
          <w:lang w:val="en-US"/>
        </w:rPr>
        <w:t xml:space="preserve"> </w:t>
      </w:r>
      <w:r w:rsidR="005408CB" w:rsidRPr="005247CB">
        <w:rPr>
          <w:lang w:val="en-US"/>
        </w:rPr>
        <w:t xml:space="preserve">widespread transmission of </w:t>
      </w:r>
      <w:r w:rsidR="008868FD" w:rsidRPr="005247CB">
        <w:rPr>
          <w:lang w:val="en-US"/>
        </w:rPr>
        <w:t>resistance</w:t>
      </w:r>
      <w:r w:rsidR="005408CB" w:rsidRPr="005247CB">
        <w:rPr>
          <w:lang w:val="en-US"/>
        </w:rPr>
        <w:t xml:space="preserve"> mutations</w:t>
      </w:r>
      <w:r w:rsidR="00BC4928" w:rsidRPr="005247CB">
        <w:rPr>
          <w:lang w:val="en-US"/>
        </w:rPr>
        <w:t xml:space="preserve"> could</w:t>
      </w:r>
      <w:r w:rsidR="0006296D" w:rsidRPr="005247CB">
        <w:rPr>
          <w:lang w:val="en-US"/>
        </w:rPr>
        <w:t xml:space="preserve"> </w:t>
      </w:r>
      <w:r w:rsidR="00AE52E1" w:rsidRPr="005247CB">
        <w:rPr>
          <w:lang w:val="en-US"/>
        </w:rPr>
        <w:t xml:space="preserve">potentially </w:t>
      </w:r>
      <w:r w:rsidR="00BC4928" w:rsidRPr="005247CB">
        <w:rPr>
          <w:lang w:val="en-US"/>
        </w:rPr>
        <w:t>diminish the impact</w:t>
      </w:r>
      <w:r w:rsidR="00812790" w:rsidRPr="005247CB">
        <w:rPr>
          <w:lang w:val="en-US"/>
        </w:rPr>
        <w:t xml:space="preserve"> and demand</w:t>
      </w:r>
      <w:r w:rsidR="00BC4928" w:rsidRPr="005247CB">
        <w:rPr>
          <w:lang w:val="en-US"/>
        </w:rPr>
        <w:t xml:space="preserve"> of BXM</w:t>
      </w:r>
      <w:r w:rsidR="00D36F98" w:rsidRPr="005247CB">
        <w:rPr>
          <w:lang w:val="en-US"/>
        </w:rPr>
        <w:t>, assuming treatment-emergent resistance prevalence at average levels observed for seasonal A/H1N1pdm09 and A/H3N2</w:t>
      </w:r>
      <w:r w:rsidR="00E01C4E" w:rsidRPr="005247CB">
        <w:rPr>
          <w:lang w:val="en-US"/>
        </w:rPr>
        <w:t xml:space="preserve"> viruse</w:t>
      </w:r>
      <w:r w:rsidR="00651BA2" w:rsidRPr="005247CB">
        <w:rPr>
          <w:lang w:val="en-US"/>
        </w:rPr>
        <w:t>s</w:t>
      </w:r>
      <w:r w:rsidR="00BC4928" w:rsidRPr="005247CB">
        <w:rPr>
          <w:lang w:val="en-US"/>
        </w:rPr>
        <w:t>.</w:t>
      </w:r>
      <w:r w:rsidR="000E42B3" w:rsidRPr="005247CB">
        <w:rPr>
          <w:lang w:val="en-US"/>
        </w:rPr>
        <w:t xml:space="preserve"> </w:t>
      </w:r>
      <w:r w:rsidR="00A736EF" w:rsidRPr="005247CB">
        <w:rPr>
          <w:lang w:val="en-US"/>
        </w:rPr>
        <w:t>U</w:t>
      </w:r>
      <w:r w:rsidR="00222875" w:rsidRPr="005247CB">
        <w:rPr>
          <w:lang w:val="en-US"/>
        </w:rPr>
        <w:t>nder the higher prevalence of treatment-emergent resistance akin to</w:t>
      </w:r>
      <w:r w:rsidR="00C343E9">
        <w:rPr>
          <w:lang w:val="en-US"/>
        </w:rPr>
        <w:t xml:space="preserve"> treatment of</w:t>
      </w:r>
      <w:r w:rsidR="00222875" w:rsidRPr="005247CB">
        <w:rPr>
          <w:lang w:val="en-US"/>
        </w:rPr>
        <w:t xml:space="preserve"> </w:t>
      </w:r>
      <w:r w:rsidR="00222875" w:rsidRPr="005247CB">
        <w:rPr>
          <w:lang w:val="en-US"/>
        </w:rPr>
        <w:lastRenderedPageBreak/>
        <w:t xml:space="preserve">A/H3N2 </w:t>
      </w:r>
      <w:r w:rsidR="00A73275" w:rsidRPr="005247CB">
        <w:rPr>
          <w:lang w:val="en-US"/>
        </w:rPr>
        <w:t>infections</w:t>
      </w:r>
      <w:r w:rsidR="00222875" w:rsidRPr="005247CB">
        <w:rPr>
          <w:lang w:val="en-US"/>
        </w:rPr>
        <w:t xml:space="preserve">, excluding pandemic- and country-level effects, </w:t>
      </w:r>
      <w:r w:rsidR="00085407" w:rsidRPr="005247CB">
        <w:rPr>
          <w:lang w:val="en-US"/>
        </w:rPr>
        <w:t>mean</w:t>
      </w:r>
      <w:r w:rsidR="00222875" w:rsidRPr="005247CB">
        <w:rPr>
          <w:lang w:val="en-US"/>
        </w:rPr>
        <w:t xml:space="preserve"> pandemic deaths averted</w:t>
      </w:r>
      <w:r w:rsidR="00F86BBC" w:rsidRPr="005247CB">
        <w:rPr>
          <w:lang w:val="en-US"/>
        </w:rPr>
        <w:t xml:space="preserve"> by BXM</w:t>
      </w:r>
      <w:r w:rsidR="00222875" w:rsidRPr="005247CB">
        <w:rPr>
          <w:lang w:val="en-US"/>
        </w:rPr>
        <w:t xml:space="preserve"> could potentially decrease by 7.0% (95% HPD = 0.1</w:t>
      </w:r>
      <w:r w:rsidR="004932C0">
        <w:rPr>
          <w:lang w:val="en-US"/>
        </w:rPr>
        <w:t>-</w:t>
      </w:r>
      <w:r w:rsidR="00222875" w:rsidRPr="005247CB">
        <w:rPr>
          <w:lang w:val="en-US"/>
        </w:rPr>
        <w:t>13.4%)</w:t>
      </w:r>
      <w:r w:rsidR="00F86BBC" w:rsidRPr="005247CB">
        <w:rPr>
          <w:lang w:val="en-US"/>
        </w:rPr>
        <w:t xml:space="preserve"> relative to no resistance emergence</w:t>
      </w:r>
      <w:r w:rsidR="00E66F96" w:rsidRPr="005247CB">
        <w:rPr>
          <w:lang w:val="en-US"/>
        </w:rPr>
        <w:t>.</w:t>
      </w:r>
      <w:r w:rsidR="00AC44C6" w:rsidRPr="005247CB">
        <w:rPr>
          <w:lang w:val="en-US"/>
        </w:rPr>
        <w:t xml:space="preserve"> </w:t>
      </w:r>
      <w:r w:rsidR="008B495F" w:rsidRPr="005247CB">
        <w:rPr>
          <w:lang w:val="en-US"/>
        </w:rPr>
        <w:t>P</w:t>
      </w:r>
      <w:r w:rsidR="00AC44C6" w:rsidRPr="005247CB">
        <w:rPr>
          <w:lang w:val="en-US"/>
        </w:rPr>
        <w:t xml:space="preserve">andemics with slower growth rates </w:t>
      </w:r>
      <w:r w:rsidR="00D74F41" w:rsidRPr="005247CB">
        <w:rPr>
          <w:lang w:val="en-US"/>
        </w:rPr>
        <w:t>would</w:t>
      </w:r>
      <w:r w:rsidR="00AC44C6" w:rsidRPr="005247CB">
        <w:rPr>
          <w:lang w:val="en-US"/>
        </w:rPr>
        <w:t xml:space="preserve"> more likely lead to wider </w:t>
      </w:r>
      <w:r w:rsidR="00D74F41" w:rsidRPr="005247CB">
        <w:rPr>
          <w:lang w:val="en-US"/>
        </w:rPr>
        <w:t>resistance</w:t>
      </w:r>
      <w:r w:rsidR="00AC44C6" w:rsidRPr="005247CB">
        <w:rPr>
          <w:lang w:val="en-US"/>
        </w:rPr>
        <w:t xml:space="preserve"> spread, as evidenced by lower total percentage </w:t>
      </w:r>
      <w:r w:rsidR="003E2BC8">
        <w:rPr>
          <w:lang w:val="en-US"/>
        </w:rPr>
        <w:t xml:space="preserve">of </w:t>
      </w:r>
      <w:r w:rsidR="003E2BC8" w:rsidRPr="005247CB">
        <w:rPr>
          <w:lang w:val="en-US"/>
        </w:rPr>
        <w:t xml:space="preserve">mean </w:t>
      </w:r>
      <w:r w:rsidR="00AC44C6" w:rsidRPr="005247CB">
        <w:rPr>
          <w:lang w:val="en-US"/>
        </w:rPr>
        <w:t>pandemic deaths averted (</w:t>
      </w:r>
      <w:r w:rsidR="006C0863" w:rsidRPr="005247CB">
        <w:rPr>
          <w:lang w:val="en-US"/>
        </w:rPr>
        <w:t>Fig. 4</w:t>
      </w:r>
      <w:r w:rsidR="00AC44C6" w:rsidRPr="005247CB">
        <w:rPr>
          <w:lang w:val="en-US"/>
        </w:rPr>
        <w:t xml:space="preserve">). </w:t>
      </w:r>
      <w:r w:rsidR="00222875" w:rsidRPr="005247CB">
        <w:rPr>
          <w:lang w:val="en-US"/>
        </w:rPr>
        <w:t xml:space="preserve">Conversely, resistance spread under A/H1N1pdm09 </w:t>
      </w:r>
      <w:r w:rsidR="00784F2D" w:rsidRPr="005247CB">
        <w:rPr>
          <w:lang w:val="en-US"/>
        </w:rPr>
        <w:t>resistance prevalence</w:t>
      </w:r>
      <w:r w:rsidR="00222875" w:rsidRPr="005247CB">
        <w:rPr>
          <w:lang w:val="en-US"/>
        </w:rPr>
        <w:t xml:space="preserve"> </w:t>
      </w:r>
      <w:r w:rsidR="00DD3827" w:rsidRPr="005247CB">
        <w:rPr>
          <w:lang w:val="en-US"/>
        </w:rPr>
        <w:t>yields</w:t>
      </w:r>
      <w:r w:rsidR="00222875" w:rsidRPr="005247CB">
        <w:rPr>
          <w:lang w:val="en-US"/>
        </w:rPr>
        <w:t xml:space="preserve"> trivial fixed </w:t>
      </w:r>
      <w:r w:rsidR="00D71FD9" w:rsidRPr="005247CB">
        <w:rPr>
          <w:lang w:val="en-US"/>
        </w:rPr>
        <w:t>effect</w:t>
      </w:r>
      <w:r w:rsidR="00C16EE8" w:rsidRPr="005247CB">
        <w:rPr>
          <w:lang w:val="en-US"/>
        </w:rPr>
        <w:t>s</w:t>
      </w:r>
      <w:r w:rsidR="00FC0D57" w:rsidRPr="005247CB">
        <w:rPr>
          <w:lang w:val="en-US"/>
        </w:rPr>
        <w:t xml:space="preserve"> on </w:t>
      </w:r>
      <w:r w:rsidR="00085407" w:rsidRPr="005247CB">
        <w:rPr>
          <w:lang w:val="en-US"/>
        </w:rPr>
        <w:t>mean</w:t>
      </w:r>
      <w:r w:rsidR="00FC0D57" w:rsidRPr="005247CB">
        <w:rPr>
          <w:lang w:val="en-US"/>
        </w:rPr>
        <w:t xml:space="preserve"> pandemic deaths averted</w:t>
      </w:r>
      <w:r w:rsidR="00222875" w:rsidRPr="005247CB">
        <w:rPr>
          <w:lang w:val="en-US"/>
        </w:rPr>
        <w:t xml:space="preserve"> (95% HPD =  -8.6</w:t>
      </w:r>
      <w:r w:rsidR="004932C0">
        <w:rPr>
          <w:lang w:val="en-US"/>
        </w:rPr>
        <w:t>-</w:t>
      </w:r>
      <w:r w:rsidR="00D81625" w:rsidRPr="005247CB">
        <w:rPr>
          <w:lang w:val="en-US"/>
        </w:rPr>
        <w:t>1.5</w:t>
      </w:r>
      <w:r w:rsidR="00222875" w:rsidRPr="005247CB">
        <w:rPr>
          <w:lang w:val="en-US"/>
        </w:rPr>
        <w:t>%)</w:t>
      </w:r>
      <w:r w:rsidR="003F4E93" w:rsidRPr="005247CB">
        <w:rPr>
          <w:lang w:val="en-US"/>
        </w:rPr>
        <w:t xml:space="preserve"> and is instead</w:t>
      </w:r>
      <w:r w:rsidR="00704DA2" w:rsidRPr="005247CB">
        <w:rPr>
          <w:lang w:val="en-US"/>
        </w:rPr>
        <w:t xml:space="preserve"> strongly dependent on the pandemic scenario (</w:t>
      </w:r>
      <w:r w:rsidR="006C0863" w:rsidRPr="005247CB">
        <w:rPr>
          <w:lang w:val="en-US"/>
        </w:rPr>
        <w:t>Fig. 4</w:t>
      </w:r>
      <w:r w:rsidR="00704DA2" w:rsidRPr="005247CB">
        <w:rPr>
          <w:lang w:val="en-US"/>
        </w:rPr>
        <w:t xml:space="preserve">) </w:t>
      </w:r>
      <w:r w:rsidR="003E42A3" w:rsidRPr="005247CB">
        <w:rPr>
          <w:lang w:val="en-US"/>
        </w:rPr>
        <w:t>with generally trivial country-level effects</w:t>
      </w:r>
      <w:r w:rsidR="00E308DF" w:rsidRPr="005247CB">
        <w:rPr>
          <w:lang w:val="en-US"/>
        </w:rPr>
        <w:t xml:space="preserve"> (</w:t>
      </w:r>
      <w:r w:rsidR="007E4DD9">
        <w:rPr>
          <w:lang w:val="en-US"/>
        </w:rPr>
        <w:t>Appendix Fig.</w:t>
      </w:r>
      <w:r w:rsidR="00E308DF" w:rsidRPr="005247CB">
        <w:rPr>
          <w:lang w:val="en-US"/>
        </w:rPr>
        <w:t xml:space="preserve"> </w:t>
      </w:r>
      <w:r w:rsidR="009B6835" w:rsidRPr="005247CB">
        <w:rPr>
          <w:lang w:val="en-US"/>
        </w:rPr>
        <w:t>5</w:t>
      </w:r>
      <w:r w:rsidR="00E308DF" w:rsidRPr="005247CB">
        <w:rPr>
          <w:lang w:val="en-US"/>
        </w:rPr>
        <w:t>)</w:t>
      </w:r>
      <w:r w:rsidR="003E42A3" w:rsidRPr="005247CB">
        <w:rPr>
          <w:lang w:val="en-US"/>
        </w:rPr>
        <w:t xml:space="preserve"> despite the age</w:t>
      </w:r>
      <w:r w:rsidR="00972A0A" w:rsidRPr="005247CB">
        <w:rPr>
          <w:lang w:val="en-US"/>
        </w:rPr>
        <w:t xml:space="preserve"> </w:t>
      </w:r>
      <w:r w:rsidR="003E42A3" w:rsidRPr="005247CB">
        <w:rPr>
          <w:lang w:val="en-US"/>
        </w:rPr>
        <w:t>dependency of resistance emergence rates</w:t>
      </w:r>
      <w:r w:rsidR="00D81625" w:rsidRPr="005247CB">
        <w:rPr>
          <w:lang w:val="en-US"/>
        </w:rPr>
        <w:t>.</w:t>
      </w:r>
      <w:r w:rsidR="00E66F96" w:rsidRPr="005247CB">
        <w:rPr>
          <w:lang w:val="en-US"/>
        </w:rPr>
        <w:t xml:space="preserve"> Assuming that rapid testing does not distinguish between drug-sensitive and -resistant viruses for treatment administration, </w:t>
      </w:r>
      <w:r w:rsidR="00204638" w:rsidRPr="005247CB">
        <w:rPr>
          <w:lang w:val="en-US"/>
        </w:rPr>
        <w:t>c</w:t>
      </w:r>
      <w:r w:rsidR="00E66F96" w:rsidRPr="005247CB">
        <w:rPr>
          <w:lang w:val="en-US"/>
        </w:rPr>
        <w:t xml:space="preserve">hanges in </w:t>
      </w:r>
      <w:r w:rsidR="001B348C" w:rsidRPr="005247CB">
        <w:rPr>
          <w:lang w:val="en-US"/>
        </w:rPr>
        <w:t xml:space="preserve">mean </w:t>
      </w:r>
      <w:r w:rsidR="00E66F96" w:rsidRPr="005247CB">
        <w:rPr>
          <w:lang w:val="en-US"/>
        </w:rPr>
        <w:t xml:space="preserve">BXM treatment demand </w:t>
      </w:r>
      <w:r w:rsidR="00BC15A1">
        <w:rPr>
          <w:lang w:val="en-US"/>
        </w:rPr>
        <w:t xml:space="preserve">are </w:t>
      </w:r>
      <w:r w:rsidR="00E66F96" w:rsidRPr="005247CB">
        <w:rPr>
          <w:lang w:val="en-US"/>
        </w:rPr>
        <w:t>trivial under both treatment-emergent resistance prevalence levels</w:t>
      </w:r>
      <w:r w:rsidR="00BF5BDC" w:rsidRPr="005247CB">
        <w:rPr>
          <w:lang w:val="en-US"/>
        </w:rPr>
        <w:t xml:space="preserve"> (i.e. A/H3N2, 95% HPD = 0.0</w:t>
      </w:r>
      <w:r w:rsidR="004932C0">
        <w:rPr>
          <w:lang w:val="en-US"/>
        </w:rPr>
        <w:t>-</w:t>
      </w:r>
      <w:r w:rsidR="00BF5BDC" w:rsidRPr="005247CB">
        <w:rPr>
          <w:lang w:val="en-US"/>
        </w:rPr>
        <w:t xml:space="preserve">2.0%; A/H1N1pdm09, 95% HPD = </w:t>
      </w:r>
      <w:r w:rsidR="00797BCE" w:rsidRPr="005247CB">
        <w:rPr>
          <w:lang w:val="en-US"/>
        </w:rPr>
        <w:t>-</w:t>
      </w:r>
      <w:r w:rsidR="00BF5BDC" w:rsidRPr="005247CB">
        <w:rPr>
          <w:lang w:val="en-US"/>
        </w:rPr>
        <w:t>0.</w:t>
      </w:r>
      <w:r w:rsidR="00797BCE" w:rsidRPr="005247CB">
        <w:rPr>
          <w:lang w:val="en-US"/>
        </w:rPr>
        <w:t>2</w:t>
      </w:r>
      <w:r w:rsidR="004932C0">
        <w:rPr>
          <w:lang w:val="en-US"/>
        </w:rPr>
        <w:t>-</w:t>
      </w:r>
      <w:r w:rsidR="00797BCE" w:rsidRPr="005247CB">
        <w:rPr>
          <w:lang w:val="en-US"/>
        </w:rPr>
        <w:t>1</w:t>
      </w:r>
      <w:r w:rsidR="00BF5BDC" w:rsidRPr="005247CB">
        <w:rPr>
          <w:lang w:val="en-US"/>
        </w:rPr>
        <w:t>.</w:t>
      </w:r>
      <w:r w:rsidR="00797BCE" w:rsidRPr="005247CB">
        <w:rPr>
          <w:lang w:val="en-US"/>
        </w:rPr>
        <w:t>5</w:t>
      </w:r>
      <w:r w:rsidR="00BF5BDC" w:rsidRPr="005247CB">
        <w:rPr>
          <w:lang w:val="en-US"/>
        </w:rPr>
        <w:t>%)</w:t>
      </w:r>
      <w:r w:rsidR="00E66F96" w:rsidRPr="005247CB">
        <w:rPr>
          <w:lang w:val="en-US"/>
        </w:rPr>
        <w:t>.</w:t>
      </w:r>
    </w:p>
    <w:p w14:paraId="74CC13C1" w14:textId="77777777" w:rsidR="0041773D" w:rsidRPr="005247CB" w:rsidRDefault="0041773D" w:rsidP="001F06ED">
      <w:pPr>
        <w:rPr>
          <w:lang w:val="en-US"/>
        </w:rPr>
      </w:pPr>
    </w:p>
    <w:p w14:paraId="65ACC6AA" w14:textId="4D154E6C" w:rsidR="000F78C4" w:rsidRPr="005247CB" w:rsidRDefault="000F78C4" w:rsidP="003C6F88">
      <w:pPr>
        <w:pStyle w:val="Heading1"/>
      </w:pPr>
      <w:r w:rsidRPr="005247CB">
        <w:t xml:space="preserve">Discussion </w:t>
      </w:r>
    </w:p>
    <w:p w14:paraId="3E5A2F15" w14:textId="38253A50" w:rsidR="00202EB0" w:rsidRPr="005247CB" w:rsidRDefault="006D120D" w:rsidP="00B60886">
      <w:pPr>
        <w:rPr>
          <w:lang w:val="en-US"/>
        </w:rPr>
      </w:pPr>
      <w:r w:rsidRPr="005247CB">
        <w:rPr>
          <w:lang w:val="en-US"/>
        </w:rPr>
        <w:t>To investigate how heterogeneous</w:t>
      </w:r>
      <w:r w:rsidR="00EC2600" w:rsidRPr="005247CB">
        <w:rPr>
          <w:lang w:val="en-US"/>
        </w:rPr>
        <w:t xml:space="preserve"> individual</w:t>
      </w:r>
      <w:r w:rsidRPr="005247CB">
        <w:rPr>
          <w:lang w:val="en-US"/>
        </w:rPr>
        <w:t xml:space="preserve"> </w:t>
      </w:r>
      <w:r w:rsidR="005247CB">
        <w:rPr>
          <w:lang w:val="en-US"/>
        </w:rPr>
        <w:t>behaviour</w:t>
      </w:r>
      <w:r w:rsidR="00EC2600" w:rsidRPr="005247CB">
        <w:rPr>
          <w:lang w:val="en-US"/>
        </w:rPr>
        <w:t xml:space="preserve"> to seeking treatment with antivirals</w:t>
      </w:r>
      <w:r w:rsidR="00662D74">
        <w:rPr>
          <w:lang w:val="en-US"/>
        </w:rPr>
        <w:t xml:space="preserve"> post-infection</w:t>
      </w:r>
      <w:r w:rsidR="00EC2600" w:rsidRPr="005247CB">
        <w:rPr>
          <w:lang w:val="en-US"/>
        </w:rPr>
        <w:t xml:space="preserve"> </w:t>
      </w:r>
      <w:r w:rsidRPr="005247CB">
        <w:rPr>
          <w:lang w:val="en-US"/>
        </w:rPr>
        <w:t>impact</w:t>
      </w:r>
      <w:r w:rsidR="00EC2600" w:rsidRPr="005247CB">
        <w:rPr>
          <w:lang w:val="en-US"/>
        </w:rPr>
        <w:t xml:space="preserve"> influenza virus</w:t>
      </w:r>
      <w:r w:rsidRPr="005247CB">
        <w:rPr>
          <w:lang w:val="en-US"/>
        </w:rPr>
        <w:t xml:space="preserve"> infectiousness and transmission dynamics, we</w:t>
      </w:r>
      <w:r w:rsidR="001F1E7F" w:rsidRPr="005247CB">
        <w:rPr>
          <w:lang w:val="en-US"/>
        </w:rPr>
        <w:t xml:space="preserve"> develop</w:t>
      </w:r>
      <w:r w:rsidRPr="005247CB">
        <w:rPr>
          <w:lang w:val="en-US"/>
        </w:rPr>
        <w:t>ed</w:t>
      </w:r>
      <w:r w:rsidR="00FD6DCE" w:rsidRPr="005247CB">
        <w:rPr>
          <w:lang w:val="en-US"/>
        </w:rPr>
        <w:t xml:space="preserve"> a</w:t>
      </w:r>
      <w:r w:rsidR="00EC2600" w:rsidRPr="005247CB">
        <w:rPr>
          <w:lang w:val="en-US"/>
        </w:rPr>
        <w:t xml:space="preserve"> novel</w:t>
      </w:r>
      <w:r w:rsidR="00055C65" w:rsidRPr="005247CB">
        <w:rPr>
          <w:lang w:val="en-US"/>
        </w:rPr>
        <w:t xml:space="preserve"> </w:t>
      </w:r>
      <w:r w:rsidR="00D67FC4" w:rsidRPr="005247CB">
        <w:rPr>
          <w:lang w:val="en-US"/>
        </w:rPr>
        <w:t>multi</w:t>
      </w:r>
      <w:r w:rsidR="00DD7598" w:rsidRPr="005247CB">
        <w:rPr>
          <w:lang w:val="en-US"/>
        </w:rPr>
        <w:t>-</w:t>
      </w:r>
      <w:r w:rsidR="00D67FC4" w:rsidRPr="005247CB">
        <w:rPr>
          <w:lang w:val="en-US"/>
        </w:rPr>
        <w:t>scale</w:t>
      </w:r>
      <w:r w:rsidR="00EC2600" w:rsidRPr="005247CB">
        <w:rPr>
          <w:lang w:val="en-US"/>
        </w:rPr>
        <w:t xml:space="preserve"> and multi-type</w:t>
      </w:r>
      <w:r w:rsidR="00D67FC4" w:rsidRPr="005247CB">
        <w:rPr>
          <w:lang w:val="en-US"/>
        </w:rPr>
        <w:t xml:space="preserve"> </w:t>
      </w:r>
      <w:r w:rsidR="00BA72C0" w:rsidRPr="005247CB">
        <w:rPr>
          <w:lang w:val="en-US"/>
        </w:rPr>
        <w:t>model</w:t>
      </w:r>
      <w:r w:rsidR="00202EB0" w:rsidRPr="005247CB">
        <w:rPr>
          <w:lang w:val="en-US"/>
        </w:rPr>
        <w:t xml:space="preserve"> </w:t>
      </w:r>
      <w:r w:rsidR="00EC2600" w:rsidRPr="005247CB">
        <w:rPr>
          <w:lang w:val="en-US"/>
        </w:rPr>
        <w:t>that links heterogeneous</w:t>
      </w:r>
      <w:r w:rsidR="00EF2B06" w:rsidRPr="005247CB">
        <w:rPr>
          <w:lang w:val="en-US"/>
        </w:rPr>
        <w:t xml:space="preserve"> within-host infectiousness to </w:t>
      </w:r>
      <w:r w:rsidR="00B831DD" w:rsidRPr="005247CB">
        <w:rPr>
          <w:lang w:val="en-US"/>
        </w:rPr>
        <w:t>between-host</w:t>
      </w:r>
      <w:r w:rsidR="00EF2B06" w:rsidRPr="005247CB">
        <w:rPr>
          <w:lang w:val="en-US"/>
        </w:rPr>
        <w:t xml:space="preserve"> influenza</w:t>
      </w:r>
      <w:r w:rsidR="00B831DD" w:rsidRPr="005247CB">
        <w:rPr>
          <w:lang w:val="en-US"/>
        </w:rPr>
        <w:t xml:space="preserve"> transmission dynamics</w:t>
      </w:r>
      <w:r w:rsidR="00EF2B06" w:rsidRPr="005247CB">
        <w:rPr>
          <w:lang w:val="en-US"/>
        </w:rPr>
        <w:t>.</w:t>
      </w:r>
      <w:r w:rsidR="004D45E8" w:rsidRPr="005247CB">
        <w:rPr>
          <w:lang w:val="en-US"/>
        </w:rPr>
        <w:t xml:space="preserve"> </w:t>
      </w:r>
      <w:r w:rsidR="00EF2B06" w:rsidRPr="005247CB">
        <w:rPr>
          <w:lang w:val="en-US"/>
        </w:rPr>
        <w:t>This is</w:t>
      </w:r>
      <w:r w:rsidR="00793816" w:rsidRPr="005247CB">
        <w:rPr>
          <w:lang w:val="en-US"/>
        </w:rPr>
        <w:t xml:space="preserve"> also</w:t>
      </w:r>
      <w:r w:rsidR="00EF2B06" w:rsidRPr="005247CB">
        <w:rPr>
          <w:lang w:val="en-US"/>
        </w:rPr>
        <w:t xml:space="preserve"> the first study </w:t>
      </w:r>
      <w:r w:rsidR="00EC2600" w:rsidRPr="005247CB">
        <w:rPr>
          <w:lang w:val="en-US"/>
        </w:rPr>
        <w:t>that</w:t>
      </w:r>
      <w:r w:rsidR="00EF2B06" w:rsidRPr="005247CB">
        <w:rPr>
          <w:lang w:val="en-US"/>
        </w:rPr>
        <w:t xml:space="preserve"> incorporate</w:t>
      </w:r>
      <w:r w:rsidR="00EC2600" w:rsidRPr="005247CB">
        <w:rPr>
          <w:lang w:val="en-US"/>
        </w:rPr>
        <w:t xml:space="preserve">s </w:t>
      </w:r>
      <w:r w:rsidR="004D45E8" w:rsidRPr="005247CB">
        <w:rPr>
          <w:lang w:val="en-US"/>
        </w:rPr>
        <w:t xml:space="preserve">recent </w:t>
      </w:r>
      <w:r w:rsidR="00B60899" w:rsidRPr="005247CB">
        <w:rPr>
          <w:lang w:val="en-US"/>
        </w:rPr>
        <w:t>clinical</w:t>
      </w:r>
      <w:r w:rsidR="004D45E8" w:rsidRPr="005247CB">
        <w:rPr>
          <w:lang w:val="en-US"/>
        </w:rPr>
        <w:t xml:space="preserve"> estimates</w:t>
      </w:r>
      <w:r w:rsidR="00B60899" w:rsidRPr="005247CB">
        <w:rPr>
          <w:lang w:val="en-US"/>
        </w:rPr>
        <w:t xml:space="preserve"> of</w:t>
      </w:r>
      <w:r w:rsidR="004D45E8" w:rsidRPr="005247CB">
        <w:rPr>
          <w:lang w:val="en-US"/>
        </w:rPr>
        <w:t xml:space="preserve"> </w:t>
      </w:r>
      <w:r w:rsidR="004A62AD" w:rsidRPr="005247CB">
        <w:rPr>
          <w:lang w:val="en-US"/>
        </w:rPr>
        <w:t xml:space="preserve">transmission risk reduction by </w:t>
      </w:r>
      <w:r w:rsidR="003B2E68" w:rsidRPr="005247CB">
        <w:rPr>
          <w:lang w:val="en-US"/>
        </w:rPr>
        <w:t>antiviral</w:t>
      </w:r>
      <w:r w:rsidR="004D45E8" w:rsidRPr="005247CB">
        <w:rPr>
          <w:lang w:val="en-US"/>
        </w:rPr>
        <w:t xml:space="preserve"> treatment</w:t>
      </w:r>
      <w:r w:rsidR="0076261D">
        <w:rPr>
          <w:lang w:val="en-US"/>
        </w:rPr>
        <w:t xml:space="preserve"> </w:t>
      </w:r>
      <w:r w:rsidR="00B93CA9" w:rsidRPr="005247CB">
        <w:rPr>
          <w:lang w:val="en-US"/>
        </w:rPr>
        <w:fldChar w:fldCharType="begin"/>
      </w:r>
      <w:r w:rsidR="006A263E">
        <w:rPr>
          <w:lang w:val="en-US"/>
        </w:rPr>
        <w:instrText xml:space="preserve"> ADDIN ZOTERO_ITEM CSL_CITATION {"citationID":"a1dd9k8r9ge","properties":{"formattedCitation":"(Monto Arnold S. et al., 2025)","plainCitation":"(Monto Arnold S. et al., 2025)","noteIndex":0},"citationItems":[{"id":288,"uris":["http://zotero.org/users/9596130/items/HVVT3WY6"],"itemData":{"id":288,"type":"article-journal","container-title":"New England Journal of Medicine","DOI":"10.1056/NEJMoa2413156","issue":"16","journalAbbreviation":"New England Journal of Medicine","note":"publisher: Massachusetts Medical Society","page":"1582-1593","title":"Efficacy of Baloxavir Treatment in Preventing Transmission of Influenza","volume":"392","author":[{"literal":"Monto Arnold S."},{"literal":"Kuhlbusch Klaus"},{"literal":"Bernasconi Corrado"},{"literal":"Cao Bin"},{"literal":"Cohen Herman Avner"},{"literal":"Graham Emily"},{"literal":"Hurt Aeron C."},{"literal":"Katugampola Laurie"},{"literal":"Kamezawa Takashi"},{"literal":"Lauring Adam S."},{"literal":"McLean Barry"},{"literal":"Takazono Takahiro"},{"literal":"Widmer Andreas"},{"literal":"Wildum Steffen"},{"literal":"Cowling Benjamin J."}],"issued":{"date-parts":[["2025",4,23]]}}}],"schema":"https://github.com/citation-style-language/schema/raw/master/csl-citation.json"} </w:instrText>
      </w:r>
      <w:r w:rsidR="00B93CA9" w:rsidRPr="005247CB">
        <w:rPr>
          <w:lang w:val="en-US"/>
        </w:rPr>
        <w:fldChar w:fldCharType="separate"/>
      </w:r>
      <w:r w:rsidR="006A263E">
        <w:rPr>
          <w:lang w:val="en-US"/>
        </w:rPr>
        <w:t>(Monto Arnold S. et al., 2025)</w:t>
      </w:r>
      <w:r w:rsidR="00B93CA9" w:rsidRPr="005247CB">
        <w:rPr>
          <w:lang w:val="en-US"/>
        </w:rPr>
        <w:fldChar w:fldCharType="end"/>
      </w:r>
      <w:r w:rsidR="0076261D">
        <w:rPr>
          <w:lang w:val="en-US"/>
        </w:rPr>
        <w:t>.</w:t>
      </w:r>
      <w:r w:rsidR="004D45E8" w:rsidRPr="005247CB">
        <w:rPr>
          <w:lang w:val="en-US"/>
        </w:rPr>
        <w:t xml:space="preserve"> </w:t>
      </w:r>
      <w:r w:rsidR="008B495F" w:rsidRPr="005247CB">
        <w:rPr>
          <w:lang w:val="en-US"/>
        </w:rPr>
        <w:t>W</w:t>
      </w:r>
      <w:r w:rsidR="00170A6A" w:rsidRPr="005247CB">
        <w:rPr>
          <w:lang w:val="en-US"/>
        </w:rPr>
        <w:t xml:space="preserve">e </w:t>
      </w:r>
      <w:r w:rsidR="00B26E61" w:rsidRPr="005247CB">
        <w:rPr>
          <w:lang w:val="en-US"/>
        </w:rPr>
        <w:t>estimate</w:t>
      </w:r>
      <w:r w:rsidR="00B759EB" w:rsidRPr="005247CB">
        <w:rPr>
          <w:lang w:val="en-US"/>
        </w:rPr>
        <w:t>d</w:t>
      </w:r>
      <w:r w:rsidR="00A73B6A" w:rsidRPr="005247CB">
        <w:rPr>
          <w:lang w:val="en-US"/>
        </w:rPr>
        <w:t xml:space="preserve"> </w:t>
      </w:r>
      <w:r w:rsidR="00B26E61" w:rsidRPr="005247CB">
        <w:rPr>
          <w:lang w:val="en-US"/>
        </w:rPr>
        <w:t>the maximum country-specific</w:t>
      </w:r>
      <w:r w:rsidR="00680389" w:rsidRPr="005247CB">
        <w:rPr>
          <w:lang w:val="en-US"/>
        </w:rPr>
        <w:t xml:space="preserve"> influenza antiviral demand</w:t>
      </w:r>
      <w:r w:rsidR="007D4BCA" w:rsidRPr="005247CB">
        <w:rPr>
          <w:lang w:val="en-US"/>
        </w:rPr>
        <w:t xml:space="preserve"> </w:t>
      </w:r>
      <w:r w:rsidR="00ED0841" w:rsidRPr="005247CB">
        <w:rPr>
          <w:lang w:val="en-US"/>
        </w:rPr>
        <w:t>for either BXM or oseltamivir</w:t>
      </w:r>
      <w:r w:rsidR="007D4BCA" w:rsidRPr="005247CB">
        <w:rPr>
          <w:lang w:val="en-US"/>
        </w:rPr>
        <w:t xml:space="preserve"> and their corresponding impact in reducing pandemic deaths</w:t>
      </w:r>
      <w:r w:rsidR="00ED0841" w:rsidRPr="005247CB">
        <w:rPr>
          <w:lang w:val="en-US"/>
        </w:rPr>
        <w:t xml:space="preserve"> during a nascent influenza pandemic</w:t>
      </w:r>
      <w:r w:rsidR="007D4BCA" w:rsidRPr="005247CB">
        <w:rPr>
          <w:lang w:val="en-US"/>
        </w:rPr>
        <w:t xml:space="preserve"> </w:t>
      </w:r>
      <w:r w:rsidR="00680389" w:rsidRPr="005247CB">
        <w:rPr>
          <w:lang w:val="en-US"/>
        </w:rPr>
        <w:t>for 186 countries</w:t>
      </w:r>
      <w:r w:rsidR="003E2C99" w:rsidRPr="005247CB">
        <w:rPr>
          <w:lang w:val="en-US"/>
        </w:rPr>
        <w:t xml:space="preserve"> under </w:t>
      </w:r>
      <w:r w:rsidR="00E65E03">
        <w:rPr>
          <w:lang w:val="en-US"/>
        </w:rPr>
        <w:t xml:space="preserve">the same </w:t>
      </w:r>
      <w:r w:rsidR="003B6CA2" w:rsidRPr="005247CB">
        <w:rPr>
          <w:lang w:val="en-US"/>
        </w:rPr>
        <w:t xml:space="preserve">age-structured </w:t>
      </w:r>
      <w:r w:rsidR="00E65E03">
        <w:rPr>
          <w:lang w:val="en-US"/>
        </w:rPr>
        <w:t xml:space="preserve">transmission </w:t>
      </w:r>
      <w:r w:rsidR="003B6CA2" w:rsidRPr="005247CB">
        <w:rPr>
          <w:lang w:val="en-US"/>
        </w:rPr>
        <w:t>model</w:t>
      </w:r>
      <w:r w:rsidR="00EC58B7" w:rsidRPr="005247CB">
        <w:rPr>
          <w:lang w:val="en-US"/>
        </w:rPr>
        <w:t>, resolving difficulties in either synthesizing or extrapolating findings from previous modeling studies, which</w:t>
      </w:r>
      <w:r w:rsidR="006469AE" w:rsidRPr="005247CB">
        <w:rPr>
          <w:lang w:val="en-US"/>
        </w:rPr>
        <w:t xml:space="preserve"> have </w:t>
      </w:r>
      <w:r w:rsidR="00EC58B7" w:rsidRPr="005247CB">
        <w:rPr>
          <w:lang w:val="en-US"/>
        </w:rPr>
        <w:t>focus</w:t>
      </w:r>
      <w:r w:rsidR="00136086" w:rsidRPr="005247CB">
        <w:rPr>
          <w:lang w:val="en-US"/>
        </w:rPr>
        <w:t>ed</w:t>
      </w:r>
      <w:r w:rsidR="00EC58B7" w:rsidRPr="005247CB">
        <w:rPr>
          <w:lang w:val="en-US"/>
        </w:rPr>
        <w:t xml:space="preserve"> on either one or a handful of countries</w:t>
      </w:r>
      <w:r w:rsidR="000E0678" w:rsidRPr="005247CB">
        <w:rPr>
          <w:lang w:val="en-US"/>
        </w:rPr>
        <w:t xml:space="preserve"> </w:t>
      </w:r>
      <w:r w:rsidR="00822DBE" w:rsidRPr="005247CB">
        <w:rPr>
          <w:lang w:val="en-US"/>
        </w:rPr>
        <w:t>based on</w:t>
      </w:r>
      <w:r w:rsidR="000E0678" w:rsidRPr="005247CB">
        <w:rPr>
          <w:lang w:val="en-US"/>
        </w:rPr>
        <w:t xml:space="preserve"> used</w:t>
      </w:r>
      <w:r w:rsidR="00C21A4B" w:rsidRPr="005247CB">
        <w:rPr>
          <w:lang w:val="en-US"/>
        </w:rPr>
        <w:t xml:space="preserve"> </w:t>
      </w:r>
      <w:r w:rsidR="004D45E8" w:rsidRPr="005247CB">
        <w:rPr>
          <w:lang w:val="en-US"/>
        </w:rPr>
        <w:t>outdated</w:t>
      </w:r>
      <w:r w:rsidR="00DA1147" w:rsidRPr="005247CB">
        <w:rPr>
          <w:lang w:val="en-US"/>
        </w:rPr>
        <w:t xml:space="preserve"> </w:t>
      </w:r>
      <w:r w:rsidR="004D45E8" w:rsidRPr="005247CB">
        <w:rPr>
          <w:lang w:val="en-US"/>
        </w:rPr>
        <w:t>assumptions</w:t>
      </w:r>
      <w:r w:rsidR="00EC58B7" w:rsidRPr="005247CB">
        <w:rPr>
          <w:lang w:val="en-US"/>
        </w:rPr>
        <w:t>, to inform</w:t>
      </w:r>
      <w:r w:rsidR="00D82658" w:rsidRPr="005247CB">
        <w:rPr>
          <w:lang w:val="en-US"/>
        </w:rPr>
        <w:t xml:space="preserve"> potential</w:t>
      </w:r>
      <w:r w:rsidR="00885284" w:rsidRPr="005247CB">
        <w:rPr>
          <w:lang w:val="en-US"/>
        </w:rPr>
        <w:t xml:space="preserve"> influenza</w:t>
      </w:r>
      <w:r w:rsidR="00EC58B7" w:rsidRPr="005247CB">
        <w:rPr>
          <w:lang w:val="en-US"/>
        </w:rPr>
        <w:t xml:space="preserve"> antiviral stockpiling options</w:t>
      </w:r>
      <w:r w:rsidR="00DF2D2F" w:rsidRPr="005247CB">
        <w:rPr>
          <w:lang w:val="en-US"/>
        </w:rPr>
        <w:t xml:space="preserve"> </w:t>
      </w:r>
      <w:r w:rsidR="00DB6213" w:rsidRPr="005247CB">
        <w:rPr>
          <w:lang w:val="en-US"/>
        </w:rPr>
        <w:t xml:space="preserve">that fit </w:t>
      </w:r>
      <w:r w:rsidR="009275A4" w:rsidRPr="005247CB">
        <w:rPr>
          <w:lang w:val="en-US"/>
        </w:rPr>
        <w:t>country-specific</w:t>
      </w:r>
      <w:r w:rsidR="00DB6213" w:rsidRPr="005247CB">
        <w:rPr>
          <w:lang w:val="en-US"/>
        </w:rPr>
        <w:t xml:space="preserve"> needs</w:t>
      </w:r>
      <w:r w:rsidR="00EC58B7" w:rsidRPr="005247CB">
        <w:rPr>
          <w:lang w:val="en-US"/>
        </w:rPr>
        <w:t xml:space="preserve">. </w:t>
      </w:r>
    </w:p>
    <w:p w14:paraId="1680E143" w14:textId="180D4543" w:rsidR="009A666A" w:rsidRPr="005247CB" w:rsidRDefault="00390D9E" w:rsidP="00B60886">
      <w:pPr>
        <w:rPr>
          <w:lang w:val="en-US"/>
        </w:rPr>
      </w:pPr>
      <w:r w:rsidRPr="005247CB">
        <w:rPr>
          <w:lang w:val="en-US"/>
        </w:rPr>
        <w:t>Regardless of the antiviral drug</w:t>
      </w:r>
      <w:r w:rsidR="00DF35F8" w:rsidRPr="005247CB">
        <w:rPr>
          <w:lang w:val="en-US"/>
        </w:rPr>
        <w:t>,</w:t>
      </w:r>
      <w:r w:rsidRPr="005247CB">
        <w:rPr>
          <w:lang w:val="en-US"/>
        </w:rPr>
        <w:t xml:space="preserve"> </w:t>
      </w:r>
      <w:r w:rsidR="00947B24" w:rsidRPr="005247CB">
        <w:rPr>
          <w:lang w:val="en-US"/>
        </w:rPr>
        <w:t>treatment-only</w:t>
      </w:r>
      <w:r w:rsidR="007E0F4F" w:rsidRPr="005247CB">
        <w:rPr>
          <w:lang w:val="en-US"/>
        </w:rPr>
        <w:t xml:space="preserve"> </w:t>
      </w:r>
      <w:r w:rsidR="00947B24" w:rsidRPr="005247CB">
        <w:rPr>
          <w:lang w:val="en-US"/>
        </w:rPr>
        <w:t>antiviral demand maximally</w:t>
      </w:r>
      <w:r w:rsidRPr="005247CB">
        <w:rPr>
          <w:lang w:val="en-US"/>
        </w:rPr>
        <w:t xml:space="preserve"> amounts to 20</w:t>
      </w:r>
      <w:r w:rsidR="004932C0">
        <w:rPr>
          <w:lang w:val="en-US"/>
        </w:rPr>
        <w:t>-</w:t>
      </w:r>
      <w:r w:rsidRPr="005247CB">
        <w:rPr>
          <w:lang w:val="en-US"/>
        </w:rPr>
        <w:t>40% per-capita,</w:t>
      </w:r>
      <w:r w:rsidR="00FB5845" w:rsidRPr="005247CB">
        <w:rPr>
          <w:lang w:val="en-US"/>
        </w:rPr>
        <w:t xml:space="preserve"> with lower income countries needing more antiviral drugs,</w:t>
      </w:r>
      <w:r w:rsidR="00272106" w:rsidRPr="005247CB">
        <w:rPr>
          <w:lang w:val="en-US"/>
        </w:rPr>
        <w:t xml:space="preserve"> and</w:t>
      </w:r>
      <w:r w:rsidRPr="005247CB">
        <w:rPr>
          <w:lang w:val="en-US"/>
        </w:rPr>
        <w:t xml:space="preserve"> </w:t>
      </w:r>
      <w:r w:rsidR="00EB3EE7" w:rsidRPr="005247CB">
        <w:rPr>
          <w:lang w:val="en-US"/>
        </w:rPr>
        <w:t>can avert</w:t>
      </w:r>
      <w:r w:rsidRPr="005247CB">
        <w:rPr>
          <w:lang w:val="en-US"/>
        </w:rPr>
        <w:t xml:space="preserve"> </w:t>
      </w:r>
      <w:r w:rsidR="00EB3EE7" w:rsidRPr="005247CB">
        <w:rPr>
          <w:lang w:val="en-US"/>
        </w:rPr>
        <w:t>&gt;</w:t>
      </w:r>
      <w:r w:rsidRPr="005247CB">
        <w:rPr>
          <w:lang w:val="en-US"/>
        </w:rPr>
        <w:t>20% of expected pandemic deaths</w:t>
      </w:r>
      <w:r w:rsidR="008A45C9" w:rsidRPr="005247CB">
        <w:rPr>
          <w:lang w:val="en-US"/>
        </w:rPr>
        <w:t xml:space="preserve"> during the first </w:t>
      </w:r>
      <w:r w:rsidR="00932F11" w:rsidRPr="005247CB">
        <w:rPr>
          <w:lang w:val="en-US"/>
        </w:rPr>
        <w:t xml:space="preserve">epidemic </w:t>
      </w:r>
      <w:r w:rsidR="008A45C9" w:rsidRPr="005247CB">
        <w:rPr>
          <w:lang w:val="en-US"/>
        </w:rPr>
        <w:t>wave of a nascent influenza pandemic</w:t>
      </w:r>
      <w:r w:rsidRPr="005247CB">
        <w:rPr>
          <w:lang w:val="en-US"/>
        </w:rPr>
        <w:t>.</w:t>
      </w:r>
      <w:r w:rsidR="00947B24" w:rsidRPr="005247CB">
        <w:rPr>
          <w:lang w:val="en-US"/>
        </w:rPr>
        <w:t xml:space="preserve"> </w:t>
      </w:r>
      <w:r w:rsidR="0095317D" w:rsidRPr="005247CB">
        <w:rPr>
          <w:lang w:val="en-US"/>
        </w:rPr>
        <w:t xml:space="preserve">Because of its demonstrated benefits in reducing transmission, </w:t>
      </w:r>
      <w:r w:rsidR="000827BE" w:rsidRPr="005247CB">
        <w:rPr>
          <w:lang w:val="en-US"/>
        </w:rPr>
        <w:t>BXM is</w:t>
      </w:r>
      <w:r w:rsidR="003476FB" w:rsidRPr="005247CB">
        <w:rPr>
          <w:lang w:val="en-US"/>
        </w:rPr>
        <w:t xml:space="preserve"> the more effective</w:t>
      </w:r>
      <w:r w:rsidR="003243D0" w:rsidRPr="005247CB">
        <w:rPr>
          <w:lang w:val="en-US"/>
        </w:rPr>
        <w:t xml:space="preserve"> and </w:t>
      </w:r>
      <w:r w:rsidR="00F00AD1" w:rsidRPr="005247CB">
        <w:rPr>
          <w:lang w:val="en-US"/>
        </w:rPr>
        <w:t xml:space="preserve">treatment </w:t>
      </w:r>
      <w:r w:rsidR="00C53DAA" w:rsidRPr="005247CB">
        <w:rPr>
          <w:lang w:val="en-US"/>
        </w:rPr>
        <w:t>course-</w:t>
      </w:r>
      <w:r w:rsidR="003243D0" w:rsidRPr="005247CB">
        <w:rPr>
          <w:lang w:val="en-US"/>
        </w:rPr>
        <w:t xml:space="preserve">efficient </w:t>
      </w:r>
      <w:r w:rsidR="003476FB" w:rsidRPr="005247CB">
        <w:rPr>
          <w:lang w:val="en-US"/>
        </w:rPr>
        <w:t xml:space="preserve">antiviral </w:t>
      </w:r>
      <w:r w:rsidR="00BF4161" w:rsidRPr="005247CB">
        <w:rPr>
          <w:lang w:val="en-US"/>
        </w:rPr>
        <w:t>drug as BXM distribution</w:t>
      </w:r>
      <w:r w:rsidR="00BD1FEF">
        <w:rPr>
          <w:lang w:val="en-US"/>
        </w:rPr>
        <w:t xml:space="preserve"> </w:t>
      </w:r>
      <w:r w:rsidR="00BF4161" w:rsidRPr="005247CB">
        <w:rPr>
          <w:lang w:val="en-US"/>
        </w:rPr>
        <w:t>double</w:t>
      </w:r>
      <w:r w:rsidR="00E73A6B">
        <w:rPr>
          <w:lang w:val="en-US"/>
        </w:rPr>
        <w:t>s</w:t>
      </w:r>
      <w:r w:rsidR="00BF4161" w:rsidRPr="005247CB">
        <w:rPr>
          <w:lang w:val="en-US"/>
        </w:rPr>
        <w:t xml:space="preserve"> the reduction in pandemic deaths relative to oseltamivir</w:t>
      </w:r>
      <w:r w:rsidR="004E0DAF" w:rsidRPr="005247CB">
        <w:rPr>
          <w:lang w:val="en-US"/>
        </w:rPr>
        <w:t xml:space="preserve">, </w:t>
      </w:r>
      <w:r w:rsidR="00614762" w:rsidRPr="005247CB">
        <w:rPr>
          <w:lang w:val="en-US"/>
        </w:rPr>
        <w:t>with the potential to</w:t>
      </w:r>
      <w:r w:rsidR="00FF699B">
        <w:rPr>
          <w:lang w:val="en-US"/>
        </w:rPr>
        <w:t xml:space="preserve"> maximally</w:t>
      </w:r>
      <w:r w:rsidR="001B443B" w:rsidRPr="005247CB">
        <w:rPr>
          <w:lang w:val="en-US"/>
        </w:rPr>
        <w:t xml:space="preserve"> </w:t>
      </w:r>
      <w:r w:rsidR="00245519" w:rsidRPr="005247CB">
        <w:rPr>
          <w:lang w:val="en-US"/>
        </w:rPr>
        <w:t>avert</w:t>
      </w:r>
      <w:r w:rsidR="001B443B" w:rsidRPr="005247CB">
        <w:rPr>
          <w:lang w:val="en-US"/>
        </w:rPr>
        <w:t xml:space="preserve"> </w:t>
      </w:r>
      <w:r w:rsidR="001B443B" w:rsidRPr="005247CB">
        <w:rPr>
          <w:lang w:val="en-US"/>
        </w:rPr>
        <w:lastRenderedPageBreak/>
        <w:t>37</w:t>
      </w:r>
      <w:r w:rsidR="004932C0">
        <w:rPr>
          <w:lang w:val="en-US"/>
        </w:rPr>
        <w:t>-</w:t>
      </w:r>
      <w:r w:rsidR="001B443B" w:rsidRPr="005247CB">
        <w:rPr>
          <w:lang w:val="en-US"/>
        </w:rPr>
        <w:t>68%</w:t>
      </w:r>
      <w:r w:rsidR="00FF0E13" w:rsidRPr="005247CB">
        <w:rPr>
          <w:lang w:val="en-US"/>
        </w:rPr>
        <w:t xml:space="preserve"> of </w:t>
      </w:r>
      <w:r w:rsidR="00085407" w:rsidRPr="005247CB">
        <w:rPr>
          <w:lang w:val="en-US"/>
        </w:rPr>
        <w:t xml:space="preserve">mean </w:t>
      </w:r>
      <w:r w:rsidR="00FF0E13" w:rsidRPr="005247CB">
        <w:rPr>
          <w:lang w:val="en-US"/>
        </w:rPr>
        <w:t>pandemic deaths</w:t>
      </w:r>
      <w:r w:rsidR="004E0DAF" w:rsidRPr="005247CB">
        <w:rPr>
          <w:lang w:val="en-US"/>
        </w:rPr>
        <w:t>,</w:t>
      </w:r>
      <w:r w:rsidR="00BF4161" w:rsidRPr="005247CB">
        <w:rPr>
          <w:lang w:val="en-US"/>
        </w:rPr>
        <w:t xml:space="preserve"> while requiring ~5</w:t>
      </w:r>
      <w:r w:rsidR="004932C0">
        <w:rPr>
          <w:lang w:val="en-US"/>
        </w:rPr>
        <w:t>-</w:t>
      </w:r>
      <w:r w:rsidR="00BF4161" w:rsidRPr="005247CB">
        <w:rPr>
          <w:lang w:val="en-US"/>
        </w:rPr>
        <w:t>10% less courses</w:t>
      </w:r>
      <w:r w:rsidR="00A1016E" w:rsidRPr="005247CB">
        <w:rPr>
          <w:lang w:val="en-US"/>
        </w:rPr>
        <w:t xml:space="preserve"> of drugs</w:t>
      </w:r>
      <w:r w:rsidR="00BF4161" w:rsidRPr="005247CB">
        <w:rPr>
          <w:lang w:val="en-US"/>
        </w:rPr>
        <w:t>.</w:t>
      </w:r>
      <w:r w:rsidR="00366227" w:rsidRPr="005247CB">
        <w:rPr>
          <w:lang w:val="en-US"/>
        </w:rPr>
        <w:t xml:space="preserve"> </w:t>
      </w:r>
      <w:r w:rsidR="009E7386" w:rsidRPr="005247CB">
        <w:rPr>
          <w:lang w:val="en-US"/>
        </w:rPr>
        <w:t>However</w:t>
      </w:r>
      <w:r w:rsidR="009A666A" w:rsidRPr="005247CB">
        <w:rPr>
          <w:lang w:val="en-US"/>
        </w:rPr>
        <w:t xml:space="preserve">, </w:t>
      </w:r>
      <w:r w:rsidR="009A666A" w:rsidRPr="005247CB">
        <w:t>due to existing patent</w:t>
      </w:r>
      <w:r w:rsidR="009E7386" w:rsidRPr="005247CB">
        <w:t xml:space="preserve"> and </w:t>
      </w:r>
      <w:r w:rsidR="002F3AFD" w:rsidRPr="005247CB">
        <w:t>cost</w:t>
      </w:r>
      <w:r w:rsidR="009A666A" w:rsidRPr="005247CB">
        <w:t xml:space="preserve"> constraints</w:t>
      </w:r>
      <w:r w:rsidR="002F3AFD" w:rsidRPr="005247CB">
        <w:t xml:space="preserve"> on BXM</w:t>
      </w:r>
      <w:r w:rsidR="009A666A" w:rsidRPr="005247CB">
        <w:t xml:space="preserve">, </w:t>
      </w:r>
      <w:r w:rsidR="002F3AFD" w:rsidRPr="005247CB">
        <w:t>oseltamivir</w:t>
      </w:r>
      <w:r w:rsidR="009C1B1B">
        <w:t xml:space="preserve"> will</w:t>
      </w:r>
      <w:r w:rsidR="002F3AFD" w:rsidRPr="005247CB">
        <w:t xml:space="preserve"> remain</w:t>
      </w:r>
      <w:r w:rsidR="009C1B1B">
        <w:t xml:space="preserve"> a</w:t>
      </w:r>
      <w:r w:rsidR="0016276C">
        <w:t>s</w:t>
      </w:r>
      <w:r w:rsidR="002F3AFD" w:rsidRPr="005247CB">
        <w:t xml:space="preserve"> the more accessible option for lower income countries</w:t>
      </w:r>
      <w:r w:rsidR="009A666A" w:rsidRPr="005247CB">
        <w:t>.</w:t>
      </w:r>
      <w:r w:rsidR="00044F27" w:rsidRPr="005247CB">
        <w:t xml:space="preserve"> </w:t>
      </w:r>
      <w:r w:rsidR="002F3AFD" w:rsidRPr="005247CB">
        <w:t>Unless global health actors, in particular high-income countries, muster the political will to address the many challenges underlying global health inequity</w:t>
      </w:r>
      <w:r w:rsidR="0076261D">
        <w:t xml:space="preserve"> </w:t>
      </w:r>
      <w:r w:rsidR="009A666A" w:rsidRPr="005247CB">
        <w:fldChar w:fldCharType="begin"/>
      </w:r>
      <w:r w:rsidR="006A263E">
        <w:instrText xml:space="preserve"> ADDIN ZOTERO_ITEM CSL_CITATION {"citationID":"a15obqmrrpu","properties":{"formattedCitation":"(Lavery et al., 2023; Pai et al., 2024)","plainCitation":"(Lavery et al., 2023; Pai et al., 2024)","noteIndex":0},"citationItems":[{"id":220,"uris":["http://zotero.org/users/local/0pdZPGmr/items/LXS8BYPP","http://zotero.org/users/9596130/items/LXS8BYPP"],"itemData":{"id":220,"type":"article-journal","abstract":"Ethical analysis should encompass upstream decisions and their downstream consequences Equity is a central tenet of global health, a recognition of the profound health disparities between the world?s rich and poor. But the meaning assigned to equity is often figurative or metaphorical: a call to action, a framing for advocacy. The proliferation of equity rhetoric does not appear to be matched by corresponding rates of progress in reducing global disparities. If unaddressed, inequities can undermine public trust in and support for science. Failure to achieve anything close to equitable global distribution of COVID-19 vaccines provides a case in point. Simply measuring the ultimate outcomes of vaccine distribution is not sufficient. Upstream decisions that create downstream distributive outcomes, and the complex interests and policies that lie behind them, deserve greater ethical scrutiny. Empirically driven analysis of the entire ?equity-deficit cascade? is essential for equity to gain the attention and currency it deserves?beyond its metaphorical value.","container-title":"Science","DOI":"10.1126/science.add5912","issue":"6644","journalAbbreviation":"Science","note":"publisher: American Association for the Advancement of Science","page":"460-462","title":"Cascading failures in COVID-19 vaccine equity","volume":"380","author":[{"family":"Lavery","given":"James V."},{"family":"Porter","given":"Rachael M."},{"family":"Addiss","given":"David G."}],"issued":{"date-parts":[["2023",5,5]]}}},{"id":224,"uris":["http://zotero.org/users/local/0pdZPGmr/items/QDE34T82","http://zotero.org/users/9596130/items/QDE34T82"],"itemData":{"id":224,"type":"article-journal","container-title":"The Lancet","DOI":"10.1016/S0140-6736(24)02323-7","ISSN":"0140-6736","issue":"10464","note":"publisher: Elsevier","page":"1711-1713","title":"Shifting power in global health will require leadership by the Global South and allyship by the Global North","volume":"404","author":[{"family":"Pai","given":"Madhukar"},{"family":"Bandara","given":"Shashika"},{"family":"Kyobutungi","given":"Catherine"}],"issued":{"date-parts":[["2024",11,2]]}}}],"schema":"https://github.com/citation-style-language/schema/raw/master/csl-citation.json"} </w:instrText>
      </w:r>
      <w:r w:rsidR="009A666A" w:rsidRPr="005247CB">
        <w:fldChar w:fldCharType="separate"/>
      </w:r>
      <w:r w:rsidR="006A263E">
        <w:rPr>
          <w:lang w:val="en-US"/>
        </w:rPr>
        <w:t>(Lavery et al., 2023; Pai et al., 2024)</w:t>
      </w:r>
      <w:r w:rsidR="009A666A" w:rsidRPr="005247CB">
        <w:fldChar w:fldCharType="end"/>
      </w:r>
      <w:r w:rsidR="0076261D">
        <w:t>,</w:t>
      </w:r>
      <w:r w:rsidR="002F3AFD" w:rsidRPr="005247CB">
        <w:t xml:space="preserve"> cooperation between regional states could present opportunities to increase affordable access to BXM, alongside other pandemic medicines and vaccines, before the next influenza pandemic through pooled procurement mechanisms and/or technology transfer agreements</w:t>
      </w:r>
      <w:r w:rsidR="00941C1D">
        <w:t xml:space="preserve"> </w:t>
      </w:r>
      <w:r w:rsidR="002F3AFD" w:rsidRPr="005247CB">
        <w:fldChar w:fldCharType="begin"/>
      </w:r>
      <w:r w:rsidR="006A263E">
        <w:instrText xml:space="preserve"> ADDIN ZOTERO_ITEM CSL_CITATION {"citationID":"ao9c6r3aai","properties":{"formattedCitation":"(Rahman-Shepherd et al., 2025)","plainCitation":"(Rahman-Shepherd et al., 2025)","noteIndex":0},"citationItems":[{"id":222,"uris":["http://zotero.org/users/local/0pdZPGmr/items/K6HNBRI8","http://zotero.org/users/9596130/items/K6HNBRI8"],"itemData":{"id":222,"type":"article-journal","container-title":"The Lancet Global Health","DOI":"10.1016/S2214-109X(24)00500-X","ISSN":"2214-109X","issue":"3","note":"publisher: Elsevier","page":"e585-e592","title":"Establishing the value of regional cooperation and a critical role for regional organisations in managing future health emergencies","volume":"13","author":[{"family":"Rahman-Shepherd","given":"Afifah"},{"family":"Aghogho Evaborhene","given":"Nelson"},{"family":"Berman","given":"Ayelet"},{"family":"Amaya","given":"Ana B"},{"family":"Boro","given":"Ezekiel"},{"family":"Dar","given":"Osman"},{"family":"Ho","given":"Zheng Jie Marc"},{"family":"Jung","given":"Anne-Sophie"},{"family":"Khan","given":"Mishal"},{"family":"Mohamed-Ahmed","given":"Olaa"},{"family":"Oyebanji","given":"Oyeronke"},{"family":"Pangestu","given":"Tikki Elka"},{"family":"Rashid","given":"Sabina Faiz"},{"family":"Razavi","given":"Ahmed"},{"family":"Riggirozzi","given":"Pía"},{"family":"Legido-Quigley","given":"Helena"},{"family":"Hsu","given":"Li Yang"}],"issued":{"date-parts":[["2025",3,1]]}}}],"schema":"https://github.com/citation-style-language/schema/raw/master/csl-citation.json"} </w:instrText>
      </w:r>
      <w:r w:rsidR="002F3AFD" w:rsidRPr="005247CB">
        <w:fldChar w:fldCharType="separate"/>
      </w:r>
      <w:r w:rsidR="006A263E">
        <w:rPr>
          <w:lang w:val="en-US"/>
        </w:rPr>
        <w:t>(Rahman-Shepherd et al., 2025)</w:t>
      </w:r>
      <w:r w:rsidR="002F3AFD" w:rsidRPr="005247CB">
        <w:fldChar w:fldCharType="end"/>
      </w:r>
      <w:r w:rsidR="00941C1D">
        <w:t>.</w:t>
      </w:r>
      <w:r w:rsidR="00044F27" w:rsidRPr="005247CB">
        <w:t xml:space="preserve"> </w:t>
      </w:r>
      <w:r w:rsidR="00B85B31" w:rsidRPr="005247CB">
        <w:t xml:space="preserve">Nonetheless, </w:t>
      </w:r>
      <w:r w:rsidR="00B85B31" w:rsidRPr="005247CB">
        <w:rPr>
          <w:lang w:val="en-US"/>
        </w:rPr>
        <w:t xml:space="preserve">procuring enough antivirals </w:t>
      </w:r>
      <w:r w:rsidR="003A6BE4" w:rsidRPr="005247CB">
        <w:rPr>
          <w:lang w:val="en-US"/>
        </w:rPr>
        <w:t>to</w:t>
      </w:r>
      <w:r w:rsidR="00B85B31" w:rsidRPr="005247CB">
        <w:rPr>
          <w:lang w:val="en-US"/>
        </w:rPr>
        <w:t xml:space="preserve"> sufficiently meet demand </w:t>
      </w:r>
      <w:r w:rsidR="004904DA">
        <w:rPr>
          <w:lang w:val="en-US"/>
        </w:rPr>
        <w:t>does</w:t>
      </w:r>
      <w:r w:rsidR="00B85B31" w:rsidRPr="005247CB">
        <w:rPr>
          <w:lang w:val="en-US"/>
        </w:rPr>
        <w:t xml:space="preserve"> not necessarily confer the aforementioned impact estimates unless similar investments are made to public health infrastructure to ensure prompt drug distribution across a country upon pandemic initiation, with enough testing resources to identify most symptomatic individuals shortly after infection.</w:t>
      </w:r>
      <w:r w:rsidR="009A666A" w:rsidRPr="005247CB">
        <w:rPr>
          <w:lang w:val="en-US"/>
        </w:rPr>
        <w:t xml:space="preserve"> </w:t>
      </w:r>
    </w:p>
    <w:p w14:paraId="5C1C1410" w14:textId="365EEF6E" w:rsidR="001A4308" w:rsidRPr="005247CB" w:rsidRDefault="00F224C8" w:rsidP="00B60886">
      <w:pPr>
        <w:rPr>
          <w:lang w:val="en-US"/>
        </w:rPr>
      </w:pPr>
      <w:r w:rsidRPr="005247CB">
        <w:rPr>
          <w:lang w:val="en-US"/>
        </w:rPr>
        <w:t xml:space="preserve">Under limited availability, age-based rationing of BXM </w:t>
      </w:r>
      <w:r w:rsidR="006F76D0" w:rsidRPr="005247CB">
        <w:rPr>
          <w:lang w:val="en-US"/>
        </w:rPr>
        <w:t>while</w:t>
      </w:r>
      <w:r w:rsidR="000D5607" w:rsidRPr="005247CB">
        <w:rPr>
          <w:lang w:val="en-US"/>
        </w:rPr>
        <w:t xml:space="preserve"> providing oseltamivir to the rest</w:t>
      </w:r>
      <w:r w:rsidRPr="005247CB">
        <w:rPr>
          <w:lang w:val="en-US"/>
        </w:rPr>
        <w:t xml:space="preserve"> of the population </w:t>
      </w:r>
      <w:r w:rsidR="006F2065" w:rsidRPr="005247CB">
        <w:rPr>
          <w:lang w:val="en-US"/>
        </w:rPr>
        <w:t>can substantially</w:t>
      </w:r>
      <w:r w:rsidRPr="005247CB">
        <w:rPr>
          <w:lang w:val="en-US"/>
        </w:rPr>
        <w:t xml:space="preserve"> lower </w:t>
      </w:r>
      <w:r w:rsidR="00461373" w:rsidRPr="005247CB">
        <w:rPr>
          <w:lang w:val="en-US"/>
        </w:rPr>
        <w:t>BXM demand</w:t>
      </w:r>
      <w:r w:rsidR="00137862" w:rsidRPr="005247CB">
        <w:rPr>
          <w:lang w:val="en-US"/>
        </w:rPr>
        <w:t xml:space="preserve"> </w:t>
      </w:r>
      <w:r w:rsidRPr="005247CB">
        <w:rPr>
          <w:lang w:val="en-US"/>
        </w:rPr>
        <w:t xml:space="preserve">even though total antiviral courses needed will likely </w:t>
      </w:r>
      <w:r w:rsidR="000E1FD8" w:rsidRPr="005247CB">
        <w:rPr>
          <w:lang w:val="en-US"/>
        </w:rPr>
        <w:t>remain</w:t>
      </w:r>
      <w:r w:rsidR="006F2065" w:rsidRPr="005247CB">
        <w:rPr>
          <w:lang w:val="en-US"/>
        </w:rPr>
        <w:t xml:space="preserve"> unchanged</w:t>
      </w:r>
      <w:r w:rsidR="006F76D0" w:rsidRPr="005247CB">
        <w:rPr>
          <w:lang w:val="en-US"/>
        </w:rPr>
        <w:t>.</w:t>
      </w:r>
      <w:r w:rsidRPr="005247CB">
        <w:rPr>
          <w:lang w:val="en-US"/>
        </w:rPr>
        <w:t xml:space="preserve"> </w:t>
      </w:r>
      <w:r w:rsidR="000E1FD8" w:rsidRPr="005247CB">
        <w:rPr>
          <w:lang w:val="en-US"/>
        </w:rPr>
        <w:t>Rationing for individuals with</w:t>
      </w:r>
      <w:r w:rsidRPr="005247CB">
        <w:rPr>
          <w:lang w:val="en-US"/>
        </w:rPr>
        <w:t xml:space="preserve"> greater risk of mortality</w:t>
      </w:r>
      <w:r w:rsidR="00617034" w:rsidRPr="005247CB">
        <w:rPr>
          <w:lang w:val="en-US"/>
        </w:rPr>
        <w:t xml:space="preserve"> (i.e. the elderly) </w:t>
      </w:r>
      <w:r w:rsidRPr="005247CB">
        <w:rPr>
          <w:lang w:val="en-US"/>
        </w:rPr>
        <w:t>or those with greater mobility</w:t>
      </w:r>
      <w:r w:rsidR="000E1FD8" w:rsidRPr="005247CB">
        <w:rPr>
          <w:lang w:val="en-US"/>
        </w:rPr>
        <w:t xml:space="preserve">, </w:t>
      </w:r>
      <w:r w:rsidRPr="005247CB">
        <w:rPr>
          <w:lang w:val="en-US"/>
        </w:rPr>
        <w:t>and thus more likely to spread the virus</w:t>
      </w:r>
      <w:r w:rsidR="00617034" w:rsidRPr="005247CB">
        <w:rPr>
          <w:lang w:val="en-US"/>
        </w:rPr>
        <w:t xml:space="preserve"> (i.e. young individuals)</w:t>
      </w:r>
      <w:r w:rsidR="000E1FD8" w:rsidRPr="005247CB">
        <w:rPr>
          <w:lang w:val="en-US"/>
        </w:rPr>
        <w:t>,</w:t>
      </w:r>
      <w:r w:rsidR="00617034" w:rsidRPr="005247CB">
        <w:rPr>
          <w:lang w:val="en-US"/>
        </w:rPr>
        <w:t xml:space="preserve"> </w:t>
      </w:r>
      <w:r w:rsidRPr="005247CB">
        <w:rPr>
          <w:lang w:val="en-US"/>
        </w:rPr>
        <w:t>would</w:t>
      </w:r>
      <w:r w:rsidR="00617034" w:rsidRPr="005247CB">
        <w:rPr>
          <w:lang w:val="en-US"/>
        </w:rPr>
        <w:t xml:space="preserve"> both</w:t>
      </w:r>
      <w:r w:rsidRPr="005247CB">
        <w:rPr>
          <w:lang w:val="en-US"/>
        </w:rPr>
        <w:t xml:space="preserve"> lead to more pandemic deaths, the magnitude of which </w:t>
      </w:r>
      <w:r w:rsidR="00617034" w:rsidRPr="005247CB">
        <w:rPr>
          <w:lang w:val="en-US"/>
        </w:rPr>
        <w:t>depends on the</w:t>
      </w:r>
      <w:r w:rsidRPr="005247CB">
        <w:rPr>
          <w:lang w:val="en-US"/>
        </w:rPr>
        <w:t xml:space="preserve"> pandemic scenario. However, rationing BXM for the elderly </w:t>
      </w:r>
      <w:r w:rsidR="00617034" w:rsidRPr="005247CB">
        <w:rPr>
          <w:lang w:val="en-US"/>
        </w:rPr>
        <w:t>could</w:t>
      </w:r>
      <w:r w:rsidRPr="005247CB">
        <w:rPr>
          <w:lang w:val="en-US"/>
        </w:rPr>
        <w:t xml:space="preserve"> lead to </w:t>
      </w:r>
      <w:r w:rsidR="006F2065" w:rsidRPr="005247CB">
        <w:rPr>
          <w:lang w:val="en-US"/>
        </w:rPr>
        <w:t>far</w:t>
      </w:r>
      <w:r w:rsidRPr="005247CB">
        <w:rPr>
          <w:lang w:val="en-US"/>
        </w:rPr>
        <w:t xml:space="preserve"> greater reduction in BXM demand by &gt;90%. C</w:t>
      </w:r>
      <w:r w:rsidR="001A4308" w:rsidRPr="005247CB">
        <w:rPr>
          <w:lang w:val="en-US"/>
        </w:rPr>
        <w:t>ost-effectiveness analys</w:t>
      </w:r>
      <w:r w:rsidRPr="005247CB">
        <w:rPr>
          <w:lang w:val="en-US"/>
        </w:rPr>
        <w:t>e</w:t>
      </w:r>
      <w:r w:rsidR="001A4308" w:rsidRPr="005247CB">
        <w:rPr>
          <w:lang w:val="en-US"/>
        </w:rPr>
        <w:t xml:space="preserve">s </w:t>
      </w:r>
      <w:r w:rsidRPr="005247CB">
        <w:rPr>
          <w:lang w:val="en-US"/>
        </w:rPr>
        <w:t xml:space="preserve">should </w:t>
      </w:r>
      <w:r w:rsidR="001A4308" w:rsidRPr="005247CB">
        <w:rPr>
          <w:lang w:val="en-US"/>
        </w:rPr>
        <w:t xml:space="preserve">be performed to </w:t>
      </w:r>
      <w:r w:rsidRPr="005247CB">
        <w:rPr>
          <w:lang w:val="en-US"/>
        </w:rPr>
        <w:t>determine the appropriateness</w:t>
      </w:r>
      <w:r w:rsidR="001A4308" w:rsidRPr="005247CB">
        <w:rPr>
          <w:lang w:val="en-US"/>
        </w:rPr>
        <w:t xml:space="preserve"> </w:t>
      </w:r>
      <w:r w:rsidR="00617034" w:rsidRPr="005247CB">
        <w:rPr>
          <w:lang w:val="en-US"/>
        </w:rPr>
        <w:t xml:space="preserve">of </w:t>
      </w:r>
      <w:r w:rsidR="001A4308" w:rsidRPr="005247CB">
        <w:rPr>
          <w:lang w:val="en-US"/>
        </w:rPr>
        <w:t xml:space="preserve">age-based rationing </w:t>
      </w:r>
      <w:r w:rsidRPr="005247CB">
        <w:rPr>
          <w:lang w:val="en-US"/>
        </w:rPr>
        <w:t xml:space="preserve">under different pandemic scenarios and </w:t>
      </w:r>
      <w:r w:rsidR="006F2065" w:rsidRPr="005247CB">
        <w:rPr>
          <w:lang w:val="en-US"/>
        </w:rPr>
        <w:t xml:space="preserve">country-specific </w:t>
      </w:r>
      <w:r w:rsidRPr="005247CB">
        <w:rPr>
          <w:lang w:val="en-US"/>
        </w:rPr>
        <w:t>drug pric</w:t>
      </w:r>
      <w:r w:rsidR="006F2065" w:rsidRPr="005247CB">
        <w:rPr>
          <w:lang w:val="en-US"/>
        </w:rPr>
        <w:t xml:space="preserve">es </w:t>
      </w:r>
      <w:r w:rsidR="001A4308" w:rsidRPr="005247CB">
        <w:rPr>
          <w:lang w:val="en-US"/>
        </w:rPr>
        <w:t xml:space="preserve">but </w:t>
      </w:r>
      <w:r w:rsidR="000E1FD8" w:rsidRPr="005247CB">
        <w:rPr>
          <w:lang w:val="en-US"/>
        </w:rPr>
        <w:t>are</w:t>
      </w:r>
      <w:r w:rsidR="001A4308" w:rsidRPr="005247CB">
        <w:rPr>
          <w:lang w:val="en-US"/>
        </w:rPr>
        <w:t xml:space="preserve"> beyond the scope of this work.</w:t>
      </w:r>
    </w:p>
    <w:p w14:paraId="0B6E767D" w14:textId="68695CF4" w:rsidR="009A666A" w:rsidRPr="005247CB" w:rsidRDefault="00FF5641" w:rsidP="00680846">
      <w:pPr>
        <w:rPr>
          <w:lang w:val="en-US"/>
        </w:rPr>
      </w:pPr>
      <w:r w:rsidRPr="005247CB">
        <w:rPr>
          <w:lang w:val="en-US"/>
        </w:rPr>
        <w:t xml:space="preserve">Besides treatment, providing antivirals as PEP to exposed contacts could confer additional benefits in reducing disease burden. </w:t>
      </w:r>
      <w:r w:rsidR="00D874D2" w:rsidRPr="005247CB">
        <w:rPr>
          <w:lang w:val="en-US"/>
        </w:rPr>
        <w:t>Household members of index patients are potentially easier contact tracing targets for PEP distribution</w:t>
      </w:r>
      <w:r w:rsidRPr="005247CB">
        <w:rPr>
          <w:lang w:val="en-US"/>
        </w:rPr>
        <w:t xml:space="preserve"> and a</w:t>
      </w:r>
      <w:r w:rsidR="00DB799D" w:rsidRPr="005247CB">
        <w:rPr>
          <w:lang w:val="en-US"/>
        </w:rPr>
        <w:t xml:space="preserve"> recent modelling study</w:t>
      </w:r>
      <w:r w:rsidR="003B6028" w:rsidRPr="005247CB">
        <w:rPr>
          <w:lang w:val="en-US"/>
        </w:rPr>
        <w:t xml:space="preserve"> found</w:t>
      </w:r>
      <w:r w:rsidR="00D874D2" w:rsidRPr="005247CB">
        <w:rPr>
          <w:lang w:val="en-US"/>
        </w:rPr>
        <w:t xml:space="preserve"> that combining</w:t>
      </w:r>
      <w:r w:rsidRPr="005247CB">
        <w:rPr>
          <w:lang w:val="en-US"/>
        </w:rPr>
        <w:t xml:space="preserve"> treatment of the index patient and PEP for exposed household members could yield </w:t>
      </w:r>
      <w:r w:rsidR="003B6028" w:rsidRPr="005247CB">
        <w:rPr>
          <w:lang w:val="en-US"/>
        </w:rPr>
        <w:t>considerable</w:t>
      </w:r>
      <w:r w:rsidR="004D3D94" w:rsidRPr="005247CB">
        <w:rPr>
          <w:lang w:val="en-US"/>
        </w:rPr>
        <w:t xml:space="preserve"> reduction in</w:t>
      </w:r>
      <w:r w:rsidR="00E421DF" w:rsidRPr="005247CB">
        <w:rPr>
          <w:lang w:val="en-US"/>
        </w:rPr>
        <w:t xml:space="preserve"> burden </w:t>
      </w:r>
      <w:r w:rsidRPr="005247CB">
        <w:rPr>
          <w:lang w:val="en-US"/>
        </w:rPr>
        <w:t xml:space="preserve">within </w:t>
      </w:r>
      <w:r w:rsidR="004D3D94" w:rsidRPr="005247CB">
        <w:rPr>
          <w:lang w:val="en-US"/>
        </w:rPr>
        <w:t>individual</w:t>
      </w:r>
      <w:r w:rsidRPr="005247CB">
        <w:rPr>
          <w:lang w:val="en-US"/>
        </w:rPr>
        <w:t xml:space="preserve"> household</w:t>
      </w:r>
      <w:r w:rsidR="004D3D94" w:rsidRPr="005247CB">
        <w:rPr>
          <w:lang w:val="en-US"/>
        </w:rPr>
        <w:t>s</w:t>
      </w:r>
      <w:r w:rsidR="006C5FE6">
        <w:rPr>
          <w:lang w:val="en-US"/>
        </w:rPr>
        <w:t xml:space="preserve"> </w:t>
      </w:r>
      <w:r w:rsidR="00E421DF" w:rsidRPr="005247CB">
        <w:rPr>
          <w:lang w:val="en-US"/>
        </w:rPr>
        <w:fldChar w:fldCharType="begin"/>
      </w:r>
      <w:r w:rsidR="006A263E">
        <w:rPr>
          <w:lang w:val="en-US"/>
        </w:rPr>
        <w:instrText xml:space="preserve"> ADDIN ZOTERO_ITEM CSL_CITATION {"citationID":"amich50v2s","properties":{"formattedCitation":"(Zaaraoui et al., 2024)","plainCitation":"(Zaaraoui et al., 2024)","noteIndex":0},"citationItems":[{"id":198,"uris":["http://zotero.org/users/local/0pdZPGmr/items/Q5INLANI","http://zotero.org/users/9596130/items/Q5INLANI"],"itemData":{"id":198,"type":"article-journal","abstract":"Author summary  Why was this study done?   The attack rate of acute respiratory viruses is particularly high in households. Antiviral treatments can be strategically used to break transmission chains and reduce virus burden, however their use is limited by the difficulty to understand the factors that determine their effectiveness.   Two distinct antiviral strategies, either treating the index individual upon diagnosis, or treating all household members upon index diagnosis, can be evaluated in terms of their reduction of viral infections and virological burden in the household.     What did we do and find?   We developed a theoretical framework to determine the impact of antiviral treatment in households, integrating the complex interplay between viral load dynamics, antiviral treatment initiation with respect to symptom onset and peak viral load, secondary attack rate and household size.   All strategies reduce the number of infections by more than 50% when antiviral treatment can be be administered before symptom onset of the index case, but not after.   Treatment initiated after symptom onset are effective in reducing the virological burden in household, in particular when both index cases and household contacts are treated and peak viral load occurs after symptom onset.   The effectiveness of antiviral treatment strategies is larger for SAR ranging between 20 and 80%, and increases with the size of the household.     What do these findings mean?   Our work offers a theoretical framework to anticipate the effectiveness of antiviral strategies in households. It can be used to optimize prescription strategies aiming to prevent viral transmission and reduce disease burden in households.","container-title":"PLOS Computational Biology","DOI":"10.1371/journal.pcbi.1012573","issue":"12","journalAbbreviation":"PLOS Computational Biology","note":"publisher: Public Library of Science","page":"e1012573","title":"Modelling the effectiveness of antiviral treatment strategies to prevent household transmission of acute respiratory viruses","volume":"20","author":[{"family":"Zaaraoui","given":"Hind"},{"family":"Schumer","given":"Clarisse"},{"family":"Duval","given":"Xavier"},{"family":"Hoen","given":"Bruno"},{"family":"Opatowski","given":"Lulla"},{"family":"Guedj","given":"Jérémie"}],"issued":{"date-parts":[["2024",12,5]]}}}],"schema":"https://github.com/citation-style-language/schema/raw/master/csl-citation.json"} </w:instrText>
      </w:r>
      <w:r w:rsidR="00E421DF" w:rsidRPr="005247CB">
        <w:rPr>
          <w:lang w:val="en-US"/>
        </w:rPr>
        <w:fldChar w:fldCharType="separate"/>
      </w:r>
      <w:r w:rsidR="006A263E">
        <w:rPr>
          <w:lang w:val="en-US"/>
        </w:rPr>
        <w:t>(Zaaraoui et al., 2024)</w:t>
      </w:r>
      <w:r w:rsidR="00E421DF" w:rsidRPr="005247CB">
        <w:rPr>
          <w:lang w:val="en-US"/>
        </w:rPr>
        <w:fldChar w:fldCharType="end"/>
      </w:r>
      <w:r w:rsidR="006C5FE6">
        <w:rPr>
          <w:lang w:val="en-US"/>
        </w:rPr>
        <w:t>.</w:t>
      </w:r>
      <w:r w:rsidR="00E421DF" w:rsidRPr="005247CB">
        <w:rPr>
          <w:lang w:val="en-US"/>
        </w:rPr>
        <w:t xml:space="preserve"> </w:t>
      </w:r>
      <w:r w:rsidR="004D3D94" w:rsidRPr="005247CB">
        <w:rPr>
          <w:lang w:val="en-US"/>
        </w:rPr>
        <w:t>However, given the heightened risk of infection during a pandemic across the population,</w:t>
      </w:r>
      <w:r w:rsidR="008C2B5D" w:rsidRPr="005247CB">
        <w:rPr>
          <w:lang w:val="en-US"/>
        </w:rPr>
        <w:t xml:space="preserve"> independent of country-level effects,</w:t>
      </w:r>
      <w:r w:rsidR="004D3D94" w:rsidRPr="005247CB">
        <w:rPr>
          <w:lang w:val="en-US"/>
        </w:rPr>
        <w:t xml:space="preserve"> distributing </w:t>
      </w:r>
      <w:r w:rsidR="00B91202" w:rsidRPr="005247CB">
        <w:rPr>
          <w:lang w:val="en-US"/>
        </w:rPr>
        <w:t>BXM</w:t>
      </w:r>
      <w:r w:rsidR="00680846" w:rsidRPr="005247CB">
        <w:rPr>
          <w:lang w:val="en-US"/>
        </w:rPr>
        <w:t xml:space="preserve"> to household contacts </w:t>
      </w:r>
      <w:r w:rsidR="00B91202" w:rsidRPr="005247CB">
        <w:rPr>
          <w:lang w:val="en-US"/>
        </w:rPr>
        <w:t>would only lead to modest population-level</w:t>
      </w:r>
      <w:r w:rsidR="00680846" w:rsidRPr="005247CB">
        <w:rPr>
          <w:lang w:val="en-US"/>
        </w:rPr>
        <w:t xml:space="preserve"> </w:t>
      </w:r>
      <w:r w:rsidR="007B523A" w:rsidRPr="005247CB">
        <w:rPr>
          <w:lang w:val="en-US"/>
        </w:rPr>
        <w:t>increase</w:t>
      </w:r>
      <w:r w:rsidR="00B91202" w:rsidRPr="005247CB">
        <w:rPr>
          <w:lang w:val="en-US"/>
        </w:rPr>
        <w:t xml:space="preserve"> in</w:t>
      </w:r>
      <w:r w:rsidR="007B523A" w:rsidRPr="005247CB">
        <w:rPr>
          <w:lang w:val="en-US"/>
        </w:rPr>
        <w:t xml:space="preserve"> </w:t>
      </w:r>
      <w:r w:rsidR="00085407" w:rsidRPr="005247CB">
        <w:rPr>
          <w:lang w:val="en-US"/>
        </w:rPr>
        <w:t>mean</w:t>
      </w:r>
      <w:r w:rsidR="007B523A" w:rsidRPr="005247CB">
        <w:rPr>
          <w:lang w:val="en-US"/>
        </w:rPr>
        <w:t xml:space="preserve"> pandemic deaths averted by ~5%</w:t>
      </w:r>
      <w:r w:rsidR="00680846" w:rsidRPr="005247CB">
        <w:rPr>
          <w:lang w:val="en-US"/>
        </w:rPr>
        <w:t xml:space="preserve"> </w:t>
      </w:r>
      <w:r w:rsidR="00B91202" w:rsidRPr="005247CB">
        <w:rPr>
          <w:lang w:val="en-US"/>
        </w:rPr>
        <w:t>while increasing</w:t>
      </w:r>
      <w:r w:rsidR="00382B5E" w:rsidRPr="005247CB">
        <w:rPr>
          <w:lang w:val="en-US"/>
        </w:rPr>
        <w:t xml:space="preserve"> </w:t>
      </w:r>
      <w:r w:rsidR="00085407" w:rsidRPr="005247CB">
        <w:rPr>
          <w:lang w:val="en-US"/>
        </w:rPr>
        <w:t>mean</w:t>
      </w:r>
      <w:r w:rsidR="00B91202" w:rsidRPr="005247CB">
        <w:rPr>
          <w:lang w:val="en-US"/>
        </w:rPr>
        <w:t xml:space="preserve"> BXM demand by </w:t>
      </w:r>
      <w:r w:rsidR="0066719D" w:rsidRPr="005247CB">
        <w:rPr>
          <w:lang w:val="en-US"/>
        </w:rPr>
        <w:t>&gt;</w:t>
      </w:r>
      <w:r w:rsidR="00B91202" w:rsidRPr="005247CB">
        <w:rPr>
          <w:lang w:val="en-US"/>
        </w:rPr>
        <w:t>3</w:t>
      </w:r>
      <w:r w:rsidR="0066719D" w:rsidRPr="005247CB">
        <w:rPr>
          <w:lang w:val="en-US"/>
        </w:rPr>
        <w:t>0</w:t>
      </w:r>
      <w:r w:rsidR="00B91202" w:rsidRPr="005247CB">
        <w:rPr>
          <w:lang w:val="en-US"/>
        </w:rPr>
        <w:t>%.</w:t>
      </w:r>
      <w:r w:rsidR="008C2B5D" w:rsidRPr="005247CB">
        <w:rPr>
          <w:lang w:val="en-US"/>
        </w:rPr>
        <w:t xml:space="preserve"> PEP would only additionally reduce disease burden </w:t>
      </w:r>
      <w:r w:rsidR="002E64B5" w:rsidRPr="005247CB">
        <w:rPr>
          <w:lang w:val="en-US"/>
        </w:rPr>
        <w:t xml:space="preserve">in settings where the </w:t>
      </w:r>
      <w:r w:rsidR="00085407" w:rsidRPr="005247CB">
        <w:rPr>
          <w:lang w:val="en-US"/>
        </w:rPr>
        <w:t>mean</w:t>
      </w:r>
      <w:r w:rsidR="002E64B5" w:rsidRPr="005247CB">
        <w:rPr>
          <w:lang w:val="en-US"/>
        </w:rPr>
        <w:t xml:space="preserve"> household size is </w:t>
      </w:r>
      <w:r w:rsidR="002E64B5" w:rsidRPr="005247CB">
        <w:t>≥4</w:t>
      </w:r>
      <w:r w:rsidR="008C2B5D" w:rsidRPr="005247CB">
        <w:rPr>
          <w:lang w:val="en-US"/>
        </w:rPr>
        <w:t>.</w:t>
      </w:r>
      <w:r w:rsidR="00B91202" w:rsidRPr="005247CB">
        <w:rPr>
          <w:lang w:val="en-US"/>
        </w:rPr>
        <w:t xml:space="preserve"> </w:t>
      </w:r>
      <w:r w:rsidR="00C743E9" w:rsidRPr="005247CB">
        <w:rPr>
          <w:lang w:val="en-US"/>
        </w:rPr>
        <w:t>U</w:t>
      </w:r>
      <w:r w:rsidR="00896ECB" w:rsidRPr="005247CB">
        <w:rPr>
          <w:lang w:val="en-US"/>
        </w:rPr>
        <w:t>nder limited drug availability</w:t>
      </w:r>
      <w:r w:rsidR="00C743E9" w:rsidRPr="005247CB">
        <w:rPr>
          <w:lang w:val="en-US"/>
        </w:rPr>
        <w:t xml:space="preserve"> and/or below </w:t>
      </w:r>
      <w:r w:rsidR="00C743E9" w:rsidRPr="005247CB">
        <w:rPr>
          <w:lang w:val="en-US"/>
        </w:rPr>
        <w:lastRenderedPageBreak/>
        <w:t xml:space="preserve">the </w:t>
      </w:r>
      <w:r w:rsidR="00085407" w:rsidRPr="005247CB">
        <w:rPr>
          <w:lang w:val="en-US"/>
        </w:rPr>
        <w:t>mean</w:t>
      </w:r>
      <w:r w:rsidR="00C743E9" w:rsidRPr="005247CB">
        <w:rPr>
          <w:lang w:val="en-US"/>
        </w:rPr>
        <w:t xml:space="preserve"> household size</w:t>
      </w:r>
      <w:r w:rsidR="00CF4B7D" w:rsidRPr="005247CB">
        <w:rPr>
          <w:lang w:val="en-US"/>
        </w:rPr>
        <w:t xml:space="preserve"> of four</w:t>
      </w:r>
      <w:r w:rsidR="00896ECB" w:rsidRPr="005247CB">
        <w:rPr>
          <w:lang w:val="en-US"/>
        </w:rPr>
        <w:t>,</w:t>
      </w:r>
      <w:r w:rsidR="00A95F5D" w:rsidRPr="005247CB">
        <w:rPr>
          <w:lang w:val="en-US"/>
        </w:rPr>
        <w:t xml:space="preserve"> prioritizing </w:t>
      </w:r>
      <w:r w:rsidR="00896ECB" w:rsidRPr="005247CB">
        <w:rPr>
          <w:lang w:val="en-US"/>
        </w:rPr>
        <w:t>antiviral drugs</w:t>
      </w:r>
      <w:r w:rsidR="00A95F5D" w:rsidRPr="005247CB">
        <w:rPr>
          <w:lang w:val="en-US"/>
        </w:rPr>
        <w:t xml:space="preserve"> for treatment as opposed to PEP</w:t>
      </w:r>
      <w:r w:rsidR="001A06BC" w:rsidRPr="005247CB">
        <w:rPr>
          <w:lang w:val="en-US"/>
        </w:rPr>
        <w:t xml:space="preserve"> is </w:t>
      </w:r>
      <w:r w:rsidR="00A95F5D" w:rsidRPr="005247CB">
        <w:rPr>
          <w:lang w:val="en-US"/>
        </w:rPr>
        <w:t xml:space="preserve">more effective and </w:t>
      </w:r>
      <w:r w:rsidR="005F122C" w:rsidRPr="005247CB">
        <w:rPr>
          <w:lang w:val="en-US"/>
        </w:rPr>
        <w:t>treatment cou</w:t>
      </w:r>
      <w:r w:rsidR="00EC0404" w:rsidRPr="005247CB">
        <w:rPr>
          <w:lang w:val="en-US"/>
        </w:rPr>
        <w:t>r</w:t>
      </w:r>
      <w:r w:rsidR="005F122C" w:rsidRPr="005247CB">
        <w:rPr>
          <w:lang w:val="en-US"/>
        </w:rPr>
        <w:t>se-</w:t>
      </w:r>
      <w:r w:rsidR="00A95F5D" w:rsidRPr="005247CB">
        <w:rPr>
          <w:lang w:val="en-US"/>
        </w:rPr>
        <w:t>efficient</w:t>
      </w:r>
      <w:r w:rsidR="0029571E" w:rsidRPr="005247CB">
        <w:rPr>
          <w:lang w:val="en-US"/>
        </w:rPr>
        <w:t xml:space="preserve"> considering population-level outcomes</w:t>
      </w:r>
      <w:r w:rsidR="00A95F5D" w:rsidRPr="005247CB">
        <w:rPr>
          <w:lang w:val="en-US"/>
        </w:rPr>
        <w:t xml:space="preserve">. </w:t>
      </w:r>
    </w:p>
    <w:p w14:paraId="234E2E04" w14:textId="0752AED9" w:rsidR="00567631" w:rsidRPr="005247CB" w:rsidRDefault="00BE7ADD" w:rsidP="00B60886">
      <w:pPr>
        <w:rPr>
          <w:lang w:val="en-US"/>
        </w:rPr>
      </w:pPr>
      <w:r w:rsidRPr="005247CB">
        <w:rPr>
          <w:lang w:val="en-US"/>
        </w:rPr>
        <w:t>Finally,</w:t>
      </w:r>
      <w:r w:rsidR="00534FC2" w:rsidRPr="005247CB">
        <w:rPr>
          <w:lang w:val="en-US"/>
        </w:rPr>
        <w:t xml:space="preserve"> it is important to consider the degree to which antiviral resistance attenuate</w:t>
      </w:r>
      <w:r w:rsidR="001E1207" w:rsidRPr="005247CB">
        <w:rPr>
          <w:lang w:val="en-US"/>
        </w:rPr>
        <w:t xml:space="preserve">s </w:t>
      </w:r>
      <w:r w:rsidR="00FC1CF4" w:rsidRPr="005247CB">
        <w:rPr>
          <w:lang w:val="en-US"/>
        </w:rPr>
        <w:t>impact</w:t>
      </w:r>
      <w:r w:rsidR="007F44C2" w:rsidRPr="005247CB">
        <w:rPr>
          <w:lang w:val="en-US"/>
        </w:rPr>
        <w:t xml:space="preserve"> </w:t>
      </w:r>
      <w:r w:rsidR="00534FC2" w:rsidRPr="005247CB">
        <w:rPr>
          <w:lang w:val="en-US"/>
        </w:rPr>
        <w:t>as</w:t>
      </w:r>
      <w:r w:rsidR="004556C9" w:rsidRPr="005247CB">
        <w:rPr>
          <w:lang w:val="en-US"/>
        </w:rPr>
        <w:t xml:space="preserve"> </w:t>
      </w:r>
      <w:r w:rsidR="007F44C2" w:rsidRPr="005247CB">
        <w:rPr>
          <w:lang w:val="en-US"/>
        </w:rPr>
        <w:t xml:space="preserve">it </w:t>
      </w:r>
      <w:r w:rsidR="00600556">
        <w:rPr>
          <w:lang w:val="en-US"/>
        </w:rPr>
        <w:t>may</w:t>
      </w:r>
      <w:r w:rsidR="007F44C2" w:rsidRPr="005247CB">
        <w:rPr>
          <w:lang w:val="en-US"/>
        </w:rPr>
        <w:t xml:space="preserve"> be</w:t>
      </w:r>
      <w:r w:rsidR="004556C9" w:rsidRPr="005247CB">
        <w:rPr>
          <w:lang w:val="en-US"/>
        </w:rPr>
        <w:t xml:space="preserve"> more prudent to </w:t>
      </w:r>
      <w:r w:rsidR="002E64B5" w:rsidRPr="005247CB">
        <w:rPr>
          <w:lang w:val="en-US"/>
        </w:rPr>
        <w:t>limit</w:t>
      </w:r>
      <w:r w:rsidR="004556C9" w:rsidRPr="005247CB">
        <w:rPr>
          <w:lang w:val="en-US"/>
        </w:rPr>
        <w:t xml:space="preserve"> BXM to individuals that would most likely </w:t>
      </w:r>
      <w:r w:rsidR="0066719D" w:rsidRPr="005247CB">
        <w:rPr>
          <w:lang w:val="en-US"/>
        </w:rPr>
        <w:t>derive clinical benefit from treatment</w:t>
      </w:r>
      <w:r w:rsidR="004556C9" w:rsidRPr="005247CB">
        <w:rPr>
          <w:lang w:val="en-US"/>
        </w:rPr>
        <w:t xml:space="preserve"> as opposed to </w:t>
      </w:r>
      <w:r w:rsidR="007F44C2" w:rsidRPr="005247CB">
        <w:rPr>
          <w:lang w:val="en-US"/>
        </w:rPr>
        <w:t>mass</w:t>
      </w:r>
      <w:r w:rsidR="005A3DB1" w:rsidRPr="005247CB">
        <w:rPr>
          <w:lang w:val="en-US"/>
        </w:rPr>
        <w:t xml:space="preserve"> antiviral</w:t>
      </w:r>
      <w:r w:rsidR="004556C9" w:rsidRPr="005247CB">
        <w:rPr>
          <w:lang w:val="en-US"/>
        </w:rPr>
        <w:t xml:space="preserve"> distribution.</w:t>
      </w:r>
      <w:r w:rsidR="00CC1FBB" w:rsidRPr="005247CB">
        <w:rPr>
          <w:lang w:val="en-US"/>
        </w:rPr>
        <w:t xml:space="preserve"> </w:t>
      </w:r>
      <w:r w:rsidR="002E64B5" w:rsidRPr="005247CB">
        <w:rPr>
          <w:lang w:val="en-US"/>
        </w:rPr>
        <w:t xml:space="preserve">When assuming </w:t>
      </w:r>
      <w:r w:rsidR="002F16AF">
        <w:rPr>
          <w:lang w:val="en-US"/>
        </w:rPr>
        <w:t>mean</w:t>
      </w:r>
      <w:r w:rsidR="002E64B5" w:rsidRPr="005247CB">
        <w:rPr>
          <w:lang w:val="en-US"/>
        </w:rPr>
        <w:t xml:space="preserve"> treatment-emergent prevalence of BXM resistant mutations was similar to seasonal A/H3N2 infections, </w:t>
      </w:r>
      <w:r w:rsidR="004556C9" w:rsidRPr="005247CB">
        <w:rPr>
          <w:lang w:val="en-US"/>
        </w:rPr>
        <w:t>percentage</w:t>
      </w:r>
      <w:r w:rsidR="004D0A3C" w:rsidRPr="005247CB">
        <w:rPr>
          <w:lang w:val="en-US"/>
        </w:rPr>
        <w:t xml:space="preserve"> reduction in</w:t>
      </w:r>
      <w:r w:rsidR="0093144D">
        <w:rPr>
          <w:lang w:val="en-US"/>
        </w:rPr>
        <w:t xml:space="preserve"> </w:t>
      </w:r>
      <w:r w:rsidR="0093144D" w:rsidRPr="005247CB">
        <w:rPr>
          <w:lang w:val="en-US"/>
        </w:rPr>
        <w:t>mean</w:t>
      </w:r>
      <w:r w:rsidR="00DD3827" w:rsidRPr="005247CB">
        <w:rPr>
          <w:lang w:val="en-US"/>
        </w:rPr>
        <w:t xml:space="preserve"> </w:t>
      </w:r>
      <w:r w:rsidR="004556C9" w:rsidRPr="005247CB">
        <w:rPr>
          <w:lang w:val="en-US"/>
        </w:rPr>
        <w:t>pandemic deaths</w:t>
      </w:r>
      <w:r w:rsidR="00AF1FB0" w:rsidRPr="005247CB">
        <w:rPr>
          <w:lang w:val="en-US"/>
        </w:rPr>
        <w:t xml:space="preserve"> </w:t>
      </w:r>
      <w:r w:rsidR="00890D90" w:rsidRPr="005247CB">
        <w:rPr>
          <w:lang w:val="en-US"/>
        </w:rPr>
        <w:t>under the spread of BXM</w:t>
      </w:r>
      <w:r w:rsidR="00AF1FB0" w:rsidRPr="005247CB">
        <w:rPr>
          <w:lang w:val="en-US"/>
        </w:rPr>
        <w:t xml:space="preserve"> resistance </w:t>
      </w:r>
      <w:r w:rsidR="002E64B5" w:rsidRPr="005247CB">
        <w:rPr>
          <w:lang w:val="en-US"/>
        </w:rPr>
        <w:t>wa</w:t>
      </w:r>
      <w:r w:rsidR="001E1207" w:rsidRPr="005247CB">
        <w:rPr>
          <w:lang w:val="en-US"/>
        </w:rPr>
        <w:t>s</w:t>
      </w:r>
      <w:r w:rsidR="00AE2E8E" w:rsidRPr="005247CB">
        <w:rPr>
          <w:lang w:val="en-US"/>
        </w:rPr>
        <w:t xml:space="preserve"> </w:t>
      </w:r>
      <w:r w:rsidR="00476576" w:rsidRPr="005247CB">
        <w:rPr>
          <w:lang w:val="en-US"/>
        </w:rPr>
        <w:t>still</w:t>
      </w:r>
      <w:r w:rsidR="00890D90" w:rsidRPr="005247CB">
        <w:rPr>
          <w:lang w:val="en-US"/>
        </w:rPr>
        <w:t xml:space="preserve"> substantial</w:t>
      </w:r>
      <w:r w:rsidR="00765C08" w:rsidRPr="005247CB">
        <w:rPr>
          <w:lang w:val="en-US"/>
        </w:rPr>
        <w:t>,</w:t>
      </w:r>
      <w:r w:rsidR="00890D90" w:rsidRPr="005247CB">
        <w:rPr>
          <w:lang w:val="en-US"/>
        </w:rPr>
        <w:t xml:space="preserve"> estimated </w:t>
      </w:r>
      <w:r w:rsidR="00476576" w:rsidRPr="005247CB">
        <w:rPr>
          <w:lang w:val="en-US"/>
        </w:rPr>
        <w:t>to be</w:t>
      </w:r>
      <w:r w:rsidR="0014062F" w:rsidRPr="005247CB">
        <w:rPr>
          <w:lang w:val="en-US"/>
        </w:rPr>
        <w:t xml:space="preserve"> </w:t>
      </w:r>
      <w:r w:rsidR="00890D90" w:rsidRPr="005247CB">
        <w:rPr>
          <w:lang w:val="en-US"/>
        </w:rPr>
        <w:t>&gt;24</w:t>
      </w:r>
      <w:r w:rsidR="0066719D" w:rsidRPr="005247CB">
        <w:rPr>
          <w:lang w:val="en-US"/>
        </w:rPr>
        <w:t>%</w:t>
      </w:r>
      <w:r w:rsidR="00765C08" w:rsidRPr="005247CB">
        <w:rPr>
          <w:lang w:val="en-US"/>
        </w:rPr>
        <w:t xml:space="preserve"> </w:t>
      </w:r>
      <w:r w:rsidR="002E64B5" w:rsidRPr="005247CB">
        <w:rPr>
          <w:lang w:val="en-US"/>
        </w:rPr>
        <w:t xml:space="preserve">compared to no </w:t>
      </w:r>
      <w:r w:rsidR="00C45653" w:rsidRPr="005247CB">
        <w:rPr>
          <w:lang w:val="en-US"/>
        </w:rPr>
        <w:t>intervention</w:t>
      </w:r>
      <w:r w:rsidR="002E64B5" w:rsidRPr="005247CB">
        <w:rPr>
          <w:lang w:val="en-US"/>
        </w:rPr>
        <w:t xml:space="preserve">. </w:t>
      </w:r>
      <w:r w:rsidR="00AC44C6" w:rsidRPr="005247CB">
        <w:rPr>
          <w:lang w:val="en-US"/>
        </w:rPr>
        <w:t>As such, in spite of resistance spread, mass distributing BXM for treatment could still lead to substantial life-saving benefits.</w:t>
      </w:r>
      <w:r w:rsidR="00225407" w:rsidRPr="005247CB">
        <w:rPr>
          <w:lang w:val="en-US"/>
        </w:rPr>
        <w:t xml:space="preserve"> </w:t>
      </w:r>
      <w:r w:rsidR="004D0A3C" w:rsidRPr="005247CB">
        <w:rPr>
          <w:lang w:val="en-US"/>
        </w:rPr>
        <w:t>V</w:t>
      </w:r>
      <w:r w:rsidR="004C1855" w:rsidRPr="005247CB">
        <w:rPr>
          <w:lang w:val="en-US"/>
        </w:rPr>
        <w:t>arious strategies</w:t>
      </w:r>
      <w:r w:rsidR="006510C6" w:rsidRPr="005247CB">
        <w:rPr>
          <w:lang w:val="en-US"/>
        </w:rPr>
        <w:t xml:space="preserve"> have been proposed</w:t>
      </w:r>
      <w:r w:rsidR="004C1855" w:rsidRPr="005247CB">
        <w:rPr>
          <w:lang w:val="en-US"/>
        </w:rPr>
        <w:t xml:space="preserve"> to</w:t>
      </w:r>
      <w:r w:rsidR="006510C6" w:rsidRPr="005247CB">
        <w:rPr>
          <w:lang w:val="en-US"/>
        </w:rPr>
        <w:t xml:space="preserve"> potentially</w:t>
      </w:r>
      <w:r w:rsidR="004C1855" w:rsidRPr="005247CB">
        <w:rPr>
          <w:lang w:val="en-US"/>
        </w:rPr>
        <w:t xml:space="preserve"> suppress the spread of </w:t>
      </w:r>
      <w:r w:rsidR="00B57A7D" w:rsidRPr="005247CB">
        <w:rPr>
          <w:lang w:val="en-US"/>
        </w:rPr>
        <w:t>resistance</w:t>
      </w:r>
      <w:r w:rsidR="00DE4B26" w:rsidRPr="005247CB">
        <w:rPr>
          <w:lang w:val="en-US"/>
        </w:rPr>
        <w:t>, such as cycling the distribution</w:t>
      </w:r>
      <w:r w:rsidR="0045019D" w:rsidRPr="005247CB">
        <w:rPr>
          <w:lang w:val="en-US"/>
        </w:rPr>
        <w:t xml:space="preserve"> of two different antiviral drugs</w:t>
      </w:r>
      <w:r w:rsidR="00C83004">
        <w:rPr>
          <w:lang w:val="en-US"/>
        </w:rPr>
        <w:t xml:space="preserve"> </w:t>
      </w:r>
      <w:r w:rsidR="004C1855" w:rsidRPr="005247CB">
        <w:rPr>
          <w:lang w:val="en-US"/>
        </w:rPr>
        <w:fldChar w:fldCharType="begin"/>
      </w:r>
      <w:r w:rsidR="006A263E">
        <w:rPr>
          <w:lang w:val="en-US"/>
        </w:rPr>
        <w:instrText xml:space="preserve"> ADDIN ZOTERO_ITEM CSL_CITATION {"citationID":"MNsOd8TC","properties":{"formattedCitation":"(Wu et al., 2009)","plainCitation":"(Wu et al., 2009)","noteIndex":0},"citationItems":[{"id":65,"uris":["http://zotero.org/users/local/0pdZPGmr/items/H4R6T2NC","http://zotero.org/users/9596130/items/H4R6T2NC"],"itemData":{"id":65,"type":"article-journal","abstract":"Mathematically simulating an influenza pandemic, Joseph Wu and colleagues predict that using a secondary antiviral drug early in local epidemics would reduce global emergence of resistance to the primary stockpiled drug.","container-title":"PLOS Medicine","DOI":"10.1371/journal.pmed.1000085","issue":"5","journalAbbreviation":"PLOS Medicine","note":"publisher: Public Library of Science","page":"e1000085","title":"Hedging against Antiviral Resistance during the Next Influenza Pandemic Using Small Stockpiles of an Alternative Chemotherapy","volume":"6","author":[{"family":"Wu","given":"Joseph T."},{"family":"Leung","given":"Gabriel M."},{"family":"Lipsitch","given":"Marc"},{"family":"Cooper","given":"Ben S."},{"family":"Riley","given":"Steven"}],"issued":{"date-parts":[["2009",5,19]]}}}],"schema":"https://github.com/citation-style-language/schema/raw/master/csl-citation.json"} </w:instrText>
      </w:r>
      <w:r w:rsidR="004C1855" w:rsidRPr="005247CB">
        <w:rPr>
          <w:lang w:val="en-US"/>
        </w:rPr>
        <w:fldChar w:fldCharType="separate"/>
      </w:r>
      <w:r w:rsidR="006A263E">
        <w:rPr>
          <w:lang w:val="en-US"/>
        </w:rPr>
        <w:t>(Wu et al., 2009)</w:t>
      </w:r>
      <w:r w:rsidR="004C1855" w:rsidRPr="005247CB">
        <w:rPr>
          <w:lang w:val="en-US"/>
        </w:rPr>
        <w:fldChar w:fldCharType="end"/>
      </w:r>
      <w:r w:rsidR="004C1855" w:rsidRPr="005247CB">
        <w:rPr>
          <w:lang w:val="en-US"/>
        </w:rPr>
        <w:t xml:space="preserve"> </w:t>
      </w:r>
      <w:r w:rsidR="00DE4B26" w:rsidRPr="005247CB">
        <w:rPr>
          <w:lang w:val="en-US"/>
        </w:rPr>
        <w:t>or combining</w:t>
      </w:r>
      <w:r w:rsidR="0045019D" w:rsidRPr="005247CB">
        <w:rPr>
          <w:lang w:val="en-US"/>
        </w:rPr>
        <w:t xml:space="preserve"> them for treatment</w:t>
      </w:r>
      <w:r w:rsidR="000C5220">
        <w:rPr>
          <w:lang w:val="en-US"/>
        </w:rPr>
        <w:t xml:space="preserve"> </w:t>
      </w:r>
      <w:r w:rsidR="004C1855" w:rsidRPr="005247CB">
        <w:rPr>
          <w:lang w:val="en-US"/>
        </w:rPr>
        <w:fldChar w:fldCharType="begin"/>
      </w:r>
      <w:r w:rsidR="006A263E">
        <w:rPr>
          <w:lang w:val="en-US"/>
        </w:rPr>
        <w:instrText xml:space="preserve"> ADDIN ZOTERO_ITEM CSL_CITATION {"citationID":"yB8rkC3c","properties":{"unsorted":true,"formattedCitation":"(Park et al., 2021; Koszalka Paulina et al., 2022)","plainCitation":"(Park et al., 2021; Koszalka Paulina et al., 2022)","noteIndex":0},"citationItems":[{"id":76,"uris":["http://zotero.org/users/local/0pdZPGmr/items/UB9JPX4M","http://zotero.org/users/9596130/items/UB9JPX4M"],"itemData":{"id":76,"type":"article-journal","abstract":"Baloxavir marboxil (BXM) treatment-emergent polymerase acid (PA) I38X amino acid substitution (AAS) in the resistant variants of influenza viruses raise concerns regarding their emergence and spread. This study investigated the impact of 1 or 5 mg/kg BXM and 25 mg/kg oseltamivir phosphate (OS) (single or combination therapy) on the occurrence of resistance-related substitutions during the sequential lung-to-lung passages of AH1N1)pdm09 virus in mice. Deep sequencing analysis revealed that 67% (n = 4/6) of the population treated with BXM single therapy (1 or 5 mg/kg) possessed the treatment-emergent PA-I38X AAS variants (I38T, I38S, and I38V). Notably, BXM-OS combination therapy impeded PA-I38X AAS emergence. Although the doses utilized in the mouse model may not be directly translated into the clinically equivalent doses of each drugs, these findings offer insights toward alternative therapies to mitigate the emergence of influenza antiviral resistance.","container-title":"Antiviral Research","DOI":"10.1016/j.antiviral.2021.105126","ISSN":"0166-3542","journalAbbreviation":"Antiviral Research","page":"105126","title":"Baloxavir-oseltamivir combination therapy inhibits the emergence of resistant substitutions in influenza A virus PA gene in a mouse model","volume":"193","author":[{"family":"Park","given":"Ji-Hyun"},{"family":"Kim","given":"Beomkyu"},{"family":"Antigua","given":"Khristine Joy C."},{"family":"Jeong","given":"Ju Hwan"},{"family":"Kim","given":"Chang","dropping-particle":"il"},{"family":"Choi","given":"Won-Suk"},{"family":"Oh","given":"Sol"},{"family":"Kim","given":"Chan Hyung"},{"family":"Kim","given":"Eung-Gook"},{"family":"Choi","given":"Young Ki"},{"family":"Baek","given":"Yun Hee"},{"family":"Song","given":"Min-Suk"}],"issued":{"date-parts":[["2021",9,1]]}}},{"id":74,"uris":["http://zotero.org/users/local/0pdZPGmr/items/VMHZXFES","http://zotero.org/users/9596130/items/VMHZXFES"],"itemData":{"id":74,"type":"article-journal","container-title":"mBio","DOI":"10.1128/mbio.01056-22","issue":"4","journalAbbreviation":"mBio","note":"publisher: American Society for Microbiology","page":"e01056-22","title":"Effect of Baloxavir and Oseltamivir in Combination on Infection with Influenza Viruses with PA/I38T or PA/E23K Substitutions in the Ferret Model","volume":"13","author":[{"literal":"Koszalka Paulina"},{"literal":"George Ankita"},{"literal":"Dhanasekaran Vijaykrishna"},{"literal":"Hurt Aeron C."},{"literal":"Subbarao Kanta"}],"issued":{"date-parts":[["2022",8,8]]}}}],"schema":"https://github.com/citation-style-language/schema/raw/master/csl-citation.json"} </w:instrText>
      </w:r>
      <w:r w:rsidR="004C1855" w:rsidRPr="005247CB">
        <w:rPr>
          <w:lang w:val="en-US"/>
        </w:rPr>
        <w:fldChar w:fldCharType="separate"/>
      </w:r>
      <w:r w:rsidR="006A263E">
        <w:rPr>
          <w:lang w:val="en-US"/>
        </w:rPr>
        <w:t>(Park et al., 2021; Koszalka Paulina et al., 2022)</w:t>
      </w:r>
      <w:r w:rsidR="004C1855" w:rsidRPr="005247CB">
        <w:rPr>
          <w:lang w:val="en-US"/>
        </w:rPr>
        <w:fldChar w:fldCharType="end"/>
      </w:r>
      <w:r w:rsidR="000C5220">
        <w:rPr>
          <w:lang w:val="en-US"/>
        </w:rPr>
        <w:t>.</w:t>
      </w:r>
      <w:r w:rsidR="00194B82" w:rsidRPr="005247CB">
        <w:rPr>
          <w:lang w:val="en-US"/>
        </w:rPr>
        <w:t xml:space="preserve"> Previous modelling work showed that either strategy could work well to suppress resistance spread if the probability of resistance emergence of the primary antiviral drug is &lt;5%</w:t>
      </w:r>
      <w:r w:rsidR="00F17198">
        <w:rPr>
          <w:lang w:val="en-US"/>
        </w:rPr>
        <w:t xml:space="preserve"> </w:t>
      </w:r>
      <w:r w:rsidR="00194B82" w:rsidRPr="005247CB">
        <w:rPr>
          <w:lang w:val="en-US"/>
        </w:rPr>
        <w:fldChar w:fldCharType="begin"/>
      </w:r>
      <w:r w:rsidR="006A263E">
        <w:rPr>
          <w:lang w:val="en-US"/>
        </w:rPr>
        <w:instrText xml:space="preserve"> ADDIN ZOTERO_ITEM CSL_CITATION {"citationID":"a161moef6fe","properties":{"formattedCitation":"(Wu et al., 2009)","plainCitation":"(Wu et al., 2009)","noteIndex":0},"citationItems":[{"id":65,"uris":["http://zotero.org/users/local/0pdZPGmr/items/H4R6T2NC","http://zotero.org/users/9596130/items/H4R6T2NC"],"itemData":{"id":65,"type":"article-journal","abstract":"Mathematically simulating an influenza pandemic, Joseph Wu and colleagues predict that using a secondary antiviral drug early in local epidemics would reduce global emergence of resistance to the primary stockpiled drug.","container-title":"PLOS Medicine","DOI":"10.1371/journal.pmed.1000085","issue":"5","journalAbbreviation":"PLOS Medicine","note":"publisher: Public Library of Science","page":"e1000085","title":"Hedging against Antiviral Resistance during the Next Influenza Pandemic Using Small Stockpiles of an Alternative Chemotherapy","volume":"6","author":[{"family":"Wu","given":"Joseph T."},{"family":"Leung","given":"Gabriel M."},{"family":"Lipsitch","given":"Marc"},{"family":"Cooper","given":"Ben S."},{"family":"Riley","given":"Steven"}],"issued":{"date-parts":[["2009",5,19]]}}}],"schema":"https://github.com/citation-style-language/schema/raw/master/csl-citation.json"} </w:instrText>
      </w:r>
      <w:r w:rsidR="00194B82" w:rsidRPr="005247CB">
        <w:rPr>
          <w:lang w:val="en-US"/>
        </w:rPr>
        <w:fldChar w:fldCharType="separate"/>
      </w:r>
      <w:r w:rsidR="006A263E">
        <w:rPr>
          <w:lang w:val="en-US"/>
        </w:rPr>
        <w:t>(Wu et al., 2009)</w:t>
      </w:r>
      <w:r w:rsidR="00194B82" w:rsidRPr="005247CB">
        <w:rPr>
          <w:lang w:val="en-US"/>
        </w:rPr>
        <w:fldChar w:fldCharType="end"/>
      </w:r>
      <w:r w:rsidR="00F17198">
        <w:rPr>
          <w:lang w:val="en-US"/>
        </w:rPr>
        <w:t>,</w:t>
      </w:r>
      <w:r w:rsidR="00194B82" w:rsidRPr="005247CB">
        <w:rPr>
          <w:lang w:val="en-US"/>
        </w:rPr>
        <w:t xml:space="preserve"> which could be the case if treatment-emergent resistance prevalence of the pandemic virus is similar to that empirically observed for A/H1N1pdm09 infections.     </w:t>
      </w:r>
    </w:p>
    <w:p w14:paraId="665260AF" w14:textId="3253A120" w:rsidR="00501933" w:rsidRPr="005247CB" w:rsidRDefault="00EE52C2" w:rsidP="001B408F">
      <w:r w:rsidRPr="005247CB">
        <w:t xml:space="preserve">There are limitations to our </w:t>
      </w:r>
      <w:r w:rsidR="00241567" w:rsidRPr="005247CB">
        <w:t>study</w:t>
      </w:r>
      <w:r w:rsidRPr="005247CB">
        <w:t xml:space="preserve">. </w:t>
      </w:r>
      <w:r w:rsidR="00BF510A" w:rsidRPr="005247CB">
        <w:t>First, we</w:t>
      </w:r>
      <w:r w:rsidR="00BF510A" w:rsidRPr="005247CB">
        <w:rPr>
          <w:lang w:val="en-US"/>
        </w:rPr>
        <w:t xml:space="preserve"> </w:t>
      </w:r>
      <w:r w:rsidR="001B408F" w:rsidRPr="005247CB">
        <w:rPr>
          <w:lang w:val="en-US"/>
        </w:rPr>
        <w:t>used</w:t>
      </w:r>
      <w:r w:rsidR="003A4072" w:rsidRPr="005247CB">
        <w:rPr>
          <w:lang w:val="en-US"/>
        </w:rPr>
        <w:t xml:space="preserve"> </w:t>
      </w:r>
      <w:r w:rsidR="001918D6" w:rsidRPr="005247CB">
        <w:rPr>
          <w:lang w:val="en-US"/>
        </w:rPr>
        <w:t>clinical</w:t>
      </w:r>
      <w:r w:rsidR="001B408F" w:rsidRPr="005247CB">
        <w:rPr>
          <w:lang w:val="en-US"/>
        </w:rPr>
        <w:t xml:space="preserve"> </w:t>
      </w:r>
      <w:r w:rsidR="001918D6" w:rsidRPr="005247CB">
        <w:rPr>
          <w:lang w:val="en-US"/>
        </w:rPr>
        <w:t>observations</w:t>
      </w:r>
      <w:r w:rsidR="003A4072" w:rsidRPr="005247CB">
        <w:rPr>
          <w:lang w:val="en-US"/>
        </w:rPr>
        <w:t xml:space="preserve"> o</w:t>
      </w:r>
      <w:r w:rsidR="00F81CF5" w:rsidRPr="005247CB">
        <w:rPr>
          <w:lang w:val="en-US"/>
        </w:rPr>
        <w:t>n</w:t>
      </w:r>
      <w:r w:rsidR="003A4072" w:rsidRPr="005247CB">
        <w:rPr>
          <w:lang w:val="en-US"/>
        </w:rPr>
        <w:t xml:space="preserve"> viral load dynamics,</w:t>
      </w:r>
      <w:r w:rsidR="001B408F" w:rsidRPr="005247CB">
        <w:rPr>
          <w:lang w:val="en-US"/>
        </w:rPr>
        <w:t xml:space="preserve"> </w:t>
      </w:r>
      <w:r w:rsidR="003A4072" w:rsidRPr="005247CB">
        <w:rPr>
          <w:lang w:val="en-US"/>
        </w:rPr>
        <w:t>treatment</w:t>
      </w:r>
      <w:r w:rsidR="001B408F" w:rsidRPr="005247CB">
        <w:rPr>
          <w:lang w:val="en-US"/>
        </w:rPr>
        <w:t xml:space="preserve"> effectiveness and resistance prevalence </w:t>
      </w:r>
      <w:r w:rsidR="001918D6" w:rsidRPr="005247CB">
        <w:rPr>
          <w:lang w:val="en-US"/>
        </w:rPr>
        <w:t xml:space="preserve">measured for </w:t>
      </w:r>
      <w:r w:rsidR="001B408F" w:rsidRPr="005247CB">
        <w:rPr>
          <w:lang w:val="en-US"/>
        </w:rPr>
        <w:t>seasonal influenza virus infection</w:t>
      </w:r>
      <w:r w:rsidR="003A4072" w:rsidRPr="005247CB">
        <w:rPr>
          <w:lang w:val="en-US"/>
        </w:rPr>
        <w:t xml:space="preserve">s to parameterize our model. While </w:t>
      </w:r>
      <w:r w:rsidR="004D0A3C" w:rsidRPr="005247CB">
        <w:rPr>
          <w:lang w:val="en-US"/>
        </w:rPr>
        <w:t xml:space="preserve">a </w:t>
      </w:r>
      <w:r w:rsidR="0009058B" w:rsidRPr="005247CB">
        <w:rPr>
          <w:lang w:val="en-US"/>
        </w:rPr>
        <w:t>future</w:t>
      </w:r>
      <w:r w:rsidR="003A4072" w:rsidRPr="005247CB">
        <w:rPr>
          <w:lang w:val="en-US"/>
        </w:rPr>
        <w:t xml:space="preserve"> pandemic virus </w:t>
      </w:r>
      <w:r w:rsidR="0009058B" w:rsidRPr="005247CB">
        <w:rPr>
          <w:lang w:val="en-US"/>
        </w:rPr>
        <w:t>can have distinct epidemiological properties,</w:t>
      </w:r>
      <w:r w:rsidR="009347E4" w:rsidRPr="005247CB">
        <w:rPr>
          <w:lang w:val="en-US"/>
        </w:rPr>
        <w:t xml:space="preserve"> </w:t>
      </w:r>
      <w:r w:rsidR="009347E4" w:rsidRPr="005247CB">
        <w:t>in contrast to extrapolations considered in previous studies,</w:t>
      </w:r>
      <w:r w:rsidR="0009058B" w:rsidRPr="005247CB">
        <w:rPr>
          <w:lang w:val="en-US"/>
        </w:rPr>
        <w:t xml:space="preserve"> </w:t>
      </w:r>
      <w:r w:rsidR="0009058B" w:rsidRPr="005247CB">
        <w:t xml:space="preserve">we sought to </w:t>
      </w:r>
      <w:r w:rsidR="009347E4" w:rsidRPr="005247CB">
        <w:t>inform antiviral treatment demand and impact using a model that is grounded</w:t>
      </w:r>
      <w:r w:rsidR="0009058B" w:rsidRPr="005247CB">
        <w:t xml:space="preserve"> on</w:t>
      </w:r>
      <w:r w:rsidR="009347E4" w:rsidRPr="005247CB">
        <w:t xml:space="preserve"> </w:t>
      </w:r>
      <w:r w:rsidR="00BC521A" w:rsidRPr="005247CB">
        <w:t>up-to-date,</w:t>
      </w:r>
      <w:r w:rsidR="00A07A1A" w:rsidRPr="005247CB">
        <w:t xml:space="preserve"> </w:t>
      </w:r>
      <w:r w:rsidR="009347E4" w:rsidRPr="005247CB">
        <w:t>high-quality</w:t>
      </w:r>
      <w:r w:rsidR="0009058B" w:rsidRPr="005247CB">
        <w:t xml:space="preserve"> empirical data.</w:t>
      </w:r>
      <w:r w:rsidR="004D41C3" w:rsidRPr="005247CB">
        <w:t xml:space="preserve"> Second, we did not account for the availability and use of pre-pandemic vaccines</w:t>
      </w:r>
      <w:r w:rsidR="003735F8" w:rsidRPr="005247CB">
        <w:t>.</w:t>
      </w:r>
      <w:r w:rsidR="004D41C3" w:rsidRPr="005247CB">
        <w:t xml:space="preserve"> </w:t>
      </w:r>
      <w:r w:rsidR="003735F8" w:rsidRPr="005247CB">
        <w:t>W</w:t>
      </w:r>
      <w:r w:rsidR="004D41C3" w:rsidRPr="005247CB">
        <w:t>e had previously showed that</w:t>
      </w:r>
      <w:r w:rsidR="003F22F2" w:rsidRPr="005247CB">
        <w:t xml:space="preserve"> </w:t>
      </w:r>
      <w:r w:rsidR="004D41C3" w:rsidRPr="005247CB">
        <w:t>increasing vaccination coverage, if pre-pandemic vaccines are available, should be prioritised over mass test-and-treat distribution</w:t>
      </w:r>
      <w:r w:rsidR="009D6ABC" w:rsidRPr="005247CB">
        <w:t xml:space="preserve"> </w:t>
      </w:r>
      <w:r w:rsidR="004D41C3" w:rsidRPr="005247CB">
        <w:t>as it is the more resource-efficient option to lowering pandemic disease burden</w:t>
      </w:r>
      <w:r w:rsidR="00934199">
        <w:t xml:space="preserve"> </w:t>
      </w:r>
      <w:r w:rsidR="004D41C3" w:rsidRPr="005247CB">
        <w:fldChar w:fldCharType="begin"/>
      </w:r>
      <w:r w:rsidR="006A263E">
        <w:instrText xml:space="preserve"> ADDIN ZOTERO_ITEM CSL_CITATION {"citationID":"a2eka84ob33","properties":{"formattedCitation":"(Han et al., 2023)","plainCitation":"(Han et al., 2023)","noteIndex":0},"citationItems":[{"id":19,"uris":["http://zotero.org/users/local/0pdZPGmr/items/XZABVFG3","http://zotero.org/users/9596130/items/XZABVFG3"],"itemData":{"id":19,"type":"article-journal","abstract":"Oral antivirals have the potential to reduce the public health burden of COVID-19. However, now that we have exited the emergency-phase of the COVID-19 pandemic, declining SARS-CoV-2 clinical testing rates (average testing rates = $$\\ll$$10 tests/100,000 people/day in low-and-middle income countries; &lt;100 tests/100,000 people/day in high-income countries; September 2023) make the development of effective test-and-treat programs challenging. We used an agent-based model to investigate how testing rates and strategies affect the use and effectiveness of oral antiviral test-to-treat programs in four country archetypes of different income levels and demographies. We find that in the post-emergency-phase of the pandemic, in countries where low testing rates are driven by limited testing capacity, significant population-level impact of test-and-treat programs can only be achieved by both increasing testing rates and prioritizing individuals with greater risk of severe disease. However, for all countries, significant reductions in severe cases with antivirals are only possible if testing rates were substantially increased with high willingness of people to seek testing. Comparing the potential population-level reductions in severe disease outcomes of test-to-treat programs and vaccination shows that test-and-treat strategies are likely substantially more resource intensive requiring very high levels of testing (</w:instrText>
      </w:r>
      <w:r w:rsidR="006A263E">
        <w:rPr>
          <w:rFonts w:ascii="Cambria Math" w:hAnsi="Cambria Math" w:cs="Cambria Math"/>
        </w:rPr>
        <w:instrText>≫</w:instrText>
      </w:r>
      <w:r w:rsidR="006A263E">
        <w:instrText xml:space="preserve">100 tests/100,000 people/day) and antiviral use suggesting that vaccination should be a higher priority.","container-title":"Nature Communications","DOI":"10.1038/s41467-023-43769-z","ISSN":"2041-1723","issue":"1","journalAbbreviation":"Nature Communications","page":"7981","title":"Estimating the potential impact and diagnostic requirements for SARS-CoV-2 test-and-treat programs","volume":"14","author":[{"family":"Han","given":"Alvin X."},{"family":"Hannay","given":"Emma"},{"family":"Carmona","given":"Sergio"},{"family":"Rodriguez","given":"Bill"},{"family":"Nichols","given":"Brooke E."},{"family":"Russell","given":"Colin A."}],"issued":{"date-parts":[["2023",12,2]]}}}],"schema":"https://github.com/citation-style-language/schema/raw/master/csl-citation.json"} </w:instrText>
      </w:r>
      <w:r w:rsidR="004D41C3" w:rsidRPr="005247CB">
        <w:fldChar w:fldCharType="separate"/>
      </w:r>
      <w:r w:rsidR="006A263E">
        <w:rPr>
          <w:lang w:val="en-US"/>
        </w:rPr>
        <w:t>(Han et al., 2023)</w:t>
      </w:r>
      <w:r w:rsidR="004D41C3" w:rsidRPr="005247CB">
        <w:fldChar w:fldCharType="end"/>
      </w:r>
      <w:r w:rsidR="00934199">
        <w:t>.</w:t>
      </w:r>
      <w:r w:rsidR="004D41C3" w:rsidRPr="005247CB">
        <w:t xml:space="preserve"> </w:t>
      </w:r>
      <w:r w:rsidR="00910B16" w:rsidRPr="005247CB">
        <w:t>Third</w:t>
      </w:r>
      <w:r w:rsidR="00FC3887" w:rsidRPr="005247CB">
        <w:t xml:space="preserve">, </w:t>
      </w:r>
      <w:r w:rsidR="00910B16" w:rsidRPr="005247CB">
        <w:t>a</w:t>
      </w:r>
      <w:r w:rsidR="00FC3887" w:rsidRPr="005247CB">
        <w:t>lthough</w:t>
      </w:r>
      <w:r w:rsidR="00CC79F2" w:rsidRPr="005247CB">
        <w:t xml:space="preserve"> we accounted for imperfect sensitivity of rapid influenza diagnostic tests, we did not consider the impact of false positives on antiviral demand and mortality reduction given uncertainties on background influenza-like illness activity that might prompt uninfected individuals with similar symptoms to seek test-and-treat. However, given the uniformly high specificities of existing rapid tests (&gt;98%)</w:t>
      </w:r>
      <w:r w:rsidR="00174E85">
        <w:t xml:space="preserve"> </w:t>
      </w:r>
      <w:r w:rsidR="00CC79F2" w:rsidRPr="005247CB">
        <w:fldChar w:fldCharType="begin"/>
      </w:r>
      <w:r w:rsidR="006A263E">
        <w:instrText xml:space="preserve"> ADDIN ZOTERO_ITEM CSL_CITATION {"citationID":"a1ur0dh6ak3","properties":{"formattedCitation":"(Merckx et al., 2017)","plainCitation":"(Merckx et al., 2017)","noteIndex":0},"citationItems":[{"id":177,"uris":["http://zotero.org/users/local/0pdZPGmr/items/WU8BFN3C","http://zotero.org/users/9596130/items/WU8BFN3C"],"itemData":{"id":177,"type":"article-journal","abstract":"Background: Rapid and accurate influenza diagnostics can improve patient care. Purpose: To summarize and compare accuracy of traditional rapid influenza diagnostic tests (RIDTs), digital immunoassays (DIAs), and rapid nucleic acid amplification tests (NAATs) in children and adults with suspected influenza. Data Sources: 6 databases from their inception through May 2017. Study Selection: Studies in English, French, or Spanish comparing commercialized rapid tests (that is, providing results in &lt;30 minutes) with reverse transcriptase polymerase chain reaction reference standard for influenza diagnosis. Data Extraction: Data were extracted using a standardized form; quality was assessed using QUADAS-2 (Quality Assessment of Diagnostic Accuracy Studies 2) criteria. Data Synthesis: 162 studies were included (130 of RIDTs, 19 of DIAs, and 13 of NAATs). Pooled sensitivities for detecting influenza A from Bayesian bivariate random-effects models were 54.4% (95% credible interval [CrI], 48.9% to 59.8%) for RIDTs, 80.0% (CrI, 73.4% to 85.6%) for DIAs, and 91.6% (CrI, 84.9% to 95.9%) for NAATs. Those for detecting influenza B were 53.2% (CrI, 41.7% to 64.4%) for RIDTs, 76.8% (CrI, 65.4% to 85.4%) for DIAs, and 95.4% (CrI, 87.3% to 98.7%) for NAATs. Pooled specificities were uniformly high (&gt;98%). Forty-six influenza A and 24 influenza B studies presented pediatric-specific data; 35 influenza A and 16 influenza B studies presented adult-specific data. Pooled sensitivities were higher in children by 12.1 to 31.8 percentage points, except for influenza A by rapid NAATs (2.7 percentage points). Pooled sensitivities favored industry-sponsored studies by 6.2 to 34.0 percentage points. Incomplete reporting frequently led to unclear risk of bias. Limitations: Underreporting of clinical variables limited exploration of heterogeneity. Few NAAT studies reported adult-specific data, and none evaluated point-of-care testing. Many studies had unclear risk of bias. Conclusion: Novel DIAs and rapid NAATs had markedly higher sensitivities for influenza A and B in both children and adults than did traditional RIDTs, with equally high specificities. Primary Funding Source: Québec Health Research Fund and BD Diagnostic Systems.","container-title":"Annals of Internal Medicine","DOI":"10.7326/M17-0848","ISSN":"0003-4819","issue":"6","journalAbbreviation":"Ann Intern Med","note":"publisher: American College of Physicians","page":"394-409","title":"Diagnostic Accuracy of Novel and Traditional Rapid Tests for Influenza Infection Compared With Reverse Transcriptase Polymerase Chain Reaction","volume":"167","author":[{"family":"Merckx","given":"Joanna"},{"family":"Wali","given":"Rehab"},{"family":"Schiller","given":"Ian"},{"family":"Caya","given":"Chelsea"},{"family":"Gore","given":"Genevieve C."},{"family":"Chartrand","given":"Caroline"},{"family":"Dendukuri","given":"Nandini"},{"family":"Papenburg","given":"Jesse"}],"issued":{"date-parts":[["2017",9,19]]}}}],"schema":"https://github.com/citation-style-language/schema/raw/master/csl-citation.json"} </w:instrText>
      </w:r>
      <w:r w:rsidR="00CC79F2" w:rsidRPr="005247CB">
        <w:fldChar w:fldCharType="separate"/>
      </w:r>
      <w:r w:rsidR="006A263E">
        <w:rPr>
          <w:lang w:val="en-US"/>
        </w:rPr>
        <w:t>(Merckx et al., 2017)</w:t>
      </w:r>
      <w:r w:rsidR="00CC79F2" w:rsidRPr="005247CB">
        <w:fldChar w:fldCharType="end"/>
      </w:r>
      <w:r w:rsidR="00174E85">
        <w:t>,</w:t>
      </w:r>
      <w:r w:rsidR="00CC79F2" w:rsidRPr="005247CB">
        <w:t xml:space="preserve"> false positives are unlikely going to change our </w:t>
      </w:r>
      <w:r w:rsidR="00CD6057" w:rsidRPr="005247CB">
        <w:t xml:space="preserve">antiviral </w:t>
      </w:r>
      <w:r w:rsidR="00CC79F2" w:rsidRPr="005247CB">
        <w:t xml:space="preserve">demand and impact estimates substantially. </w:t>
      </w:r>
      <w:r w:rsidR="00456161" w:rsidRPr="005247CB">
        <w:t>Finally, our</w:t>
      </w:r>
      <w:r w:rsidR="00A51DF5" w:rsidRPr="005247CB">
        <w:t xml:space="preserve"> country-level </w:t>
      </w:r>
      <w:r w:rsidR="00092524" w:rsidRPr="005247CB">
        <w:t>modelling framework</w:t>
      </w:r>
      <w:r w:rsidR="00121219" w:rsidRPr="005247CB">
        <w:t xml:space="preserve"> </w:t>
      </w:r>
      <w:r w:rsidR="00A51DF5" w:rsidRPr="005247CB">
        <w:t>and results are</w:t>
      </w:r>
      <w:r w:rsidR="00092524" w:rsidRPr="005247CB">
        <w:t xml:space="preserve"> intended to inform </w:t>
      </w:r>
      <w:r w:rsidR="00A51DF5" w:rsidRPr="005247CB">
        <w:t>public health planning</w:t>
      </w:r>
      <w:r w:rsidR="00C90E0C" w:rsidRPr="005247CB">
        <w:t xml:space="preserve"> and distribution</w:t>
      </w:r>
      <w:r w:rsidR="00A51DF5" w:rsidRPr="005247CB">
        <w:t xml:space="preserve"> of antiviral stockpiles for </w:t>
      </w:r>
      <w:r w:rsidR="00A51DF5" w:rsidRPr="005247CB">
        <w:lastRenderedPageBreak/>
        <w:t>individual countries</w:t>
      </w:r>
      <w:r w:rsidR="0067059F" w:rsidRPr="005247CB">
        <w:t>.</w:t>
      </w:r>
      <w:r w:rsidR="006A61E0" w:rsidRPr="005247CB">
        <w:t xml:space="preserve"> </w:t>
      </w:r>
      <w:r w:rsidR="00C90E0C" w:rsidRPr="005247CB">
        <w:t>We have also only considered the impact of drug resistance spread owing to endogenous emergence of resistant mutations within the country</w:t>
      </w:r>
      <w:r w:rsidR="00624761" w:rsidRPr="005247CB">
        <w:t xml:space="preserve"> and not by exogeneous introduction</w:t>
      </w:r>
      <w:r w:rsidR="00C90E0C" w:rsidRPr="005247CB">
        <w:t>. Future work should investigate the impact of global resistance transmission</w:t>
      </w:r>
      <w:r w:rsidR="00CD0E9D" w:rsidRPr="005247CB">
        <w:t xml:space="preserve"> dynamics</w:t>
      </w:r>
      <w:r w:rsidR="00C90E0C" w:rsidRPr="005247CB">
        <w:t xml:space="preserve"> on antiviral effectiveness.  </w:t>
      </w:r>
      <w:r w:rsidR="006A61E0" w:rsidRPr="005247CB">
        <w:t xml:space="preserve"> </w:t>
      </w:r>
      <w:r w:rsidR="001F53F9" w:rsidRPr="005247CB">
        <w:t xml:space="preserve"> </w:t>
      </w:r>
      <w:r w:rsidR="00BB1D9D" w:rsidRPr="005247CB">
        <w:t xml:space="preserve">  </w:t>
      </w:r>
      <w:r w:rsidR="0067059F" w:rsidRPr="005247CB">
        <w:t xml:space="preserve">   </w:t>
      </w:r>
    </w:p>
    <w:p w14:paraId="27FB28E1" w14:textId="2EB7B9B1" w:rsidR="006B57E3" w:rsidRPr="005247CB" w:rsidRDefault="00CF6438" w:rsidP="00D632DA">
      <w:pPr>
        <w:rPr>
          <w:lang w:val="en-US"/>
        </w:rPr>
      </w:pPr>
      <w:r w:rsidRPr="005247CB">
        <w:t>I</w:t>
      </w:r>
      <w:r w:rsidR="0067059F" w:rsidRPr="005247CB">
        <w:t xml:space="preserve">nfluenza antiviral drugs, in particular BXM given its demonstrated clinical effectiveness in lowering transmission risks, have the potential to significantly </w:t>
      </w:r>
      <w:r w:rsidR="0067059F" w:rsidRPr="005247CB">
        <w:rPr>
          <w:lang w:val="en-US"/>
        </w:rPr>
        <w:t>lower the disease burden of future influenza pandemics.</w:t>
      </w:r>
      <w:r w:rsidR="00391DC6" w:rsidRPr="005247CB">
        <w:rPr>
          <w:lang w:val="en-US"/>
        </w:rPr>
        <w:t xml:space="preserve"> We have computed the expected </w:t>
      </w:r>
      <w:r w:rsidR="00EE29F6" w:rsidRPr="005247CB">
        <w:rPr>
          <w:lang w:val="en-US"/>
        </w:rPr>
        <w:t xml:space="preserve">maximum </w:t>
      </w:r>
      <w:r w:rsidR="00391DC6" w:rsidRPr="005247CB">
        <w:rPr>
          <w:lang w:val="en-US"/>
        </w:rPr>
        <w:t>antiviral demand for treatment</w:t>
      </w:r>
      <w:r w:rsidR="00EE29F6" w:rsidRPr="005247CB">
        <w:rPr>
          <w:lang w:val="en-US"/>
        </w:rPr>
        <w:t xml:space="preserve"> and its corresponding impact</w:t>
      </w:r>
      <w:r w:rsidR="00391DC6" w:rsidRPr="005247CB">
        <w:rPr>
          <w:lang w:val="en-US"/>
        </w:rPr>
        <w:t xml:space="preserve"> in 186 countries</w:t>
      </w:r>
      <w:r w:rsidR="00EE29F6" w:rsidRPr="005247CB">
        <w:rPr>
          <w:lang w:val="en-US"/>
        </w:rPr>
        <w:t xml:space="preserve">. We then </w:t>
      </w:r>
      <w:r w:rsidR="00391DC6" w:rsidRPr="005247CB">
        <w:rPr>
          <w:lang w:val="en-US"/>
        </w:rPr>
        <w:t xml:space="preserve">quantified how this theoretical demand </w:t>
      </w:r>
      <w:r w:rsidR="00EE29F6" w:rsidRPr="005247CB">
        <w:rPr>
          <w:lang w:val="en-US"/>
        </w:rPr>
        <w:t xml:space="preserve">and impact </w:t>
      </w:r>
      <w:r w:rsidR="00391DC6" w:rsidRPr="005247CB">
        <w:rPr>
          <w:lang w:val="en-US"/>
        </w:rPr>
        <w:t xml:space="preserve">could change depending on real-world variations. </w:t>
      </w:r>
      <w:r w:rsidR="009E7386" w:rsidRPr="005247CB">
        <w:rPr>
          <w:lang w:val="en-US"/>
        </w:rPr>
        <w:t xml:space="preserve">Countries </w:t>
      </w:r>
      <w:r w:rsidR="00391DC6" w:rsidRPr="005247CB">
        <w:rPr>
          <w:lang w:val="en-US"/>
        </w:rPr>
        <w:t>could consider our demand and impact estimates to guide their antiviral</w:t>
      </w:r>
      <w:r w:rsidR="009E7386" w:rsidRPr="005247CB">
        <w:rPr>
          <w:lang w:val="en-US"/>
        </w:rPr>
        <w:t xml:space="preserve"> </w:t>
      </w:r>
      <w:r w:rsidR="00391DC6" w:rsidRPr="005247CB">
        <w:rPr>
          <w:lang w:val="en-US"/>
        </w:rPr>
        <w:t>stockpile siz</w:t>
      </w:r>
      <w:r w:rsidR="00EE29F6" w:rsidRPr="005247CB">
        <w:rPr>
          <w:lang w:val="en-US"/>
        </w:rPr>
        <w:t>es and</w:t>
      </w:r>
      <w:r w:rsidR="00C60B27" w:rsidRPr="005247CB">
        <w:rPr>
          <w:lang w:val="en-US"/>
        </w:rPr>
        <w:t xml:space="preserve"> drug distribution strategies</w:t>
      </w:r>
      <w:r w:rsidR="009E7386" w:rsidRPr="005247CB">
        <w:rPr>
          <w:lang w:val="en-US"/>
        </w:rPr>
        <w:t xml:space="preserve"> as part of pandemic preparedness </w:t>
      </w:r>
      <w:r w:rsidR="00391DC6" w:rsidRPr="005247CB">
        <w:rPr>
          <w:lang w:val="en-US"/>
        </w:rPr>
        <w:t>planning</w:t>
      </w:r>
      <w:r w:rsidR="009E7386" w:rsidRPr="005247CB">
        <w:rPr>
          <w:lang w:val="en-US"/>
        </w:rPr>
        <w:t>.</w:t>
      </w:r>
      <w:r w:rsidR="002D78D0" w:rsidRPr="005247CB">
        <w:rPr>
          <w:lang w:val="en-US"/>
        </w:rPr>
        <w:t xml:space="preserve"> </w:t>
      </w:r>
      <w:r w:rsidR="001D3730" w:rsidRPr="005247CB">
        <w:rPr>
          <w:lang w:val="en-US"/>
        </w:rPr>
        <w:t>Global and r</w:t>
      </w:r>
      <w:r w:rsidR="002D78D0" w:rsidRPr="005247CB">
        <w:rPr>
          <w:lang w:val="en-US"/>
        </w:rPr>
        <w:t xml:space="preserve">egional organizations could use our estimates </w:t>
      </w:r>
      <w:r w:rsidR="001D3730" w:rsidRPr="005247CB">
        <w:rPr>
          <w:lang w:val="en-US"/>
        </w:rPr>
        <w:t>as targets for</w:t>
      </w:r>
      <w:r w:rsidR="002D78D0" w:rsidRPr="005247CB">
        <w:rPr>
          <w:lang w:val="en-US"/>
        </w:rPr>
        <w:t xml:space="preserve"> procurement negotiations </w:t>
      </w:r>
      <w:r w:rsidR="001D3730" w:rsidRPr="005247CB">
        <w:rPr>
          <w:lang w:val="en-US"/>
        </w:rPr>
        <w:t xml:space="preserve">while antiviral drug manufacturers could base their production capacity on </w:t>
      </w:r>
      <w:r w:rsidR="00EE29F6" w:rsidRPr="005247CB">
        <w:rPr>
          <w:lang w:val="en-US"/>
        </w:rPr>
        <w:t>the same</w:t>
      </w:r>
      <w:r w:rsidR="001D3730" w:rsidRPr="005247CB">
        <w:rPr>
          <w:lang w:val="en-US"/>
        </w:rPr>
        <w:t xml:space="preserve"> estimates</w:t>
      </w:r>
      <w:r w:rsidR="002D78D0" w:rsidRPr="005247CB">
        <w:rPr>
          <w:lang w:val="en-US"/>
        </w:rPr>
        <w:t>.</w:t>
      </w:r>
      <w:r w:rsidR="009E7386" w:rsidRPr="005247CB">
        <w:rPr>
          <w:lang w:val="en-US"/>
        </w:rPr>
        <w:t xml:space="preserve"> </w:t>
      </w:r>
      <w:r w:rsidR="001D3730" w:rsidRPr="005247CB">
        <w:rPr>
          <w:lang w:val="en-US"/>
        </w:rPr>
        <w:t>However</w:t>
      </w:r>
      <w:r w:rsidR="005E46C9" w:rsidRPr="005247CB">
        <w:rPr>
          <w:lang w:val="en-US"/>
        </w:rPr>
        <w:t>,</w:t>
      </w:r>
      <w:r w:rsidR="00391DC6" w:rsidRPr="005247CB">
        <w:rPr>
          <w:lang w:val="en-US"/>
        </w:rPr>
        <w:t xml:space="preserve"> no single country can stockpile its way </w:t>
      </w:r>
      <w:r w:rsidR="008560CB" w:rsidRPr="005247CB">
        <w:rPr>
          <w:lang w:val="en-US"/>
        </w:rPr>
        <w:t>out of a</w:t>
      </w:r>
      <w:r w:rsidR="005E46C9" w:rsidRPr="005247CB">
        <w:rPr>
          <w:lang w:val="en-US"/>
        </w:rPr>
        <w:t xml:space="preserve"> global</w:t>
      </w:r>
      <w:r w:rsidR="008560CB" w:rsidRPr="005247CB">
        <w:rPr>
          <w:lang w:val="en-US"/>
        </w:rPr>
        <w:t xml:space="preserve"> pandemic emergency</w:t>
      </w:r>
      <w:r w:rsidR="00391DC6" w:rsidRPr="005247CB">
        <w:rPr>
          <w:lang w:val="en-US"/>
        </w:rPr>
        <w:t>.</w:t>
      </w:r>
      <w:r w:rsidR="004F651E" w:rsidRPr="005247CB">
        <w:rPr>
          <w:lang w:val="en-US"/>
        </w:rPr>
        <w:t xml:space="preserve"> Global health</w:t>
      </w:r>
      <w:r w:rsidR="005E46C9" w:rsidRPr="005247CB">
        <w:rPr>
          <w:lang w:val="en-US"/>
        </w:rPr>
        <w:t xml:space="preserve"> </w:t>
      </w:r>
      <w:r w:rsidR="004F651E" w:rsidRPr="005247CB">
        <w:rPr>
          <w:lang w:val="en-US"/>
        </w:rPr>
        <w:t>actors</w:t>
      </w:r>
      <w:r w:rsidR="005E46C9" w:rsidRPr="005247CB">
        <w:rPr>
          <w:lang w:val="en-US"/>
        </w:rPr>
        <w:t xml:space="preserve"> </w:t>
      </w:r>
      <w:r w:rsidR="00E6353E" w:rsidRPr="005247CB">
        <w:rPr>
          <w:lang w:val="en-US"/>
        </w:rPr>
        <w:t>must act now</w:t>
      </w:r>
      <w:r w:rsidR="004F651E" w:rsidRPr="005247CB">
        <w:rPr>
          <w:lang w:val="en-US"/>
        </w:rPr>
        <w:t xml:space="preserve"> to </w:t>
      </w:r>
      <w:r w:rsidR="009366C1" w:rsidRPr="005247CB">
        <w:rPr>
          <w:lang w:val="en-US"/>
        </w:rPr>
        <w:t>ensure</w:t>
      </w:r>
      <w:r w:rsidR="005E46C9" w:rsidRPr="005247CB">
        <w:rPr>
          <w:lang w:val="en-US"/>
        </w:rPr>
        <w:t xml:space="preserve"> </w:t>
      </w:r>
      <w:r w:rsidR="00391DC6" w:rsidRPr="005247CB">
        <w:rPr>
          <w:lang w:val="en-US"/>
        </w:rPr>
        <w:t xml:space="preserve">access to </w:t>
      </w:r>
      <w:r w:rsidR="00E6353E" w:rsidRPr="005247CB">
        <w:rPr>
          <w:lang w:val="en-US"/>
        </w:rPr>
        <w:t xml:space="preserve">pandemic </w:t>
      </w:r>
      <w:r w:rsidR="00391DC6" w:rsidRPr="005247CB">
        <w:rPr>
          <w:lang w:val="en-US"/>
        </w:rPr>
        <w:t>medicines</w:t>
      </w:r>
      <w:r w:rsidR="004F651E" w:rsidRPr="005247CB">
        <w:rPr>
          <w:lang w:val="en-US"/>
        </w:rPr>
        <w:t xml:space="preserve"> </w:t>
      </w:r>
      <w:r w:rsidR="005B0E11" w:rsidRPr="005247CB">
        <w:rPr>
          <w:lang w:val="en-US"/>
        </w:rPr>
        <w:t xml:space="preserve">before </w:t>
      </w:r>
      <w:r w:rsidR="004F651E" w:rsidRPr="005247CB">
        <w:rPr>
          <w:lang w:val="en-US"/>
        </w:rPr>
        <w:t>the next influenza pandemic</w:t>
      </w:r>
      <w:r w:rsidR="00391DC6" w:rsidRPr="005247CB">
        <w:rPr>
          <w:lang w:val="en-US"/>
        </w:rPr>
        <w:t>.</w:t>
      </w:r>
    </w:p>
    <w:p w14:paraId="595B88A0" w14:textId="12E90248" w:rsidR="006C0863" w:rsidRPr="005247CB" w:rsidRDefault="006C0863" w:rsidP="00D632DA"/>
    <w:p w14:paraId="517CC4A5" w14:textId="7C6A9B64" w:rsidR="006C0863" w:rsidRPr="005247CB" w:rsidRDefault="006C0863" w:rsidP="006C0863">
      <w:pPr>
        <w:pStyle w:val="Heading1"/>
      </w:pPr>
      <w:r w:rsidRPr="005247CB">
        <w:t>Methods</w:t>
      </w:r>
    </w:p>
    <w:p w14:paraId="3A90D21F" w14:textId="77777777" w:rsidR="006C0863" w:rsidRPr="005247CB" w:rsidRDefault="006C0863" w:rsidP="006C0863">
      <w:pPr>
        <w:pStyle w:val="Heading2"/>
      </w:pPr>
      <w:r w:rsidRPr="005247CB">
        <w:t xml:space="preserve">Multiscale model </w:t>
      </w:r>
    </w:p>
    <w:p w14:paraId="60D9C37B" w14:textId="0BC26E24" w:rsidR="006C0863" w:rsidRPr="005247CB" w:rsidRDefault="006C0863" w:rsidP="006C0863">
      <w:pPr>
        <w:rPr>
          <w:lang w:val="en-US"/>
        </w:rPr>
      </w:pPr>
      <w:r w:rsidRPr="005247CB">
        <w:rPr>
          <w:lang w:val="en-US"/>
        </w:rPr>
        <w:t>We developed a discrete-time, age-structured, deterministic SIR compartmental model of influenza transmission that can be flexibly parameter</w:t>
      </w:r>
      <w:r w:rsidR="005247CB">
        <w:rPr>
          <w:lang w:val="en-US"/>
        </w:rPr>
        <w:t>ise</w:t>
      </w:r>
      <w:r w:rsidRPr="005247CB">
        <w:rPr>
          <w:lang w:val="en-US"/>
        </w:rPr>
        <w:t>d for individual countries using relevant demographic and age-dependent contact rate data</w:t>
      </w:r>
      <w:r w:rsidR="008A1CDE">
        <w:rPr>
          <w:lang w:val="en-US"/>
        </w:rPr>
        <w:t xml:space="preserve"> (see Appendix)</w:t>
      </w:r>
      <w:r w:rsidRPr="005247CB">
        <w:rPr>
          <w:lang w:val="en-US"/>
        </w:rPr>
        <w:t>. To compute transmission dynamics, we adapted the multi-type renewal equation</w:t>
      </w:r>
      <w:r w:rsidR="00A57E20">
        <w:rPr>
          <w:lang w:val="en-US"/>
        </w:rPr>
        <w:t xml:space="preserve"> </w:t>
      </w:r>
      <w:r w:rsidRPr="005247CB">
        <w:rPr>
          <w:lang w:val="en-US"/>
        </w:rPr>
        <w:fldChar w:fldCharType="begin"/>
      </w:r>
      <w:r w:rsidR="006A263E">
        <w:rPr>
          <w:lang w:val="en-US"/>
        </w:rPr>
        <w:instrText xml:space="preserve"> ADDIN ZOTERO_ITEM CSL_CITATION {"citationID":"a156kckmlti","properties":{"formattedCitation":"(Green et al., 2022)","plainCitation":"(Green et al., 2022)","noteIndex":0},"citationItems":[{"id":5,"uris":["http://zotero.org/users/local/0pdZPGmr/items/4BYUWW3G","http://zotero.org/users/9596130/items/4BYUWW3G"],"itemData":{"id":5,"type":"article-journal","container-title":"Journal of The Royal Society Interface","DOI":"10.1098/rsif.2021.0429","issue":"188","journalAbbreviation":"Journal of The Royal Society Interface","note":"publisher: Royal Society","page":"20210429","title":"Inferring the reproduction number using the renewal equation in heterogeneous epidemics","volume":"19","author":[{"family":"Green","given":"William D."},{"family":"Ferguson","given":"Neil M."},{"family":"Cori","given":"Anne"}],"issued":{"date-parts":[["2022",3,30]]}}}],"schema":"https://github.com/citation-style-language/schema/raw/master/csl-citation.json"} </w:instrText>
      </w:r>
      <w:r w:rsidRPr="005247CB">
        <w:rPr>
          <w:lang w:val="en-US"/>
        </w:rPr>
        <w:fldChar w:fldCharType="separate"/>
      </w:r>
      <w:r w:rsidR="006A263E">
        <w:rPr>
          <w:lang w:val="en-US"/>
        </w:rPr>
        <w:t>(Green et al., 2022)</w:t>
      </w:r>
      <w:r w:rsidRPr="005247CB">
        <w:rPr>
          <w:lang w:val="en-US"/>
        </w:rPr>
        <w:fldChar w:fldCharType="end"/>
      </w:r>
      <w:r w:rsidRPr="005247CB">
        <w:rPr>
          <w:lang w:val="en-US"/>
        </w:rPr>
        <w:t xml:space="preserve"> that accounts for heterogeneity in transmission due to reduction in infectiousness by antiviral treatment which effectiveness predicates on when treatment was initiated since infection, age-dependent contact rates between infected and uninfected individuals, susceptibility and, if given one, protection from infection by PEP of the uninfected individuals. The infectiousness of infected individuals was estimated by a separate target cell-limited within-host model</w:t>
      </w:r>
      <w:r w:rsidR="00A348A1">
        <w:rPr>
          <w:lang w:val="en-US"/>
        </w:rPr>
        <w:t xml:space="preserve"> </w:t>
      </w:r>
      <w:r w:rsidRPr="005247CB">
        <w:rPr>
          <w:lang w:val="en-US"/>
        </w:rPr>
        <w:fldChar w:fldCharType="begin"/>
      </w:r>
      <w:r w:rsidR="006A263E">
        <w:rPr>
          <w:lang w:val="en-US"/>
        </w:rPr>
        <w:instrText xml:space="preserve"> ADDIN ZOTERO_ITEM CSL_CITATION {"citationID":"a1defgdiqbv","properties":{"formattedCitation":"(Hadjichrysanthou et al., 2016)","plainCitation":"(Hadjichrysanthou et al., 2016)","noteIndex":0},"citationItems":[{"id":173,"uris":["http://zotero.org/users/local/0pdZPGmr/items/2GZJLP4Z","http://zotero.org/users/9596130/items/2GZJLP4Z"],"itemData":{"id":173,"type":"article-journal","container-title":"Journal of The Royal Society Interface","DOI":"10.1098/rsif.2016.0289","issue":"119","journalAbbreviation":"Journal of The Royal Society Interface","note":"publisher: Royal Society","page":"20160289","title":"Understanding the within-host dynamics of influenza A virus: from theory to clinical implications","volume":"13","author":[{"family":"Hadjichrysanthou","given":"Christoforos"},{"family":"Cauët","given":"Emilie"},{"family":"Lawrence","given":"Emma"},{"family":"Vegvari","given":"Carolin"},{"family":"Wolf","given":"Frank","non-dropping-particle":"de"},{"family":"Anderson","given":"Roy M."}],"issued":{"date-parts":[["2016",6,1]]}}}],"schema":"https://github.com/citation-style-language/schema/raw/master/csl-citation.json"} </w:instrText>
      </w:r>
      <w:r w:rsidRPr="005247CB">
        <w:rPr>
          <w:lang w:val="en-US"/>
        </w:rPr>
        <w:fldChar w:fldCharType="separate"/>
      </w:r>
      <w:r w:rsidR="006A263E">
        <w:rPr>
          <w:lang w:val="en-US"/>
        </w:rPr>
        <w:t>(Hadjichrysanthou et al., 2016)</w:t>
      </w:r>
      <w:r w:rsidRPr="005247CB">
        <w:rPr>
          <w:lang w:val="en-US"/>
        </w:rPr>
        <w:fldChar w:fldCharType="end"/>
      </w:r>
      <w:r w:rsidR="00A348A1">
        <w:rPr>
          <w:lang w:val="en-US"/>
        </w:rPr>
        <w:t>.</w:t>
      </w:r>
      <w:r w:rsidRPr="005247CB">
        <w:rPr>
          <w:lang w:val="en-US"/>
        </w:rPr>
        <w:t xml:space="preserve"> Assuming that the pandemic IAV has similar within-host virus replication dynamics to seasonal IAVs, we estimated the cell infection and viral replication rate, as well as treatment effectiveness parameters of antivirals by fitting our within-host model to the viral load measurements taken from clinical trial for different </w:t>
      </w:r>
      <w:r w:rsidRPr="005247CB">
        <w:rPr>
          <w:lang w:val="en-US"/>
        </w:rPr>
        <w:lastRenderedPageBreak/>
        <w:t>treatment regimens (i.e. placebo, BXM or oseltamivir) that were administered within two days after symptom onset, with</w:t>
      </w:r>
      <w:r w:rsidR="000E2658">
        <w:rPr>
          <w:lang w:val="en-US"/>
        </w:rPr>
        <w:t xml:space="preserve"> </w:t>
      </w:r>
      <w:r w:rsidRPr="005247CB">
        <w:rPr>
          <w:lang w:val="en-US"/>
        </w:rPr>
        <w:fldChar w:fldCharType="begin"/>
      </w:r>
      <w:r w:rsidR="006A263E">
        <w:rPr>
          <w:lang w:val="en-US"/>
        </w:rPr>
        <w:instrText xml:space="preserve"> ADDIN ZOTERO_ITEM CSL_CITATION {"citationID":"qZGXTYRp","properties":{"formattedCitation":"(Uehara et al., 2020)","plainCitation":"(Uehara et al., 2020)","noteIndex":0},"citationItems":[{"id":14,"uris":["http://zotero.org/users/local/0pdZPGmr/items/Q75YUA7U","http://zotero.org/users/9596130/items/Q75YUA7U"],"itemData":{"id":14,"type":"article-journal","abstract":"Single-dose baloxavir rapidly reduces influenza virus titers and symptoms in patients with uncomplicated influenza, but viruses with reduced in vitro susceptibility due to amino acid substitutions at position 38 of polymerase acidic protein (PA/I38X) sometimes emerge.We evaluated the kinetics, risk factors, and effects on clinical and virologic outcomes of emergence of PA/I38X-substituted viruses.Viruses containing PA/I38X substitutions were identified 3–9 days after baloxavir treatment in 9.7% (36/370) of patients, of whom 85.3% had transient virus titer rises. Median time to sustained cessation of infectious virus detection was 192, 48, and 96 hours in the baloxavir recipients with PA/I38X-substituted viruses, without PA/I38X-substituted viruses, and placebo recipients, respectively. The corresponding median times to alleviation of symptoms were 63.1, 51.0, and 80.2 hours, respectively. After day 5, symptom increases occurred in 11.5%, 8.0%, and 13.0%, respectively, and in 8.9% of oseltamivir recipients. Variant virus emergence was associated with lower baseline neutralizing antibody titers.The emergence of viruses with PA/I38X substitutions following baloxavir treatment was associated with transient rises in infectious virus titers, prolongation of virus detectability, initial delay in symptom alleviation, and uncommonly with symptom rebound. The potential transmissibility of PA/I38X-substituted viruses requires careful study.NCT02954354.","container-title":"The Journal of Infectious Diseases","DOI":"10.1093/infdis/jiz244","ISSN":"0022-1899","issue":"3","journalAbbreviation":"The Journal of Infectious Diseases","page":"346-355","title":"Treatment-Emergent Influenza Variant Viruses With Reduced Baloxavir Susceptibility: Impact on Clinical and Virologic Outcomes in Uncomplicated Influenza","volume":"221","author":[{"family":"Uehara","given":"Takeki"},{"family":"Hayden","given":"Frederick G"},{"family":"Kawaguchi","given":"Keiko"},{"family":"Omoto","given":"Shinya"},{"family":"Hurt","given":"Aeron C"},{"family":"De Jong","given":"Menno D"},{"family":"Hirotsu","given":"Nobuo"},{"family":"Sugaya","given":"Norio"},{"family":"Lee","given":"Nelson"},{"family":"Baba","given":"Keiko"},{"family":"Shishido","given":"Takao"},{"family":"Tsuchiya","given":"Kenji"},{"family":"Portsmouth","given":"Simon"},{"family":"Kida","given":"Hiroshi"}],"issued":{"date-parts":[["2020",1,14]]}}}],"schema":"https://github.com/citation-style-language/schema/raw/master/csl-citation.json"} </w:instrText>
      </w:r>
      <w:r w:rsidRPr="005247CB">
        <w:rPr>
          <w:lang w:val="en-US"/>
        </w:rPr>
        <w:fldChar w:fldCharType="separate"/>
      </w:r>
      <w:r w:rsidR="006A263E">
        <w:rPr>
          <w:lang w:val="en-US"/>
        </w:rPr>
        <w:t>(Uehara et al., 2020)</w:t>
      </w:r>
      <w:r w:rsidRPr="005247CB">
        <w:rPr>
          <w:lang w:val="en-US"/>
        </w:rPr>
        <w:fldChar w:fldCharType="end"/>
      </w:r>
      <w:r w:rsidRPr="005247CB">
        <w:rPr>
          <w:lang w:val="en-US"/>
        </w:rPr>
        <w:t xml:space="preserve"> and without the emergence of BXM-resistant viruses</w:t>
      </w:r>
      <w:r w:rsidR="00F36E21">
        <w:rPr>
          <w:lang w:val="en-US"/>
        </w:rPr>
        <w:t xml:space="preserve"> </w:t>
      </w:r>
      <w:r w:rsidRPr="005247CB">
        <w:rPr>
          <w:lang w:val="en-US"/>
        </w:rPr>
        <w:fldChar w:fldCharType="begin"/>
      </w:r>
      <w:r w:rsidR="006A263E">
        <w:rPr>
          <w:lang w:val="en-US"/>
        </w:rPr>
        <w:instrText xml:space="preserve"> ADDIN ZOTERO_ITEM CSL_CITATION {"citationID":"zLHuxtKF","properties":{"formattedCitation":"(Hayden Frederick G. et al., 2018)","plainCitation":"(Hayden Frederick G. et al., 2018)","noteIndex":0},"citationItems":[{"id":9,"uris":["http://zotero.org/users/local/0pdZPGmr/items/LU5QH5UX","http://zotero.org/users/9596130/items/LU5QH5UX"],"itemData":{"id":9,"type":"article-journal","abstract":"In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Pr="005247CB">
        <w:rPr>
          <w:lang w:val="en-US"/>
        </w:rPr>
        <w:fldChar w:fldCharType="separate"/>
      </w:r>
      <w:r w:rsidR="006A263E">
        <w:rPr>
          <w:lang w:val="en-US"/>
        </w:rPr>
        <w:t>(Hayden Frederick G. et al., 2018)</w:t>
      </w:r>
      <w:r w:rsidRPr="005247CB">
        <w:rPr>
          <w:lang w:val="en-US"/>
        </w:rPr>
        <w:fldChar w:fldCharType="end"/>
      </w:r>
      <w:r w:rsidR="00F36E21">
        <w:rPr>
          <w:lang w:val="en-US"/>
        </w:rPr>
        <w:t>.</w:t>
      </w:r>
      <w:r w:rsidRPr="005247CB">
        <w:rPr>
          <w:lang w:val="en-US"/>
        </w:rPr>
        <w:t xml:space="preserve"> Given that we still lack a quantitative understanding of how within-host viral load links to between-host transmission,</w:t>
      </w:r>
      <w:r w:rsidRPr="005247CB">
        <w:rPr>
          <w:lang w:val="en-US"/>
        </w:rPr>
        <w:fldChar w:fldCharType="begin"/>
      </w:r>
      <w:r w:rsidR="006A263E">
        <w:rPr>
          <w:lang w:val="en-US"/>
        </w:rPr>
        <w:instrText xml:space="preserve"> ADDIN ZOTERO_ITEM CSL_CITATION {"citationID":"anqjk9bjhv","properties":{"formattedCitation":"(Handel and Rohani, 2015)","plainCitation":"(Handel and Rohani, 2015)","noteIndex":0},"citationItems":[{"id":62,"uris":["http://zotero.org/users/local/0pdZPGmr/items/SMLQE5RT","http://zotero.org/users/9596130/items/SMLQE5RT"],"itemData":{"id":62,"type":"article-journal","container-title":"Philosophical Transactions of the Royal Society B: Biological Sciences","DOI":"10.1098/rstb.2014.0302","issue":"1675","journalAbbreviation":"Philosophical Transactions of the Royal Society B: Biological Sciences","note":"publisher: Royal Society","page":"20140302","title":"Crossing the scale from within-host infection dynamics to between-host transmission fitness: a discussion of current assumptions and knowledge","volume":"370","author":[{"family":"Handel","given":"Andreas"},{"family":"Rohani","given":"Pejman"}],"issued":{"date-parts":[["2015",8,19]]}}}],"schema":"https://github.com/citation-style-language/schema/raw/master/csl-citation.json"} </w:instrText>
      </w:r>
      <w:r w:rsidRPr="005247CB">
        <w:rPr>
          <w:lang w:val="en-US"/>
        </w:rPr>
        <w:fldChar w:fldCharType="separate"/>
      </w:r>
      <w:r w:rsidR="006A263E">
        <w:rPr>
          <w:lang w:val="en-US"/>
        </w:rPr>
        <w:t>(Handel and Rohani, 2015)</w:t>
      </w:r>
      <w:r w:rsidRPr="005247CB">
        <w:rPr>
          <w:lang w:val="en-US"/>
        </w:rPr>
        <w:fldChar w:fldCharType="end"/>
      </w:r>
      <w:r w:rsidRPr="005247CB">
        <w:rPr>
          <w:lang w:val="en-US"/>
        </w:rPr>
        <w:t xml:space="preserve"> we applied three different correlative models that were previously applied to infer infectiousness from viral load data of respiratory viral pathogens, estimating the best-fit parameters that align with empirical effectiveness estimates of BXM reducing onward transmission risk by 29% within five days after treatment</w:t>
      </w:r>
      <w:r w:rsidR="009642F7">
        <w:rPr>
          <w:lang w:val="en-US"/>
        </w:rPr>
        <w:t xml:space="preserve"> </w:t>
      </w:r>
      <w:r w:rsidRPr="005247CB">
        <w:rPr>
          <w:lang w:val="en-US"/>
        </w:rPr>
        <w:fldChar w:fldCharType="begin"/>
      </w:r>
      <w:r w:rsidR="006A263E">
        <w:rPr>
          <w:lang w:val="en-US"/>
        </w:rPr>
        <w:instrText xml:space="preserve"> ADDIN ZOTERO_ITEM CSL_CITATION {"citationID":"a1h5uo8emj0","properties":{"formattedCitation":"(Monto Arnold S. et al., 2025)","plainCitation":"(Monto Arnold S. et al., 2025)","noteIndex":0},"citationItems":[{"id":288,"uris":["http://zotero.org/users/9596130/items/HVVT3WY6"],"itemData":{"id":288,"type":"article-journal","container-title":"New England Journal of Medicine","DOI":"10.1056/NEJMoa2413156","issue":"16","journalAbbreviation":"New England Journal of Medicine","note":"publisher: Massachusetts Medical Society","page":"1582-1593","title":"Efficacy of Baloxavir Treatment in Preventing Transmission of Influenza","volume":"392","author":[{"literal":"Monto Arnold S."},{"literal":"Kuhlbusch Klaus"},{"literal":"Bernasconi Corrado"},{"literal":"Cao Bin"},{"literal":"Cohen Herman Avner"},{"literal":"Graham Emily"},{"literal":"Hurt Aeron C."},{"literal":"Katugampola Laurie"},{"literal":"Kamezawa Takashi"},{"literal":"Lauring Adam S."},{"literal":"McLean Barry"},{"literal":"Takazono Takahiro"},{"literal":"Widmer Andreas"},{"literal":"Wildum Steffen"},{"literal":"Cowling Benjamin J."}],"issued":{"date-parts":[["2025",4,23]]}}}],"schema":"https://github.com/citation-style-language/schema/raw/master/csl-citation.json"} </w:instrText>
      </w:r>
      <w:r w:rsidRPr="005247CB">
        <w:rPr>
          <w:lang w:val="en-US"/>
        </w:rPr>
        <w:fldChar w:fldCharType="separate"/>
      </w:r>
      <w:r w:rsidR="006A263E">
        <w:rPr>
          <w:lang w:val="en-US"/>
        </w:rPr>
        <w:t>(Monto Arnold S. et al., 2025)</w:t>
      </w:r>
      <w:r w:rsidRPr="005247CB">
        <w:rPr>
          <w:lang w:val="en-US"/>
        </w:rPr>
        <w:fldChar w:fldCharType="end"/>
      </w:r>
      <w:r w:rsidR="009642F7">
        <w:rPr>
          <w:lang w:val="en-US"/>
        </w:rPr>
        <w:t>.</w:t>
      </w:r>
      <w:r w:rsidRPr="005247CB">
        <w:rPr>
          <w:lang w:val="en-US"/>
        </w:rPr>
        <w:t xml:space="preserve"> As all correlative models yield similar transmission dynamics (see </w:t>
      </w:r>
      <w:r w:rsidR="007E4DD9">
        <w:rPr>
          <w:lang w:val="en-US"/>
        </w:rPr>
        <w:t>Appendix</w:t>
      </w:r>
      <w:r w:rsidR="00D6268C" w:rsidRPr="005247CB">
        <w:rPr>
          <w:lang w:val="en-US"/>
        </w:rPr>
        <w:t xml:space="preserve"> for </w:t>
      </w:r>
      <w:r w:rsidRPr="005247CB">
        <w:rPr>
          <w:lang w:val="en-US"/>
        </w:rPr>
        <w:t xml:space="preserve">model </w:t>
      </w:r>
      <w:r w:rsidR="00D6268C" w:rsidRPr="005247CB">
        <w:rPr>
          <w:lang w:val="en-US"/>
        </w:rPr>
        <w:t>validation</w:t>
      </w:r>
      <w:r w:rsidRPr="005247CB">
        <w:rPr>
          <w:lang w:val="en-US"/>
        </w:rPr>
        <w:t xml:space="preserve"> against US influenza season in 2017/2018), we used the Hill equation model for all simulations and applied the best-fit parameters to estimate the mean infectiousness of infected individuals who were treated at different times during the course of their infection (i.e. within and beyond two days after symptom onset), accounting for individual variances in time to symptom onset since infection, delays in treatment since symptom onset, and whether or not resistant mutant viruses emerge after treatment.</w:t>
      </w:r>
    </w:p>
    <w:p w14:paraId="1D2D25D2" w14:textId="22D7560F" w:rsidR="006C0863" w:rsidRPr="005247CB" w:rsidRDefault="006C0863" w:rsidP="006C0863">
      <w:pPr>
        <w:rPr>
          <w:lang w:val="en-US"/>
        </w:rPr>
      </w:pPr>
      <w:r w:rsidRPr="005247CB">
        <w:rPr>
          <w:lang w:val="en-US"/>
        </w:rPr>
        <w:t xml:space="preserve">See </w:t>
      </w:r>
      <w:r w:rsidR="007E4DD9">
        <w:rPr>
          <w:lang w:val="en-US"/>
        </w:rPr>
        <w:t>Appendix</w:t>
      </w:r>
      <w:r w:rsidRPr="005247CB">
        <w:rPr>
          <w:lang w:val="en-US"/>
        </w:rPr>
        <w:t xml:space="preserve"> for the full formulation of the within- and between-host transmission models. We also included a table of parameters and corresponding values used (</w:t>
      </w:r>
      <w:r w:rsidR="007E4DD9">
        <w:rPr>
          <w:lang w:val="en-US"/>
        </w:rPr>
        <w:t>Appendix Table</w:t>
      </w:r>
      <w:r w:rsidRPr="005247CB">
        <w:rPr>
          <w:lang w:val="en-US"/>
        </w:rPr>
        <w:t xml:space="preserve"> 1), and a summary of key modelling assumptions (</w:t>
      </w:r>
      <w:r w:rsidR="007E4DD9">
        <w:rPr>
          <w:lang w:val="en-US"/>
        </w:rPr>
        <w:t>Appendix Table</w:t>
      </w:r>
      <w:r w:rsidRPr="005247CB">
        <w:rPr>
          <w:lang w:val="en-US"/>
        </w:rPr>
        <w:t xml:space="preserve"> 2) made for the between-host transmission model.</w:t>
      </w:r>
    </w:p>
    <w:p w14:paraId="68109E7C" w14:textId="77777777" w:rsidR="006C0863" w:rsidRPr="005247CB" w:rsidRDefault="006C0863" w:rsidP="006C0863">
      <w:pPr>
        <w:rPr>
          <w:lang w:val="en-US"/>
        </w:rPr>
      </w:pPr>
    </w:p>
    <w:p w14:paraId="609CF9E6" w14:textId="77777777" w:rsidR="006C0863" w:rsidRPr="005247CB" w:rsidRDefault="006C0863" w:rsidP="006C0863">
      <w:pPr>
        <w:pStyle w:val="Heading2"/>
      </w:pPr>
      <w:r w:rsidRPr="005247CB">
        <w:t>Maximum antiviral demand</w:t>
      </w:r>
    </w:p>
    <w:p w14:paraId="012BDA41" w14:textId="3AD7B451" w:rsidR="006C0863" w:rsidRPr="005247CB" w:rsidRDefault="006C0863" w:rsidP="006C0863">
      <w:pPr>
        <w:rPr>
          <w:lang w:val="en-US"/>
        </w:rPr>
      </w:pPr>
      <w:r w:rsidRPr="005247CB">
        <w:rPr>
          <w:lang w:val="en-US"/>
        </w:rPr>
        <w:t>We computed the maximum mean antiviral demand for treatment, using either oseltamivir or BXM as the sole infection control intervention, in 186 countries where age demography and contact rates were estimated by the UN World Population Prospects</w:t>
      </w:r>
      <w:r w:rsidR="00E015AB">
        <w:rPr>
          <w:lang w:val="en-US"/>
        </w:rPr>
        <w:t xml:space="preserve"> </w:t>
      </w:r>
      <w:r w:rsidRPr="005247CB">
        <w:rPr>
          <w:lang w:val="en-US"/>
        </w:rPr>
        <w:fldChar w:fldCharType="begin"/>
      </w:r>
      <w:r w:rsidR="006A263E">
        <w:rPr>
          <w:lang w:val="en-US"/>
        </w:rPr>
        <w:instrText xml:space="preserve"> ADDIN ZOTERO_ITEM CSL_CITATION {"citationID":"a1lormm5to9","properties":{"formattedCitation":"(United Nations, 2024)","plainCitation":"(United Nations, 2024)","noteIndex":0},"citationItems":[{"id":175,"uris":["http://zotero.org/users/local/0pdZPGmr/items/UW6QBSYW","http://zotero.org/users/9596130/items/UW6QBSYW"],"itemData":{"id":175,"type":"webpage","title":"World Population Prospects","URL":"https://population.un.org/wpp/","author":[{"literal":"United Nations"}],"accessed":{"date-parts":[["2025",1,6]]},"issued":{"date-parts":[["2024"]]}}}],"schema":"https://github.com/citation-style-language/schema/raw/master/csl-citation.json"} </w:instrText>
      </w:r>
      <w:r w:rsidRPr="005247CB">
        <w:rPr>
          <w:lang w:val="en-US"/>
        </w:rPr>
        <w:fldChar w:fldCharType="separate"/>
      </w:r>
      <w:r w:rsidR="006A263E">
        <w:rPr>
          <w:lang w:val="en-US"/>
        </w:rPr>
        <w:t>(United Nations, 2024)</w:t>
      </w:r>
      <w:r w:rsidRPr="005247CB">
        <w:rPr>
          <w:lang w:val="en-US"/>
        </w:rPr>
        <w:fldChar w:fldCharType="end"/>
      </w:r>
      <w:r w:rsidRPr="005247CB">
        <w:rPr>
          <w:lang w:val="en-US"/>
        </w:rPr>
        <w:t xml:space="preserve"> and </w:t>
      </w:r>
      <w:r w:rsidRPr="005247CB">
        <w:rPr>
          <w:lang w:val="en-US"/>
        </w:rPr>
        <w:fldChar w:fldCharType="begin"/>
      </w:r>
      <w:r w:rsidR="006A263E">
        <w:rPr>
          <w:lang w:val="en-US"/>
        </w:rPr>
        <w:instrText xml:space="preserve"> ADDIN ZOTERO_ITEM CSL_CITATION {"citationID":"al6nckfn8o","properties":{"formattedCitation":"(Prem et al., 2021)","plainCitation":"(Prem et al., 2021)","noteIndex":0},"citationItems":[{"id":41,"uris":["http://zotero.org/users/local/0pdZPGmr/items/Y9EYKFFU","http://zotero.org/users/9596130/items/Y9EYKFFU"],"itemData":{"id":41,"type":"article-journal","abstract":"Author summary The risk of contracting a directly transmitted infectious disease such as the Coronavirus Disease 2019 (COVID-19) depends on who interacts with whom. Such person-to-person interactions vary by age and locations—e.g., at home, at work, at school, or in the community—due to the different social structures. These social structures, and thus contact patterns, vary across and within countries. Although social contact patterns can be measured using contact surveys, the majority of countries around the world, particularly low- and middle-income countries, lack nationally representative contact surveys. A simple way to present contact data is to use matrices where the elements represent the rate of contact between subgroups such as age groups represented by the columns and rows. In 2017, we generated age- and location-specific synthetic contact matrices for 152 geographical regions by adapting contact pattern data from eight European countries using country-specific data on household size, school and workplace composition. We have now updated these matrices with the most recent data (Demographic Household Surveys, World Bank, UN Population Division) extending the coverage to 177 geographical locations, covering 97.2% of the world’s population. We also quantified contact patterns in rural and urban settings. When compared to out-of-sample empirically-measured contact patterns, we found that the synthetic matrices reproduce the main features of these contact patterns.","container-title":"PLOS Computational Biology","DOI":"10.1371/journal.pcbi.1009098","issue":"7","journalAbbreviation":"PLOS Computational Biology","note":"publisher: Public Library of Science","page":"e1009098","title":"Projecting contact matrices in 177 geographical regions: An update and comparison with empirical data for the COVID-19 era","volume":"17","author":[{"family":"Prem","given":"Kiesha"},{"family":"Zandvoort","given":"Kevin","dropping-particle":"van"},{"family":"Klepac","given":"Petra"},{"family":"Eggo","given":"Rosalind M."},{"family":"Davies","given":"Nicholas G."},{"literal":"Centre for the Mathematical Modelling of Infectious Diseases COVID-19 Working Group"},{"family":"Cook","given":"Alex R."},{"family":"Jit","given":"Mark"}],"issued":{"date-parts":[["2021",7,26]]}}}],"schema":"https://github.com/citation-style-language/schema/raw/master/csl-citation.json"} </w:instrText>
      </w:r>
      <w:r w:rsidRPr="005247CB">
        <w:rPr>
          <w:lang w:val="en-US"/>
        </w:rPr>
        <w:fldChar w:fldCharType="separate"/>
      </w:r>
      <w:r w:rsidR="006A263E">
        <w:rPr>
          <w:lang w:val="en-US"/>
        </w:rPr>
        <w:t>(Prem et al., 2021)</w:t>
      </w:r>
      <w:r w:rsidRPr="005247CB">
        <w:rPr>
          <w:lang w:val="en-US"/>
        </w:rPr>
        <w:fldChar w:fldCharType="end"/>
      </w:r>
      <w:r w:rsidRPr="005247CB">
        <w:rPr>
          <w:lang w:val="en-US"/>
        </w:rPr>
        <w:t xml:space="preserve"> respectively, during the first wave of four influenza pandemic scenarios with distinct basic reproduction number, age-stratified susceptibility to infection and case fatality rates (i.e. a severe pandemic with a W-shaped age-specific mortality curve, 1918 A/H1N1</w:t>
      </w:r>
      <w:r w:rsidR="008E4BC2">
        <w:rPr>
          <w:lang w:val="en-US"/>
        </w:rPr>
        <w:t xml:space="preserve"> </w:t>
      </w:r>
      <w:r w:rsidRPr="005247CB">
        <w:rPr>
          <w:lang w:val="en-US"/>
        </w:rPr>
        <w:fldChar w:fldCharType="begin"/>
      </w:r>
      <w:r w:rsidR="006A263E">
        <w:rPr>
          <w:lang w:val="en-US"/>
        </w:rPr>
        <w:instrText xml:space="preserve"> ADDIN ZOTERO_ITEM CSL_CITATION {"citationID":"a2no0huc2p8","properties":{"formattedCitation":"(Luk et al., 2001; Taubenberger and Morens, 2006)","plainCitation":"(Luk et al., 2001; Taubenberger and Morens, 2006)","noteIndex":0},"citationItems":[{"id":189,"uris":["http://zotero.org/users/local/0pdZPGmr/items/B4YIBH2K","http://zotero.org/users/9596130/items/B4YIBH2K"],"itemData":{"id":189,"type":"article-journal","abstract":"The original purpose of our study was to examine the unusual W-shaped mortality curve associated with the 1918 influenza pandemic and possibly explain the peak in mortality among individuals aged 20–40 years. We plotted age-specific excess mortality instead of total mortality for the 1918 pandemic using a 5-year baseline. For comparison, we also graphed excess mortality curves for the 1957 and 1968 pandemics using 5-year baselines. The 1957 and 1968 curves exhibited the usual U-shaped curve, with high excess mortality among infants and the elderly population relative to young adults. The 1918 curve, however, presented unexpected results. A peak in excess mortality among infants and young adults was seen, but the expected W shape did not result. We instead found negative excess mortality among elderly individuals, suggesting that this group was exposed, at an earlier date, to an influenza strain similar to the so-called Spanish influenza (H1N1) strain.","container-title":"Clinical Infectious Diseases","DOI":"10.1086/322662","ISSN":"1058-4838","issue":"8","journalAbbreviation":"Clinical Infectious Diseases","page":"1375-1378","title":"Observations on Mortality during the 1918 Influenza Pandemic","volume":"33","author":[{"family":"Luk","given":"Jeffrey"},{"family":"Gross","given":"Peter"},{"family":"Thompson","given":"William W."}],"issued":{"date-parts":[["2001",10,15]]}}},{"id":192,"uris":["http://zotero.org/users/local/0pdZPGmr/items/89XR3V2F","http://zotero.org/users/9596130/items/89XR3V2F"],"itemData":{"id":192,"type":"article-journal","abstract":"The \"Spanish\" influenza pandemic of 1918–1919, which caused ≈50 million deaths worldwide, remains an ominous warning to public health. Many questions about its origins, its unusual epidemiologic features, and the basis of its pathogenicity remain unanswered. The public health implications of the pandemic therefore remain in doubt even as we now grapple with the feared emergence of a pandemic caused by H5N1 or other virus. However, new information about the 1918 virus is emerging, for example, sequencing of the entire genome from archival autopsy tissues. But, the viral genome alone is unlikely to provide answers to some critical questions. Understanding the 1918 pandemic and its implications for future pandemics requires careful experimentation and in-depth historical analysis.","container-title":"Emerging Infectious Disease journal","DOI":"10.3201/eid1201.050979","ISSN":"1080-6059","issue":"1","page":"15","title":"1918 Influenza: the Mother of All Pandemics","volume":"12","author":[{"family":"Taubenberger","given":"Jeffery"},{"family":"Morens","given":"David"}],"issued":{"date-parts":[["2006"]]}}}],"schema":"https://github.com/citation-style-language/schema/raw/master/csl-citation.json"} </w:instrText>
      </w:r>
      <w:r w:rsidRPr="005247CB">
        <w:rPr>
          <w:lang w:val="en-US"/>
        </w:rPr>
        <w:fldChar w:fldCharType="separate"/>
      </w:r>
      <w:r w:rsidR="006A263E">
        <w:rPr>
          <w:lang w:val="en-US"/>
        </w:rPr>
        <w:t>(Luk et al., 2001; Taubenberger and Morens, 2006)</w:t>
      </w:r>
      <w:r w:rsidRPr="005247CB">
        <w:rPr>
          <w:lang w:val="en-US"/>
        </w:rPr>
        <w:fldChar w:fldCharType="end"/>
      </w:r>
      <w:r w:rsidR="008E4BC2">
        <w:rPr>
          <w:lang w:val="en-US"/>
        </w:rPr>
        <w:t>;</w:t>
      </w:r>
      <w:r w:rsidRPr="005247CB">
        <w:rPr>
          <w:lang w:val="en-US"/>
        </w:rPr>
        <w:t xml:space="preserve"> a moderately severe pandemic U-shaped age-specific mortality curve, 1968 A/H3N2</w:t>
      </w:r>
      <w:r w:rsidR="00C846A9">
        <w:rPr>
          <w:lang w:val="en-US"/>
        </w:rPr>
        <w:t xml:space="preserve"> </w:t>
      </w:r>
      <w:r w:rsidRPr="005247CB">
        <w:rPr>
          <w:lang w:val="en-US"/>
        </w:rPr>
        <w:fldChar w:fldCharType="begin"/>
      </w:r>
      <w:r w:rsidR="006A263E">
        <w:rPr>
          <w:lang w:val="en-US"/>
        </w:rPr>
        <w:instrText xml:space="preserve"> ADDIN ZOTERO_ITEM CSL_CITATION {"citationID":"aqqb04grqs","properties":{"formattedCitation":"(Luk et al., 2001; Taubenberger and Morens, 2006)","plainCitation":"(Luk et al., 2001; Taubenberger and Morens, 2006)","noteIndex":0},"citationItems":[{"id":189,"uris":["http://zotero.org/users/local/0pdZPGmr/items/B4YIBH2K","http://zotero.org/users/9596130/items/B4YIBH2K"],"itemData":{"id":189,"type":"article-journal","abstract":"The original purpose of our study was to examine the unusual W-shaped mortality curve associated with the 1918 influenza pandemic and possibly explain the peak in mortality among individuals aged 20–40 years. We plotted age-specific excess mortality instead of total mortality for the 1918 pandemic using a 5-year baseline. For comparison, we also graphed excess mortality curves for the 1957 and 1968 pandemics using 5-year baselines. The 1957 and 1968 curves exhibited the usual U-shaped curve, with high excess mortality among infants and the elderly population relative to young adults. The 1918 curve, however, presented unexpected results. A peak in excess mortality among infants and young adults was seen, but the expected W shape did not result. We instead found negative excess mortality among elderly individuals, suggesting that this group was exposed, at an earlier date, to an influenza strain similar to the so-called Spanish influenza (H1N1) strain.","container-title":"Clinical Infectious Diseases","DOI":"10.1086/322662","ISSN":"1058-4838","issue":"8","journalAbbreviation":"Clinical Infectious Diseases","page":"1375-1378","title":"Observations on Mortality during the 1918 Influenza Pandemic","volume":"33","author":[{"family":"Luk","given":"Jeffrey"},{"family":"Gross","given":"Peter"},{"family":"Thompson","given":"William W."}],"issued":{"date-parts":[["2001",10,15]]}}},{"id":192,"uris":["http://zotero.org/users/local/0pdZPGmr/items/89XR3V2F","http://zotero.org/users/9596130/items/89XR3V2F"],"itemData":{"id":192,"type":"article-journal","abstract":"The \"Spanish\" influenza pandemic of 1918–1919, which caused ≈50 million deaths worldwide, remains an ominous warning to public health. Many questions about its origins, its unusual epidemiologic features, and the basis of its pathogenicity remain unanswered. The public health implications of the pandemic therefore remain in doubt even as we now grapple with the feared emergence of a pandemic caused by H5N1 or other virus. However, new information about the 1918 virus is emerging, for example, sequencing of the entire genome from archival autopsy tissues. But, the viral genome alone is unlikely to provide answers to some critical questions. Understanding the 1918 pandemic and its implications for future pandemics requires careful experimentation and in-depth historical analysis.","container-title":"Emerging Infectious Disease journal","DOI":"10.3201/eid1201.050979","ISSN":"1080-6059","issue":"1","page":"15","title":"1918 Influenza: the Mother of All Pandemics","volume":"12","author":[{"family":"Taubenberger","given":"Jeffery"},{"family":"Morens","given":"David"}],"issued":{"date-parts":[["2006"]]}}}],"schema":"https://github.com/citation-style-language/schema/raw/master/csl-citation.json"} </w:instrText>
      </w:r>
      <w:r w:rsidRPr="005247CB">
        <w:rPr>
          <w:lang w:val="en-US"/>
        </w:rPr>
        <w:fldChar w:fldCharType="separate"/>
      </w:r>
      <w:r w:rsidR="006A263E">
        <w:rPr>
          <w:lang w:val="en-US"/>
        </w:rPr>
        <w:t>(Luk et al., 2001; Taubenberger and Morens, 2006)</w:t>
      </w:r>
      <w:r w:rsidRPr="005247CB">
        <w:rPr>
          <w:lang w:val="en-US"/>
        </w:rPr>
        <w:fldChar w:fldCharType="end"/>
      </w:r>
      <w:r w:rsidR="00C846A9">
        <w:rPr>
          <w:lang w:val="en-US"/>
        </w:rPr>
        <w:t>;</w:t>
      </w:r>
      <w:r w:rsidRPr="005247CB">
        <w:rPr>
          <w:lang w:val="en-US"/>
        </w:rPr>
        <w:t xml:space="preserve"> a mild pandemic with greater relative mortality rates among adults &lt;65 years of age, 2009 A/H1N1</w:t>
      </w:r>
      <w:r w:rsidR="00E770AE">
        <w:rPr>
          <w:lang w:val="en-US"/>
        </w:rPr>
        <w:t xml:space="preserve"> </w:t>
      </w:r>
      <w:r w:rsidRPr="005247CB">
        <w:rPr>
          <w:lang w:val="en-US"/>
        </w:rPr>
        <w:fldChar w:fldCharType="begin"/>
      </w:r>
      <w:r w:rsidR="006A263E">
        <w:rPr>
          <w:lang w:val="en-US"/>
        </w:rPr>
        <w:instrText xml:space="preserve"> ADDIN ZOTERO_ITEM CSL_CITATION {"citationID":"a23n8md94v0","properties":{"formattedCitation":"(Dawood et al., 2012)","plainCitation":"(Dawood et al., 2012)","noteIndex":0},"citationItems":[{"id":190,"uris":["http://zotero.org/users/local/0pdZPGmr/items/XAJUCWF4","http://zotero.org/users/9596130/items/XAJUCWF4"],"itemData":{"id":190,"type":"article-journal","container-title":"The Lancet Infectious Diseases","DOI":"10.1016/S1473-3099(12)70121-4","ISSN":"1473-3099","issue":"9","note":"publisher: Elsevier","page":"687-695","title":"Estimated global mortality associated with the first 12 months of 2009 pandemic influenza A H1N1 virus circulation: a modelling study","volume":"12","author":[{"family":"Dawood","given":"Fatimah S"},{"family":"Iuliano","given":"A Danielle"},{"family":"Reed","given":"Carrie"},{"family":"Meltzer","given":"Martin I"},{"family":"Shay","given":"David K"},{"family":"Cheng","given":"Po-Yung"},{"family":"Bandaranayake","given":"Don"},{"family":"Breiman","given":"Robert F"},{"family":"Brooks","given":"W Abdullah"},{"family":"Buchy","given":"Philippe"},{"family":"Feikin","given":"Daniel R"},{"family":"Fowler","given":"Karen B"},{"family":"Gordon","given":"Aubree"},{"family":"Hien","given":"Nguyen Tran"},{"family":"Horby","given":"Peter"},{"family":"Huang","given":"Q Sue"},{"family":"Katz","given":"Mark A"},{"family":"Krishnan","given":"Anand"},{"family":"Lal","given":"Renu"},{"family":"Montgomery","given":"Joel M"},{"family":"Mølbak","given":"Kåre"},{"family":"Pebody","given":"Richard"},{"family":"Presanis","given":"Anne M"},{"family":"Razuri","given":"Hugo"},{"family":"Steens","given":"Anneke"},{"family":"Tinoco","given":"Yeny O"},{"family":"Wallinga","given":"Jacco"},{"family":"Yu","given":"Hongjie"},{"family":"Vong","given":"Sirenda"},{"family":"Bresee","given":"Joseph"},{"family":"Widdowson","given":"Marc-Alain"}],"issued":{"date-parts":[["2012",9,1]]}}}],"schema":"https://github.com/citation-style-language/schema/raw/master/csl-citation.json"} </w:instrText>
      </w:r>
      <w:r w:rsidRPr="005247CB">
        <w:rPr>
          <w:lang w:val="en-US"/>
        </w:rPr>
        <w:fldChar w:fldCharType="separate"/>
      </w:r>
      <w:r w:rsidR="006A263E">
        <w:rPr>
          <w:lang w:val="en-US"/>
        </w:rPr>
        <w:t>(Dawood et al., 2012)</w:t>
      </w:r>
      <w:r w:rsidRPr="005247CB">
        <w:rPr>
          <w:lang w:val="en-US"/>
        </w:rPr>
        <w:fldChar w:fldCharType="end"/>
      </w:r>
      <w:r w:rsidR="00E770AE">
        <w:rPr>
          <w:lang w:val="en-US"/>
        </w:rPr>
        <w:t>;</w:t>
      </w:r>
      <w:r w:rsidRPr="005247CB">
        <w:rPr>
          <w:lang w:val="en-US"/>
        </w:rPr>
        <w:t xml:space="preserve"> a severe pandemic with greater relative susceptibility and mortality rates among adults </w:t>
      </w:r>
      <m:oMath>
        <m:r>
          <w:rPr>
            <w:rFonts w:ascii="Cambria Math" w:hAnsi="Cambria Math"/>
            <w:lang w:val="en-US"/>
          </w:rPr>
          <m:t>≥</m:t>
        </m:r>
      </m:oMath>
      <w:r w:rsidRPr="005247CB">
        <w:rPr>
          <w:lang w:val="en-US"/>
        </w:rPr>
        <w:t>65 years of age, COVID-19</w:t>
      </w:r>
      <w:r w:rsidR="001C6A6E">
        <w:rPr>
          <w:lang w:val="en-US"/>
        </w:rPr>
        <w:t xml:space="preserve"> </w:t>
      </w:r>
      <w:r w:rsidRPr="005247CB">
        <w:rPr>
          <w:lang w:val="en-US"/>
        </w:rPr>
        <w:lastRenderedPageBreak/>
        <w:fldChar w:fldCharType="begin"/>
      </w:r>
      <w:r w:rsidR="006A263E">
        <w:rPr>
          <w:lang w:val="en-US"/>
        </w:rPr>
        <w:instrText xml:space="preserve"> ADDIN ZOTERO_ITEM CSL_CITATION {"citationID":"a2ovu1vjnj","properties":{"formattedCitation":"(Verity et al., 2020; Zhang et al., 2020)","plainCitation":"(Verity et al., 2020; Zhang et al., 2020)","noteIndex":0},"citationItems":[{"id":106,"uris":["http://zotero.org/users/local/0pdZPGmr/items/TC6DZ35V","http://zotero.org/users/9596130/items/TC6DZ35V"],"itemData":{"id":106,"type":"article-journal","abstract":"The coronavirus 2019 (COVID-19) pandemic has brought tighter restrictions on the daily lives of millions of people, but we do not yet understand what measures are the most effective. Zhang et al. modeled virus transmission in Wuhan, China, in February 2020, investigating the effects of interventions ranging from patient management to social isolation. Age-mixing patterns were estimated by contact surveys conducted in Wuhan and Shanghai at the beginning of February 2020. Once people reduced their average daily contacts from 14 to 20 down to 2, transmission rapidly fell below the epidemic threshold. The model also showed that preemptive school closures helped to reduce transmission, although alone they would not prevent a COVID-19 outbreak. Limiting human mixing to within households appeared to be the most effective measure. Science, this issue p. 1481 Reducing social contacts on the scale achieved in Wuhan and Shanghai in early 2020 could be sufficient to bring a COVID-19 outbreak under control. Intense nonpharmaceutical interventions were put in place in China to stop transmission of the novel coronavirus disease 2019 (COVID-19). As transmission intensifies in other countries, the interplay between age, contact patterns, social distancing, susceptibility to infection, and COVID-19 dynamics remains unclear. To answer these questions, we analyze contact survey data for Wuhan and Shanghai before and during the outbreak and contact-tracing information from Hunan province. Daily contacts were reduced seven- to eightfold during the COVID-19 social distancing period, with most interactions restricted to the household. We find that children 0 to 14 years of age are less susceptible to severe acute respiratory syndrome coronavirus 2 (SARS-CoV-2) infection than adults 15 to 64 years of age (odds ratio 0.34, 95% confidence interval 0.24 to 0.49), whereas individuals more than 65 years of age are more susceptible to infection (odds ratio 1.47, 95% confidence interval 1.12 to 1.92). Based on these data, we built a transmission model to study the impact of social distancing and school closure on transmission. We find that social distancing alone, as implemented in China during the outbreak, is sufficient to control COVID-19. Although proactive school closures cannot interrupt transmission on their own, they can reduce peak incidence by 40 to 60% and delay the epidemic.","container-title":"Science","DOI":"10.1126/science.abb8001","issue":"6498","journalAbbreviation":"Science","note":"publisher: American Association for the Advancement of Science","page":"1481-1486","title":"Changes in contact patterns shape the dynamics of the COVID-19 outbreak in China","volume":"368","author":[{"family":"Zhang","given":"Juanjuan"},{"family":"Litvinova","given":"Maria"},{"family":"Liang","given":"Yuxia"},{"family":"Wang","given":"Yan"},{"family":"Wang","given":"Wei"},{"family":"Zhao","given":"Shanlu"},{"family":"Wu","given":"Qianhui"},{"family":"Merler","given":"Stefano"},{"family":"Viboud","given":"Cécile"},{"family":"Vespignani","given":"Alessandro"},{"family":"Ajelli","given":"Marco"},{"family":"Yu","given":"Hongjie"}],"issued":{"date-parts":[["2020",6,26]]}}},{"id":193,"uris":["http://zotero.org/users/local/0pdZPGmr/items/PTFSEJUA","http://zotero.org/users/9596130/items/PTFSEJUA"],"itemData":{"id":193,"type":"article-journal","container-title":"The Lancet Infectious Diseases","DOI":"10.1016/S1473-3099(20)30243-7","ISSN":"1473-3099","issue":"6","note":"publisher: Elsevier","page":"669-677","title":"Estimates of the severity of coronavirus disease 2019: a model-based analysis","volume":"20","author":[{"family":"Verity","given":"Robert"},{"family":"Okell","given":"Lucy C"},{"family":"Dorigatti","given":"Ilaria"},{"family":"Winskill","given":"Peter"},{"family":"Whittaker","given":"Charles"},{"family":"Imai","given":"Natsuko"},{"family":"Cuomo-Dannenburg","given":"Gina"},{"family":"Thompson","given":"Hayley"},{"family":"Walker","given":"Patrick G T"},{"family":"Fu","given":"Han"},{"family":"Dighe","given":"Amy"},{"family":"Griffin","given":"Jamie T"},{"family":"Baguelin","given":"Marc"},{"family":"Bhatia","given":"Sangeeta"},{"family":"Boonyasiri","given":"Adhiratha"},{"family":"Cori","given":"Anne"},{"family":"Cucunubá","given":"Zulma"},{"family":"FitzJohn","given":"Rich"},{"family":"Gaythorpe","given":"Katy"},{"family":"Green","given":"Will"},{"family":"Hamlet","given":"Arran"},{"family":"Hinsley","given":"Wes"},{"family":"Laydon","given":"Daniel"},{"family":"Nedjati-Gilani","given":"Gemma"},{"family":"Riley","given":"Steven"},{"family":"Elsland","given":"Sabine","non-dropping-particle":"van"},{"family":"Volz","given":"Erik"},{"family":"Wang","given":"Haowei"},{"family":"Wang","given":"Yuanrong"},{"family":"Xi","given":"Xiaoyue"},{"family":"Donnelly","given":"Christl A"},{"family":"Ghani","given":"Azra C"},{"family":"Ferguson","given":"Neil M"}],"issued":{"date-parts":[["2020",6,1]]}}}],"schema":"https://github.com/citation-style-language/schema/raw/master/csl-citation.json"} </w:instrText>
      </w:r>
      <w:r w:rsidRPr="005247CB">
        <w:rPr>
          <w:lang w:val="en-US"/>
        </w:rPr>
        <w:fldChar w:fldCharType="separate"/>
      </w:r>
      <w:r w:rsidR="006A263E">
        <w:rPr>
          <w:lang w:val="en-US"/>
        </w:rPr>
        <w:t>(Verity et al., 2020; Zhang et al., 2020)</w:t>
      </w:r>
      <w:r w:rsidRPr="005247CB">
        <w:rPr>
          <w:lang w:val="en-US"/>
        </w:rPr>
        <w:fldChar w:fldCharType="end"/>
      </w:r>
      <w:r w:rsidR="001C6A6E">
        <w:rPr>
          <w:lang w:val="en-US"/>
        </w:rPr>
        <w:t>;</w:t>
      </w:r>
      <w:r w:rsidRPr="005247CB">
        <w:rPr>
          <w:lang w:val="en-US"/>
        </w:rPr>
        <w:t xml:space="preserve"> </w:t>
      </w:r>
      <w:r w:rsidR="007E4DD9">
        <w:rPr>
          <w:lang w:val="en-US"/>
        </w:rPr>
        <w:t>Appendix Table</w:t>
      </w:r>
      <w:r w:rsidRPr="005247CB">
        <w:rPr>
          <w:lang w:val="en-US"/>
        </w:rPr>
        <w:t xml:space="preserve"> 1) akin to the 1918 A/H1N1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oMath>
      <w:r w:rsidRPr="005247CB">
        <w:rPr>
          <w:lang w:val="en-US"/>
        </w:rPr>
        <w:t>=2.0), 1968 A/H3N2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oMath>
      <w:r w:rsidRPr="005247CB">
        <w:rPr>
          <w:lang w:val="en-US"/>
        </w:rPr>
        <w:t>=1.8), 2009 A/H1N1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oMath>
      <w:r w:rsidRPr="005247CB">
        <w:rPr>
          <w:lang w:val="en-US"/>
        </w:rPr>
        <w:t>=1.5) and an influenza pandemic with COVID-19-like reproduction number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oMath>
      <w:r w:rsidRPr="005247CB">
        <w:rPr>
          <w:lang w:val="en-US"/>
        </w:rPr>
        <w:t>=3.0) and disease burden but with IAV-like generation interval. We assumed that 84% of infections were symptomatic even though prevalence of asymptomatic influenza remains largely uncertain</w:t>
      </w:r>
      <w:r w:rsidR="00DB1D0F">
        <w:rPr>
          <w:lang w:val="en-US"/>
        </w:rPr>
        <w:t xml:space="preserve"> </w:t>
      </w:r>
      <w:r w:rsidRPr="005247CB">
        <w:rPr>
          <w:lang w:val="en-US"/>
        </w:rPr>
        <w:fldChar w:fldCharType="begin"/>
      </w:r>
      <w:r w:rsidR="006A263E">
        <w:rPr>
          <w:lang w:val="en-US"/>
        </w:rPr>
        <w:instrText xml:space="preserve"> ADDIN ZOTERO_ITEM CSL_CITATION {"citationID":"a11heed8r74","properties":{"formattedCitation":"(Leung et al., 2015)","plainCitation":"(Leung et al., 2015)","noteIndex":0},"citationItems":[{"id":110,"uris":["http://zotero.org/users/local/0pdZPGmr/items/5PRSKE77","http://zotero.org/users/9596130/items/5PRSKE77"],"itemData":{"id":110,"type":"article-journal","abstract":"Background: \n\nThe fraction of persons with influenza virus infection, who do not report any signs or symptoms throughout the course of infection is referred to as the asymptomatic fraction.\n\nMethods:\n\nWe conducted a systematic review and meta-analysis of published estimates of the asymptomatic fraction of influenza virus infections. We found that estimates of the asymptomatic fraction were reported from two different types of studies: first, outbreak investigations with short-term follow-up of potentially exposed persons and virologic confirmation of infections; second, studies conducted across epidemics typically evaluating rates of acute respiratory illness among persons with serologic evidence of infection, in some cases adjusting for background rates of illness from other causes.\n\nResults:\n\nMost point estimates from studies of outbreak investigations fell in the range 4%–28% with low heterogeneity (I2 = 0%) with a pooled mean of 16% (95% confidence interval = 13%, 19%). Estimates from the studies conducted across epidemics without adjustment were very heterogeneous (point estimates 0%–100%; I 2 = 97%), while estimates from studies that adjusted for background illnesses were more consistent with point estimates in the range 65%–85% and moderate heterogeneity (I2 = 58%). Variation in estimates could be partially explained by differences in study design and analysis, and inclusion of mild symptomatic illnesses as asymptomatic in some studies.\n\nConclusions:\n\nEstimates of the asymptomatic fraction are affected by the study design, and the definitions of infection and symptomatic illness. Considerable differences between the asymptomatic fraction of infections confirmed by virologic versus serologic testing may indicate fundamental differences in the interpretation of these two indicators.","container-title":"Epidemiology","ISSN":"1044-3983","issue":"6","title":"Review Article: The Fraction of Influenza Virus Infections That Are Asymptomatic: A Systematic Review and Meta-analysis","URL":"https://journals.lww.com/epidem/fulltext/2015/11000/review_article__the_fraction_of_influenza_virus.13.aspx","volume":"26","author":[{"family":"Leung","given":"Nancy H. L."},{"family":"Xu","given":"Cuiling"},{"family":"Ip","given":"Dennis K. M."},{"family":"Cowling","given":"Benjamin J."}],"issued":{"date-parts":[["2015"]]}}}],"schema":"https://github.com/citation-style-language/schema/raw/master/csl-citation.json"} </w:instrText>
      </w:r>
      <w:r w:rsidRPr="005247CB">
        <w:rPr>
          <w:lang w:val="en-US"/>
        </w:rPr>
        <w:fldChar w:fldCharType="separate"/>
      </w:r>
      <w:r w:rsidR="006A263E">
        <w:rPr>
          <w:lang w:val="en-US"/>
        </w:rPr>
        <w:t>(Leung et al., 2015)</w:t>
      </w:r>
      <w:r w:rsidRPr="005247CB">
        <w:rPr>
          <w:lang w:val="en-US"/>
        </w:rPr>
        <w:fldChar w:fldCharType="end"/>
      </w:r>
      <w:r w:rsidR="00DB1D0F">
        <w:rPr>
          <w:lang w:val="en-US"/>
        </w:rPr>
        <w:t>.</w:t>
      </w:r>
      <w:r w:rsidRPr="005247CB">
        <w:rPr>
          <w:lang w:val="en-US"/>
        </w:rPr>
        <w:t xml:space="preserve"> We also assumed that asymptomatic individuals are as infectious as their symptomatic counterparts. </w:t>
      </w:r>
    </w:p>
    <w:p w14:paraId="0A60A018" w14:textId="1BCD47E3" w:rsidR="006C0863" w:rsidRPr="005247CB" w:rsidRDefault="006C0863" w:rsidP="006C0863">
      <w:pPr>
        <w:rPr>
          <w:lang w:val="en-US"/>
        </w:rPr>
      </w:pPr>
      <w:r w:rsidRPr="005247CB">
        <w:rPr>
          <w:lang w:val="en-US"/>
        </w:rPr>
        <w:t>To estimate the maximum mean antiviral demand, we assumed that there were no age restrictions in access to antivirals and that 95% of all symptomatic individuals would ideally seek clinical intervention within two days after symptom onset, lognormally distributed across time (i.e. mean=1 day, sd=0.6 days after symptom onset). We also assumed that an ideal</w:t>
      </w:r>
      <w:r w:rsidR="005247CB">
        <w:rPr>
          <w:lang w:val="en-US"/>
        </w:rPr>
        <w:t>ise</w:t>
      </w:r>
      <w:r w:rsidRPr="005247CB">
        <w:rPr>
          <w:lang w:val="en-US"/>
        </w:rPr>
        <w:t xml:space="preserve">d public health infrastructure was in place such that country-wide distribution of antivirals would begin one week after the pandemic was initiated with ten infections in the country. Given likely limited BXM supply, heterogeneity in </w:t>
      </w:r>
      <w:r w:rsidR="00382FBD">
        <w:rPr>
          <w:lang w:val="en-US"/>
        </w:rPr>
        <w:t>healthcare-seeking</w:t>
      </w:r>
      <w:r w:rsidRPr="005247CB">
        <w:rPr>
          <w:lang w:val="en-US"/>
        </w:rPr>
        <w:t xml:space="preserve"> </w:t>
      </w:r>
      <w:r w:rsidR="005247CB">
        <w:rPr>
          <w:lang w:val="en-US"/>
        </w:rPr>
        <w:t>behaviour</w:t>
      </w:r>
      <w:r w:rsidRPr="005247CB">
        <w:rPr>
          <w:lang w:val="en-US"/>
        </w:rPr>
        <w:t xml:space="preserve">, and delays to begin treatment distribution in reality, all of which would lead to lower antiviral demand, we would relax the aforementioned assumptions </w:t>
      </w:r>
      <w:r w:rsidR="00301DC3" w:rsidRPr="005247CB">
        <w:rPr>
          <w:lang w:val="en-US"/>
        </w:rPr>
        <w:t>in subsequent analyses</w:t>
      </w:r>
      <w:r w:rsidRPr="005247CB">
        <w:rPr>
          <w:lang w:val="en-US"/>
        </w:rPr>
        <w:t xml:space="preserve"> (see below). </w:t>
      </w:r>
    </w:p>
    <w:p w14:paraId="37EA8034" w14:textId="5A6F204F" w:rsidR="006C0863" w:rsidRPr="005247CB" w:rsidRDefault="006C0863" w:rsidP="006C0863">
      <w:pPr>
        <w:rPr>
          <w:lang w:val="en-US"/>
        </w:rPr>
      </w:pPr>
      <w:r w:rsidRPr="005247CB">
        <w:rPr>
          <w:lang w:val="en-US"/>
        </w:rPr>
        <w:t>Rapid testing would be required for same-day antiviral administration and was performed by a moderately sensitive rapid diagnostic test (70%)</w:t>
      </w:r>
      <w:r w:rsidR="003709C9">
        <w:rPr>
          <w:lang w:val="en-US"/>
        </w:rPr>
        <w:t xml:space="preserve"> </w:t>
      </w:r>
      <w:r w:rsidRPr="005247CB">
        <w:rPr>
          <w:lang w:val="en-US"/>
        </w:rPr>
        <w:fldChar w:fldCharType="begin"/>
      </w:r>
      <w:r w:rsidR="006A263E">
        <w:rPr>
          <w:lang w:val="en-US"/>
        </w:rPr>
        <w:instrText xml:space="preserve"> ADDIN ZOTERO_ITEM CSL_CITATION {"citationID":"a1q9ent1vdn","properties":{"formattedCitation":"(Merckx et al., 2017)","plainCitation":"(Merckx et al., 2017)","noteIndex":0},"citationItems":[{"id":177,"uris":["http://zotero.org/users/local/0pdZPGmr/items/WU8BFN3C","http://zotero.org/users/9596130/items/WU8BFN3C"],"itemData":{"id":177,"type":"article-journal","abstract":"Background: Rapid and accurate influenza diagnostics can improve patient care. Purpose: To summarize and compare accuracy of traditional rapid influenza diagnostic tests (RIDTs), digital immunoassays (DIAs), and rapid nucleic acid amplification tests (NAATs) in children and adults with suspected influenza. Data Sources: 6 databases from their inception through May 2017. Study Selection: Studies in English, French, or Spanish comparing commercialized rapid tests (that is, providing results in &lt;30 minutes) with reverse transcriptase polymerase chain reaction reference standard for influenza diagnosis. Data Extraction: Data were extracted using a standardized form; quality was assessed using QUADAS-2 (Quality Assessment of Diagnostic Accuracy Studies 2) criteria. Data Synthesis: 162 studies were included (130 of RIDTs, 19 of DIAs, and 13 of NAATs). Pooled sensitivities for detecting influenza A from Bayesian bivariate random-effects models were 54.4% (95% credible interval [CrI], 48.9% to 59.8%) for RIDTs, 80.0% (CrI, 73.4% to 85.6%) for DIAs, and 91.6% (CrI, 84.9% to 95.9%) for NAATs. Those for detecting influenza B were 53.2% (CrI, 41.7% to 64.4%) for RIDTs, 76.8% (CrI, 65.4% to 85.4%) for DIAs, and 95.4% (CrI, 87.3% to 98.7%) for NAATs. Pooled specificities were uniformly high (&gt;98%). Forty-six influenza A and 24 influenza B studies presented pediatric-specific data; 35 influenza A and 16 influenza B studies presented adult-specific data. Pooled sensitivities were higher in children by 12.1 to 31.8 percentage points, except for influenza A by rapid NAATs (2.7 percentage points). Pooled sensitivities favored industry-sponsored studies by 6.2 to 34.0 percentage points. Incomplete reporting frequently led to unclear risk of bias. Limitations: Underreporting of clinical variables limited exploration of heterogeneity. Few NAAT studies reported adult-specific data, and none evaluated point-of-care testing. Many studies had unclear risk of bias. Conclusion: Novel DIAs and rapid NAATs had markedly higher sensitivities for influenza A and B in both children and adults than did traditional RIDTs, with equally high specificities. Primary Funding Source: Québec Health Research Fund and BD Diagnostic Systems.","container-title":"Annals of Internal Medicine","DOI":"10.7326/M17-0848","ISSN":"0003-4819","issue":"6","journalAbbreviation":"Ann Intern Med","note":"publisher: American College of Physicians","page":"394-409","title":"Diagnostic Accuracy of Novel and Traditional Rapid Tests for Influenza Infection Compared With Reverse Transcriptase Polymerase Chain Reaction","volume":"167","author":[{"family":"Merckx","given":"Joanna"},{"family":"Wali","given":"Rehab"},{"family":"Schiller","given":"Ian"},{"family":"Caya","given":"Chelsea"},{"family":"Gore","given":"Genevieve C."},{"family":"Chartrand","given":"Caroline"},{"family":"Dendukuri","given":"Nandini"},{"family":"Papenburg","given":"Jesse"}],"issued":{"date-parts":[["2017",9,19]]}}}],"schema":"https://github.com/citation-style-language/schema/raw/master/csl-citation.json"} </w:instrText>
      </w:r>
      <w:r w:rsidRPr="005247CB">
        <w:rPr>
          <w:lang w:val="en-US"/>
        </w:rPr>
        <w:fldChar w:fldCharType="separate"/>
      </w:r>
      <w:r w:rsidR="006A263E">
        <w:rPr>
          <w:lang w:val="en-US"/>
        </w:rPr>
        <w:t>(Merckx et al., 2017)</w:t>
      </w:r>
      <w:r w:rsidRPr="005247CB">
        <w:rPr>
          <w:lang w:val="en-US"/>
        </w:rPr>
        <w:fldChar w:fldCharType="end"/>
      </w:r>
      <w:r w:rsidR="003709C9">
        <w:rPr>
          <w:lang w:val="en-US"/>
        </w:rPr>
        <w:t>.</w:t>
      </w:r>
      <w:r w:rsidRPr="005247CB">
        <w:rPr>
          <w:lang w:val="en-US"/>
        </w:rPr>
        <w:t xml:space="preserve"> Given its multi-day, five-dose treatment course, probability of adherence to oseltamivir treatment was assumed to be lower (65%)</w:t>
      </w:r>
      <w:r w:rsidR="00616F89">
        <w:rPr>
          <w:lang w:val="en-US"/>
        </w:rPr>
        <w:t xml:space="preserve"> </w:t>
      </w:r>
      <w:r w:rsidRPr="005247CB">
        <w:rPr>
          <w:lang w:val="en-US"/>
        </w:rPr>
        <w:fldChar w:fldCharType="begin"/>
      </w:r>
      <w:r w:rsidR="006A263E">
        <w:rPr>
          <w:lang w:val="en-US"/>
        </w:rPr>
        <w:instrText xml:space="preserve"> ADDIN ZOTERO_ITEM CSL_CITATION {"citationID":"a5tg9gplnq","properties":{"formattedCitation":"(Smith et al., 2016)","plainCitation":"(Smith et al., 2016)","noteIndex":0},"citationItems":[{"id":181,"uris":["http://zotero.org/users/local/0pdZPGmr/items/UASRZYYR","http://zotero.org/users/9596130/items/UASRZYYR"],"itemData":{"id":181,"type":"article-journal","abstract":"The aim of this review was to identify factors predicting actual or intended adherence to antivirals as treatment or prophylaxis for influenza. Literature from inception to March 2015 was systematically reviewed to find studies reporting predictors of adherence to antivirals and self-reported reasons for non-adherence to antivirals. Twenty-six studies were included in the review; twenty identified through the literature search and six through other means. Of these studies, 18 assessed predictors of actual adherence to antivirals, whereas eight assessed predictors of intended adherence. The most commonly found predictor of, and self-reported reason for, non-adherence was the occurrence of side effects. Other predictors include perceptions surrounding self-efficacy, response efficacy and perceived personal consequences as well as social influences of others' experiences of taking antivirals. Predictors identified in this review can be used to help inform communications to increase adherence to antivirals in both seasonal and pandemic influenza.","container-title":"Influenza and Other Respiratory Viruses","DOI":"10.1111/irv.12406","ISSN":"1750-2640","issue":"6","journalAbbreviation":"Influenza and Other Respiratory Viruses","note":"publisher: John Wiley &amp; Sons, Ltd","page":"462-478","title":"A systematic review of factors affecting intended and actual adherence with antiviral medication as treatment or prophylaxis in seasonal and pandemic flu","volume":"10","author":[{"family":"Smith","given":"Louise E."},{"family":"D'Antoni","given":"Donatella"},{"family":"Jain","given":"Vageesh"},{"family":"Pearce","given":"Julia M."},{"family":"Weinman","given":"John"},{"family":"Rubin","given":"G. James"}],"issued":{"date-parts":[["2016",11,1]]}}}],"schema":"https://github.com/citation-style-language/schema/raw/master/csl-citation.json"} </w:instrText>
      </w:r>
      <w:r w:rsidRPr="005247CB">
        <w:rPr>
          <w:lang w:val="en-US"/>
        </w:rPr>
        <w:fldChar w:fldCharType="separate"/>
      </w:r>
      <w:r w:rsidR="006A263E">
        <w:rPr>
          <w:lang w:val="en-US"/>
        </w:rPr>
        <w:t>(Smith et al., 2016)</w:t>
      </w:r>
      <w:r w:rsidRPr="005247CB">
        <w:rPr>
          <w:lang w:val="en-US"/>
        </w:rPr>
        <w:fldChar w:fldCharType="end"/>
      </w:r>
      <w:r w:rsidRPr="005247CB">
        <w:rPr>
          <w:lang w:val="en-US"/>
        </w:rPr>
        <w:t xml:space="preserve"> than the single-dose BXM (95%). Treated infected individuals that did not adhere to treatment were assumed to be effectively untreated. We estimated the impact of antiviral use by computing the total deaths reduced relative to no infection control. Total deaths during the pandemic wave was computed based on net incidence and the corresponding pandemic case fatality rates while accounting for mean reduction in mortality risks of treated individuals by 23% for both oseltamivir</w:t>
      </w:r>
      <w:r w:rsidR="00A9001D">
        <w:rPr>
          <w:lang w:val="en-US"/>
        </w:rPr>
        <w:t xml:space="preserve"> </w:t>
      </w:r>
      <w:r w:rsidRPr="005247CB">
        <w:rPr>
          <w:lang w:val="en-US"/>
        </w:rPr>
        <w:fldChar w:fldCharType="begin"/>
      </w:r>
      <w:r w:rsidR="006A263E">
        <w:rPr>
          <w:lang w:val="en-US"/>
        </w:rPr>
        <w:instrText xml:space="preserve"> ADDIN ZOTERO_ITEM CSL_CITATION {"citationID":"a1e3e2ammgp","properties":{"formattedCitation":"(Hsu et al., 2012)","plainCitation":"(Hsu et al., 2012)","noteIndex":0},"citationItems":[{"id":183,"uris":["http://zotero.org/users/local/0pdZPGmr/items/THP483SF","http://zotero.org/users/9596130/items/THP483SF"],"itemData":{"id":183,"type":"article-journal","abstract":"Background: Systematic reviews of randomized, controlled trials in patients with influenza suggest a lack of evidence about the effects of antiviral therapy on several patient-important outcomes of influenza. Purpose: To systematically review observational studies for benefits and harms of oseltamivir, zanamivir, amantadine, or rimantadine in the treatment of influenza. Data Sources: MEDLINE, EMBASE, the Cochrane Central Register of Controlled Trials, CINAHL, SIGLE, the Chinese Biomedical Literature Database, Panteleimon, and LILACS up to November 2010; contact with pharmaceutical companies; and reference lists. Study Selection: Observational studies in any language that compared single antiviral therapy with no therapy or other antiviral therapy, or that had no comparator, for influenza or influenza-like illness. Data Extraction: Two independent investigators extracted data. Confidence in the estimates of the obtained effects (quality of evidence) was assessed by using the Grading of Recommendations Assessment, Development, and Evaluation approach. Data Synthesis: 74 studies fulfilled the inclusion criteria. Meta-analyses of the few studies providing effects with adjustment for confounders suggest that, in high-risk populations, oral oseltamivir may reduce mortality (odds ratio, 0.23 [95% CI, 0.13 to 0.43]; low-quality evidence), hospitalization (odds ratio, 0.75 [CI, 0.66 to 0.89]; low-quality evidence), and duration of symptoms (33 hours [CI, 21 to 45 hours]; very low?quality evidence) compared with no treatment. Earlier treatment with oseltamivir was generally associated with better outcomes. Inhaled zanamivir may lead to shorter symptom duration (23 hours [CI, 17 to 28 hours]; moderate-quality evidence) and fewer hospitalizations (odds ratio, 0.66 [CI, 0.37 to 1.18]) but more complications than no treatment. Direct comparison of oral oseltamivir and inhaled zanamivir suggests no important differences in key outcomes. Data from 1 study suggest that oral amantadine may reduce mortality and pneumonia associated with influenza A. No included study evaluated rimantadine. Limitations: Mortality was assessed in high-risk patients, and generalizability is limited. The overall body of evidence is limited by risk for confounding and selection, reporting, and publication bias. Conclusion: Therapy with oral oseltamivir and inhaled zanamivir may provide a net benefit over no treatment of influenza. However, as with the randomized trials, the confidence in the estimates of the effects for decision making is low to very low. Primary Funding Sources: World Health Organization and McMaster University.","container-title":"Annals of Internal Medicine","DOI":"10.7326/0003-4819-156-7-201204030-00411","ISSN":"0003-4819","issue":"7","journalAbbreviation":"Ann Intern Med","note":"publisher: American College of Physicians","page":"512-524","title":"Antivirals for Treatment of Influenza","volume":"156","author":[{"family":"Hsu","given":"Jonathan"},{"family":"Santesso","given":"Nancy"},{"family":"Mustafa","given":"Reem"},{"family":"Brozek","given":"Jan"},{"family":"Chen","given":"Yao Long"},{"family":"Hopkins","given":"Jessica P."},{"family":"Cheung","given":"Adrienne"},{"family":"Hovhannisyan","given":"Gayane"},{"family":"Ivanova","given":"Liudmila"},{"family":"Flottorp","given":"Signe A."},{"family":"Sæterdal","given":"Ingvil"},{"family":"Wong","given":"Arthur D."},{"family":"Tian","given":"Jinhui"},{"family":"Uyeki","given":"Timothy M."},{"family":"Akl","given":"Elie A."},{"family":"Alonso-Coello","given":"Pablo"},{"family":"Smaill","given":"Fiona"},{"family":"Schünemann","given":"Holger J."}],"issued":{"date-parts":[["2012",4,3]]}}}],"schema":"https://github.com/citation-style-language/schema/raw/master/csl-citation.json"} </w:instrText>
      </w:r>
      <w:r w:rsidRPr="005247CB">
        <w:rPr>
          <w:lang w:val="en-US"/>
        </w:rPr>
        <w:fldChar w:fldCharType="separate"/>
      </w:r>
      <w:r w:rsidR="006A263E">
        <w:rPr>
          <w:lang w:val="en-US"/>
        </w:rPr>
        <w:t>(Hsu et al., 2012)</w:t>
      </w:r>
      <w:r w:rsidRPr="005247CB">
        <w:rPr>
          <w:lang w:val="en-US"/>
        </w:rPr>
        <w:fldChar w:fldCharType="end"/>
      </w:r>
      <w:r w:rsidRPr="005247CB">
        <w:rPr>
          <w:lang w:val="en-US"/>
        </w:rPr>
        <w:t xml:space="preserve"> and BXM, for which robust mortality risk reduction estimates is currently lacking. </w:t>
      </w:r>
    </w:p>
    <w:p w14:paraId="3A4514CF" w14:textId="77777777" w:rsidR="006C0863" w:rsidRPr="005247CB" w:rsidRDefault="006C0863" w:rsidP="006C0863">
      <w:pPr>
        <w:rPr>
          <w:lang w:val="en-US"/>
        </w:rPr>
      </w:pPr>
    </w:p>
    <w:p w14:paraId="073C1721" w14:textId="77777777" w:rsidR="006C0863" w:rsidRPr="005247CB" w:rsidRDefault="006C0863" w:rsidP="006C0863">
      <w:pPr>
        <w:pStyle w:val="Heading2"/>
      </w:pPr>
      <w:r w:rsidRPr="005247CB">
        <w:t xml:space="preserve">Additional simulated scenarios  </w:t>
      </w:r>
    </w:p>
    <w:p w14:paraId="0D9AC344" w14:textId="50FA158E" w:rsidR="008643BB" w:rsidRPr="005247CB" w:rsidRDefault="006C0863" w:rsidP="00D632DA">
      <w:pPr>
        <w:rPr>
          <w:lang w:val="en-US"/>
        </w:rPr>
      </w:pPr>
      <w:r w:rsidRPr="005247CB">
        <w:rPr>
          <w:lang w:val="en-US"/>
        </w:rPr>
        <w:t>We then used our model to simulate scenarios that deviate from the aforementioned ideal</w:t>
      </w:r>
      <w:r w:rsidR="005247CB">
        <w:rPr>
          <w:lang w:val="en-US"/>
        </w:rPr>
        <w:t>ise</w:t>
      </w:r>
      <w:r w:rsidRPr="005247CB">
        <w:rPr>
          <w:lang w:val="en-US"/>
        </w:rPr>
        <w:t xml:space="preserve">d case. We simulated different delays to test-and-treatment distribution since pandemic initiation (i.e. one week, four weeks and three months). We also accounted for heterogeneity in </w:t>
      </w:r>
      <w:r w:rsidR="00382FBD">
        <w:rPr>
          <w:lang w:val="en-US"/>
        </w:rPr>
        <w:t>healthcare-seeking</w:t>
      </w:r>
      <w:r w:rsidRPr="005247CB">
        <w:rPr>
          <w:lang w:val="en-US"/>
        </w:rPr>
        <w:t xml:space="preserve"> </w:t>
      </w:r>
      <w:r w:rsidR="005247CB">
        <w:rPr>
          <w:lang w:val="en-US"/>
        </w:rPr>
        <w:t>behaviour</w:t>
      </w:r>
      <w:r w:rsidRPr="005247CB">
        <w:rPr>
          <w:lang w:val="en-US"/>
        </w:rPr>
        <w:t xml:space="preserve"> by varying time to individual treatment since symptom onset (i.e. mean (sd) = 1.0 (0.6), 2.0 (1.2) and 5.0 (3.0) days, which correspond to 95% likelihood </w:t>
      </w:r>
      <w:r w:rsidRPr="005247CB">
        <w:rPr>
          <w:lang w:val="en-US"/>
        </w:rPr>
        <w:lastRenderedPageBreak/>
        <w:t>of seeking test-and-treat within two, four and eight days since symptom onset respectively). Furthermore, we simulated different BXM distribution strategies, including extending antiviral treatment window from two to eight days, providing PEP to asymptomatic, undiagnosed symptomatic and uninfected household members of positively-tested individuals. While asymptomatic and undiagnosed symptomatic individuals would lower their infectiousness by PEP similarly to symptomatic individuals treated with antivirals, uninfected individuals would lower their likelihood of infection by 57% for ten</w:t>
      </w:r>
      <w:r w:rsidRPr="005247CB">
        <w:rPr>
          <w:rFonts w:eastAsiaTheme="minorEastAsia"/>
          <w:lang w:val="en-US"/>
        </w:rPr>
        <w:t xml:space="preserve"> days after administering BXM as PEP</w:t>
      </w:r>
      <w:r w:rsidR="003709C9">
        <w:rPr>
          <w:lang w:val="en-US"/>
        </w:rPr>
        <w:t xml:space="preserve"> </w:t>
      </w:r>
      <w:r w:rsidRPr="005247CB">
        <w:rPr>
          <w:lang w:val="en-US"/>
        </w:rPr>
        <w:fldChar w:fldCharType="begin"/>
      </w:r>
      <w:r w:rsidR="006A263E">
        <w:rPr>
          <w:lang w:val="en-US"/>
        </w:rPr>
        <w:instrText xml:space="preserve"> ADDIN ZOTERO_ITEM CSL_CITATION {"citationID":"akknfomn15","properties":{"formattedCitation":"(Ikematsu Hideyuki et al., 2020)","plainCitation":"(Ikematsu Hideyuki et al., 2020)","noteIndex":0},"citationItems":[{"id":100,"uris":["http://zotero.org/users/local/0pdZPGmr/items/XGBVRI4I","http://zotero.org/users/9596130/items/XGBVRI4I"],"itemData":{"id":100,"type":"article-journal","container-title":"New England Journal of Medicine","DOI":"10.1056/NEJMoa1915341","issue":"4","journalAbbreviation":"New England Journal of Medicine","note":"publisher: Massachusetts Medical Society","page":"309-320","title":"Baloxavir Marboxil for Prophylaxis against Influenza in Household Contacts","volume":"383","author":[{"literal":"Ikematsu Hideyuki"},{"literal":"Hayden Frederick G."},{"literal":"Kawaguchi Keiko"},{"literal":"Kinoshita Masahiro"},{"literal":"de Jong Menno D."},{"literal":"Lee Nelson"},{"literal":"Takashima Satoru"},{"literal":"Noshi Takeshi"},{"literal":"Tsuchiya Kenji"},{"literal":"Uehara Takeki"}],"issued":{"date-parts":[["2020",7,23]]}}}],"schema":"https://github.com/citation-style-language/schema/raw/master/csl-citation.json"} </w:instrText>
      </w:r>
      <w:r w:rsidRPr="005247CB">
        <w:rPr>
          <w:lang w:val="en-US"/>
        </w:rPr>
        <w:fldChar w:fldCharType="separate"/>
      </w:r>
      <w:r w:rsidR="006A263E">
        <w:rPr>
          <w:lang w:val="en-US"/>
        </w:rPr>
        <w:t>(Ikematsu Hideyuki et al., 2020)</w:t>
      </w:r>
      <w:r w:rsidRPr="005247CB">
        <w:rPr>
          <w:lang w:val="en-US"/>
        </w:rPr>
        <w:fldChar w:fldCharType="end"/>
      </w:r>
      <w:r w:rsidR="003709C9">
        <w:rPr>
          <w:lang w:val="en-US"/>
        </w:rPr>
        <w:t>.</w:t>
      </w:r>
      <w:r w:rsidRPr="005247CB">
        <w:rPr>
          <w:lang w:val="en-US"/>
        </w:rPr>
        <w:t xml:space="preserve"> We also</w:t>
      </w:r>
      <w:r w:rsidR="00704762" w:rsidRPr="005247CB">
        <w:rPr>
          <w:lang w:val="en-US"/>
        </w:rPr>
        <w:t xml:space="preserve"> </w:t>
      </w:r>
      <w:r w:rsidR="00FC469D" w:rsidRPr="005247CB">
        <w:rPr>
          <w:lang w:val="en-US"/>
        </w:rPr>
        <w:t>simulated</w:t>
      </w:r>
      <w:r w:rsidRPr="005247CB">
        <w:rPr>
          <w:lang w:val="en-US"/>
        </w:rPr>
        <w:t xml:space="preserve"> scenarios where BXM supply is limited and thus rationed for those aged 5-24 years, 25-64 years or </w:t>
      </w:r>
      <m:oMath>
        <m:r>
          <w:rPr>
            <w:rFonts w:ascii="Cambria Math" w:hAnsi="Cambria Math"/>
            <w:lang w:val="en-US"/>
          </w:rPr>
          <m:t>≥</m:t>
        </m:r>
      </m:oMath>
      <w:r w:rsidRPr="005247CB">
        <w:rPr>
          <w:lang w:val="en-US"/>
        </w:rPr>
        <w:t xml:space="preserve">65 years only while the rest of the population were given oseltamivir. Finally, we investigated the impact of BXM resistance emergence and spread based on age-stratified average treatment-emergent resistance prevalence reported for A/H1N1pdm09 (&lt;12 years = 9.4%; </w:t>
      </w:r>
      <m:oMath>
        <m:r>
          <w:rPr>
            <w:rFonts w:ascii="Cambria Math" w:hAnsi="Cambria Math"/>
            <w:lang w:val="en-US"/>
          </w:rPr>
          <m:t>≥</m:t>
        </m:r>
      </m:oMath>
      <w:r w:rsidRPr="005247CB">
        <w:rPr>
          <w:lang w:val="en-US"/>
        </w:rPr>
        <w:t>12 years = 2.2%)</w:t>
      </w:r>
      <w:r w:rsidR="003709C9">
        <w:rPr>
          <w:lang w:val="en-US"/>
        </w:rPr>
        <w:t xml:space="preserve"> </w:t>
      </w:r>
      <w:r w:rsidRPr="005247CB">
        <w:rPr>
          <w:lang w:val="en-US"/>
        </w:rPr>
        <w:fldChar w:fldCharType="begin"/>
      </w:r>
      <w:r w:rsidR="006A263E">
        <w:rPr>
          <w:lang w:val="en-US"/>
        </w:rPr>
        <w:instrText xml:space="preserve"> ADDIN ZOTERO_ITEM CSL_CITATION {"citationID":"a16rfhgst6l","properties":{"formattedCitation":"(Baker et al., 2020; Hayden Frederick G. et al., 2018; Hirotsu et al., 2023)","plainCitation":"(Baker et al., 2020; Hayden Frederick G. et al., 2018; Hirotsu et al., 2023)","noteIndex":0},"citationItems":[{"id":182,"uris":["http://zotero.org/users/local/0pdZPGmr/items/8NUTZTHC","http://zotero.org/users/9596130/items/8NUTZTHC"],"itemData":{"id":182,"type":"article-journal","abstract":"Background: \n\nBaloxavir marboxil (baloxavir) is a novel, cap-dependent endonuclease inhibitor that has previously demonstrated efficacy in the treatment of influenza in adults and adolescents. We assessed the safety and efficacy of baloxavir in otherwise healthy children with acute influenza.\n\nMethods:\n\nMiniSTONE-2 (Clinicaltrials.gov: NCT03629184) was a double-blind, randomized, active controlled trial enrolling children 1–&lt;12 years old with a clinical diagnosis of influenza. Children were randomized 2:1 to receive either a single dose of oral baloxavir or oral oseltamivir twice daily for 5 days. The primary endpoint was incidence, severity and timing of adverse events (AEs); efficacy was a secondary endpoint.\n\nResults:\n\nIn total, 173 children were randomized and dosed, 115 to the baloxavir group and 58 to the oseltamivir group. Characteristics of participants were similar between treatment groups. Overall, 122 AEs were reported in 84 (48.6%) children. Incidence of AEs was similar between baloxavir and oseltamivir groups (46.1% vs. 53.4%, respectively). The most common AEs were gastrointestinal (vomiting/diarrhea) in both groups [baloxavir: 12 children (10.4%); oseltamivir: 10 children (17.2%)]. No deaths, serious AEs or hospitalizations were reported. Median time (95% confidence interval) to alleviation of signs and symptoms of influenza was similar between groups: 138.1 (116.6–163.2) hours with baloxavir versus 150.0 (115.0–165.7) hours with oseltamivir.\n\nConclusions:\n\nOral baloxavir is well tolerated and effective at alleviating symptoms in otherwise healthy children with acute influenza. Baloxavir provides a new therapeutic option with a simple oral dosing regimen.","container-title":"The Pediatric Infectious Disease Journal","ISSN":"0891-3668","issue":"8","title":"Baloxavir Marboxil Single-dose Treatment in Influenza-infected Children: A Randomized, Double-blind, Active Controlled Phase 3 Safety and Efficacy Trial (miniSTONE-2)","URL":"https://journals.lww.com/pidj/fulltext/2020/08000/baloxavir_marboxil_single_dose_treatment_in.12.aspx","volume":"39","author":[{"family":"Baker","given":"Jeffrey"},{"family":"Block","given":"Stanley L."},{"family":"Matharu","given":"Balpreet"},{"family":"Burleigh Macutkiewicz","given":"Laura"},{"family":"Wildum","given":"Steffen"},{"family":"Dimonaco","given":"Sophie"},{"family":"Collinson","given":"Neil"},{"family":"Clinch","given":"Barry"},{"family":"Piedra","given":"Pedro A."}],"issued":{"date-parts":[["2020"]]}}},{"id":84,"uris":["http://zotero.org/users/local/0pdZPGmr/items/JFNZ8KHN","http://zotero.org/users/9596130/items/JFNZ8KHN"],"itemData":{"id":84,"type":"article-journal","abstract":"Anti-influenza treatment is important for children and is recommended in many countries. This study assessed safety, clinical, and virologic outcomes of baloxavir marboxil (baloxavir) treatment in children based on age and influenza virus type/subtype.","container-title":"BMC Pediatrics","DOI":"10.1186/s12887-023-03841-5","ISSN":"1471-2431","issue":"1","journalAbbreviation":"BMC Pediatrics","page":"35","title":"Baloxavir safety and clinical and virologic outcomes in influenza virus-infected pediatric patients by age group: age-based pooled analysis of two pediatric studies conducted in Japan","volume":"23","author":[{"family":"Hirotsu","given":"Nobuo"},{"family":"Sakaguchi","given":"Hiroki"},{"family":"Fukao","given":"Keita"},{"family":"Kojima","given":"Satoshi"},{"family":"Piedra","given":"Pedro A."},{"family":"Tsuchiya","given":"Kenji"},{"family":"Uehara","given":"Takeki"}],"issued":{"date-parts":[["2023",1,21]]}}},{"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Pr="005247CB">
        <w:rPr>
          <w:lang w:val="en-US"/>
        </w:rPr>
        <w:fldChar w:fldCharType="separate"/>
      </w:r>
      <w:r w:rsidR="006A263E">
        <w:rPr>
          <w:lang w:val="en-US"/>
        </w:rPr>
        <w:t>(Baker et al., 2020; Hayden Frederick G. et al., 2018; Hirotsu et al., 2023)</w:t>
      </w:r>
      <w:r w:rsidRPr="005247CB">
        <w:rPr>
          <w:lang w:val="en-US"/>
        </w:rPr>
        <w:fldChar w:fldCharType="end"/>
      </w:r>
      <w:r w:rsidRPr="005247CB">
        <w:rPr>
          <w:lang w:val="en-US"/>
        </w:rPr>
        <w:t xml:space="preserve"> and A/H3N2 (&lt;12 years = 21.0%; </w:t>
      </w:r>
      <m:oMath>
        <m:r>
          <w:rPr>
            <w:rFonts w:ascii="Cambria Math" w:hAnsi="Cambria Math"/>
            <w:lang w:val="en-US"/>
          </w:rPr>
          <m:t>≥</m:t>
        </m:r>
      </m:oMath>
      <w:r w:rsidRPr="005247CB">
        <w:rPr>
          <w:lang w:val="en-US"/>
        </w:rPr>
        <w:t>12 years = 8.5%)</w:t>
      </w:r>
      <w:r w:rsidR="003709C9">
        <w:rPr>
          <w:lang w:val="en-US"/>
        </w:rPr>
        <w:t xml:space="preserve"> </w:t>
      </w:r>
      <w:r w:rsidRPr="005247CB">
        <w:rPr>
          <w:lang w:val="en-US"/>
        </w:rPr>
        <w:fldChar w:fldCharType="begin"/>
      </w:r>
      <w:r w:rsidR="006A263E">
        <w:rPr>
          <w:lang w:val="en-US"/>
        </w:rPr>
        <w:instrText xml:space="preserve"> ADDIN ZOTERO_ITEM CSL_CITATION {"citationID":"a1rhsvecl4","properties":{"formattedCitation":"(Baker et al., 2020; Ison et al., 2020; Uehara et al., 2020)","plainCitation":"(Baker et al., 2020; Ison et al., 2020; Uehara et al., 2020)","noteIndex":0},"citationItems":[{"id":93,"uris":["http://zotero.org/users/local/0pdZPGmr/items/DUS79D5G","http://zotero.org/users/9596130/items/DUS79D5G"],"itemData":{"id":93,"type":"article-journal","container-title":"The Lancet Infectious Diseases","DOI":"10.1016/S1473-3099(20)30004-9","ISSN":"1473-3099","issue":"10","note":"publisher: Elsevier","page":"1204-1214","title":"Early treatment with baloxavir marboxil in high-risk adolescent and adult outpatients with uncomplicated influenza (CAPSTONE-2): a randomised, placebo-controlled, phase 3 trial","volume":"20","author":[{"family":"Ison","given":"Michael G"},{"family":"Portsmouth","given":"Simon"},{"family":"Yoshida","given":"Yuki"},{"family":"Shishido","given":"Takao"},{"family":"Mitchener","given":"Melissa"},{"family":"Tsuchiya","given":"Kenji"},{"family":"Uehara","given":"Takeki"},{"family":"Hayden","given":"Frederick G"}],"issued":{"date-parts":[["2020",10,1]]}}},{"id":14,"uris":["http://zotero.org/users/local/0pdZPGmr/items/Q75YUA7U","http://zotero.org/users/9596130/items/Q75YUA7U"],"itemData":{"id":14,"type":"article-journal","abstract":"Single-dose baloxavir rapidly reduces influenza virus titers and symptoms in patients with uncomplicated influenza, but viruses with reduced in vitro susceptibility due to amino acid substitutions at position 38 of polymerase acidic protein (PA/I38X) sometimes emerge.We evaluated the kinetics, risk factors, and effects on clinical and virologic outcomes of emergence of PA/I38X-substituted viruses.Viruses containing PA/I38X substitutions were identified 3–9 days after baloxavir treatment in 9.7% (36/370) of patients, of whom 85.3% had transient virus titer rises. Median time to sustained cessation of infectious virus detection was 192, 48, and 96 hours in the baloxavir recipients with PA/I38X-substituted viruses, without PA/I38X-substituted viruses, and placebo recipients, respectively. The corresponding median times to alleviation of symptoms were 63.1, 51.0, and 80.2 hours, respectively. After day 5, symptom increases occurred in 11.5%, 8.0%, and 13.0%, respectively, and in 8.9% of oseltamivir recipients. Variant virus emergence was associated with lower baseline neutralizing antibody titers.The emergence of viruses with PA/I38X substitutions following baloxavir treatment was associated with transient rises in infectious virus titers, prolongation of virus detectability, initial delay in symptom alleviation, and uncommonly with symptom rebound. The potential transmissibility of PA/I38X-substituted viruses requires careful study.NCT02954354.","container-title":"The Journal of Infectious Diseases","DOI":"10.1093/infdis/jiz244","ISSN":"0022-1899","issue":"3","journalAbbreviation":"The Journal of Infectious Diseases","page":"346-355","title":"Treatment-Emergent Influenza Variant Viruses With Reduced Baloxavir Susceptibility: Impact on Clinical and Virologic Outcomes in Uncomplicated Influenza","volume":"221","author":[{"family":"Uehara","given":"Takeki"},{"family":"Hayden","given":"Frederick G"},{"family":"Kawaguchi","given":"Keiko"},{"family":"Omoto","given":"Shinya"},{"family":"Hurt","given":"Aeron C"},{"family":"De Jong","given":"Menno D"},{"family":"Hirotsu","given":"Nobuo"},{"family":"Sugaya","given":"Norio"},{"family":"Lee","given":"Nelson"},{"family":"Baba","given":"Keiko"},{"family":"Shishido","given":"Takao"},{"family":"Tsuchiya","given":"Kenji"},{"family":"Portsmouth","given":"Simon"},{"family":"Kida","given":"Hiroshi"}],"issued":{"date-parts":[["2020",1,14]]}}},{"id":182,"uris":["http://zotero.org/users/local/0pdZPGmr/items/8NUTZTHC","http://zotero.org/users/9596130/items/8NUTZTHC"],"itemData":{"id":182,"type":"article-journal","abstract":"Background: \n\nBaloxavir marboxil (baloxavir) is a novel, cap-dependent endonuclease inhibitor that has previously demonstrated efficacy in the treatment of influenza in adults and adolescents. We assessed the safety and efficacy of baloxavir in otherwise healthy children with acute influenza.\n\nMethods:\n\nMiniSTONE-2 (Clinicaltrials.gov: NCT03629184) was a double-blind, randomized, active controlled trial enrolling children 1–&lt;12 years old with a clinical diagnosis of influenza. Children were randomized 2:1 to receive either a single dose of oral baloxavir or oral oseltamivir twice daily for 5 days. The primary endpoint was incidence, severity and timing of adverse events (AEs); efficacy was a secondary endpoint.\n\nResults:\n\nIn total, 173 children were randomized and dosed, 115 to the baloxavir group and 58 to the oseltamivir group. Characteristics of participants were similar between treatment groups. Overall, 122 AEs were reported in 84 (48.6%) children. Incidence of AEs was similar between baloxavir and oseltamivir groups (46.1% vs. 53.4%, respectively). The most common AEs were gastrointestinal (vomiting/diarrhea) in both groups [baloxavir: 12 children (10.4%); oseltamivir: 10 children (17.2%)]. No deaths, serious AEs or hospitalizations were reported. Median time (95% confidence interval) to alleviation of signs and symptoms of influenza was similar between groups: 138.1 (116.6–163.2) hours with baloxavir versus 150.0 (115.0–165.7) hours with oseltamivir.\n\nConclusions:\n\nOral baloxavir is well tolerated and effective at alleviating symptoms in otherwise healthy children with acute influenza. Baloxavir provides a new therapeutic option with a simple oral dosing regimen.","container-title":"The Pediatric Infectious Disease Journal","ISSN":"0891-3668","issue":"8","title":"Baloxavir Marboxil Single-dose Treatment in Influenza-infected Children: A Randomized, Double-blind, Active Controlled Phase 3 Safety and Efficacy Trial (miniSTONE-2)","URL":"https://journals.lww.com/pidj/fulltext/2020/08000/baloxavir_marboxil_single_dose_treatment_in.12.aspx","volume":"39","author":[{"family":"Baker","given":"Jeffrey"},{"family":"Block","given":"Stanley L."},{"family":"Matharu","given":"Balpreet"},{"family":"Burleigh Macutkiewicz","given":"Laura"},{"family":"Wildum","given":"Steffen"},{"family":"Dimonaco","given":"Sophie"},{"family":"Collinson","given":"Neil"},{"family":"Clinch","given":"Barry"},{"family":"Piedra","given":"Pedro A."}],"issued":{"date-parts":[["2020"]]}}}],"schema":"https://github.com/citation-style-language/schema/raw/master/csl-citation.json"} </w:instrText>
      </w:r>
      <w:r w:rsidRPr="005247CB">
        <w:rPr>
          <w:lang w:val="en-US"/>
        </w:rPr>
        <w:fldChar w:fldCharType="separate"/>
      </w:r>
      <w:r w:rsidR="006A263E">
        <w:rPr>
          <w:lang w:val="en-US"/>
        </w:rPr>
        <w:t>(Baker et al., 2020; Ison et al., 2020; Uehara et al., 2020)</w:t>
      </w:r>
      <w:r w:rsidRPr="005247CB">
        <w:rPr>
          <w:lang w:val="en-US"/>
        </w:rPr>
        <w:fldChar w:fldCharType="end"/>
      </w:r>
      <w:r w:rsidRPr="005247CB">
        <w:rPr>
          <w:lang w:val="en-US"/>
        </w:rPr>
        <w:t xml:space="preserve"> infections. BXM treatment has no effect on within-host replication of BXM-resistant viruses, and in turn their infectiousness. Given limited evidence that BXM-resistant virus may be fitter than their drug-sensitive counterparts</w:t>
      </w:r>
      <w:r w:rsidR="003709C9">
        <w:rPr>
          <w:lang w:val="en-US"/>
        </w:rPr>
        <w:t xml:space="preserve"> </w:t>
      </w:r>
      <w:r w:rsidRPr="005247CB">
        <w:rPr>
          <w:lang w:val="en-US"/>
        </w:rPr>
        <w:fldChar w:fldCharType="begin"/>
      </w:r>
      <w:r w:rsidR="006A263E">
        <w:rPr>
          <w:lang w:val="en-US"/>
        </w:rPr>
        <w:instrText xml:space="preserve"> ADDIN ZOTERO_ITEM CSL_CITATION {"citationID":"PFIpqTRC","properties":{"formattedCitation":"(Checkmahomed et al., 2020; Hickerson Brady T. et al., 2023; Jones et al., 2022)","plainCitation":"(Checkmahomed et al., 2020; Hickerson Brady T. et al., 2023; Jones et al., 2022)","noteIndex":0},"citationItems":[{"id":80,"uris":["http://zotero.org/users/local/0pdZPGmr/items/I99EQBP6","http://zotero.org/users/9596130/items/I99EQBP6"],"itemData":{"id":80,"type":"article-journal","abstract":"Baloxavir is a cap-dependent inhibitor of the polymerase acid (PA) protein of influenza viruses. While appearing virologically superior to oseltamivir, baloxavir exhibits a low barrier of resistance. We sought to assess the impact of the common baloxavir-resistant I38T PA substitution on in vitro properties and virulence.Influenza A/Quebec/144147/2009 (H1N1)pdm09 and A/Switzerland/9715293/2013 (H3N2) recombinant viruses and their I38T PA mutants were compared in single and competitive infection experiments in ST6GalI-MDCK cells and C57/BL6 mice. Virus titers in cell culture supernatants and lung homogenates were determined by virus yield assays. Ratios of wild-type (WT) and I38T mutant were assessed by digital RT-PCR.I38T substitution did not alter the replication kinetics of A(H1N1)pdm09 and A(H3N2) viruses. In competition experiments, a 50%:50% mixture evolved to 70%:30% (WT/mutant) for A(H1N1) and 88%:12% for A(H3N2) viruses after a single cell passage. The I38T substitution remained stable after 4 passages in vitro. In mice, the WT and its I38T mutant induced similar weight loss with comparable lung titers in both viral subtypes. The mutant virus tended to predominate over the WT in mouse competition experiments.The fitness of baloxavir-resistant I38T PA mutants appears relatively unaltered in seasonal subtypes warranting surveillance for its dissemination.","container-title":"The Journal of Infectious Diseases","DOI":"10.1093/infdis/jiz418","ISSN":"0022-1899","issue":"1","journalAbbreviation":"The Journal of Infectious Diseases","page":"63-70","title":"Impact of the Baloxavir-Resistant Polymerase Acid I38T Substitution on the Fitness of Contemporary Influenza A(H1N1)pdm09 and A(H3N2) Strains","volume":"221","author":[{"family":"Checkmahomed","given":"Liva"},{"family":"M’hamdi","given":"Zeineb"},{"family":"Carbonneau","given":"Julie"},{"family":"Venable","given":"Marie-Christine"},{"family":"Baz","given":"Mariana"},{"family":"Abed","given":"Yacine"},{"family":"Boivin","given":"Guy"}],"issued":{"date-parts":[["2020",1,1]]}}},{"id":81,"uris":["http://zotero.org/users/local/0pdZPGmr/items/NLSUHSZQ","http://zotero.org/users/9596130/items/NLSUHSZQ"],"itemData":{"id":81,"type":"article-journal","abstract":"Author summary Baloxavir is a new and potent anti-influenza drug targeting essential functions of viral replication. Currently, the I38T polymerase acidic protein (PA) substitution is the major marker of reduced susceptibility and potential resistance to baloxavir, but the full baloxavir resistance profile remains unclear. Here, we demonstrated that PA E23G/K substitutions alone weaken baloxavir efficacy, but they also synergize with I38T to impair drug activity further. E23G/K substitutions are located close to the binding site of baloxavir and indirectly weaken key drug-binding interactions. This effect has some negative consequences for virus replication, but E23G/K viruses possess the capacity for airborne spread between naïve ferrets, the gold-standard model of human influenza transmission. Therefore, E23G/K viruses have the potential for community spread, which would adversely affect baloxavir clinical implementation. Our study supports ongoing surveillance for circulating human E23G/K viruses, and it may inform design of enhanced baloxavir-like drugs less susceptible to emergence of viral resistance.","container-title":"PLOS Pathogens","DOI":"10.1371/journal.ppat.1010698","issue":"7","journalAbbreviation":"PLOS Pathogens","note":"publisher: Public Library of Science","page":"e1010698","title":"Influenza A virus polymerase acidic protein E23G/K substitutions weaken key baloxavir drug-binding contacts with minimal impact on replication and transmission","volume":"18","author":[{"family":"Jones","given":"Jeremy C."},{"family":"Zagribelnyy","given":"Bogdan"},{"family":"Pascua","given":"Philippe Noriel Q."},{"family":"Bezrukov","given":"Dmitry S."},{"family":"Barman","given":"Subrata"},{"family":"Okda","given":"Faten"},{"family":"Webby","given":"Richard J."},{"family":"Ivanenkov","given":"Yan A."},{"family":"Govorkova","given":"Elena A."}],"issued":{"date-parts":[["2022",7,13]]}}},{"id":82,"uris":["http://zotero.org/users/local/0pdZPGmr/items/UZ2YKP77","http://zotero.org/users/9596130/items/UZ2YKP77"],"itemData":{"id":82,"type":"article-journal","container-title":"Journal of Virology","DOI":"10.1128/jvi.00154-23","issue":"7","journalAbbreviation":"Journal of Virology","note":"publisher: American Society for Microbiology","page":"e00154-23","title":"Impact of Baloxavir Resistance-Associated Substitutions on Influenza Virus Growth and Drug Susceptibility","volume":"97","author":[{"literal":"Hickerson Brady T."},{"literal":"Petrovskaya Svetlana N."},{"literal":"Dickensheets Harold"},{"literal":"Donnelly Raymond P."},{"literal":"Ince William L."},{"literal":"Ilyushina Natalia A."}],"issued":{"date-parts":[["2023",7,5]]}}}],"schema":"https://github.com/citation-style-language/schema/raw/master/csl-citation.json"} </w:instrText>
      </w:r>
      <w:r w:rsidRPr="005247CB">
        <w:rPr>
          <w:lang w:val="en-US"/>
        </w:rPr>
        <w:fldChar w:fldCharType="separate"/>
      </w:r>
      <w:r w:rsidR="006A263E">
        <w:rPr>
          <w:lang w:val="en-US"/>
        </w:rPr>
        <w:t>(Checkmahomed et al., 2020; Hickerson Brady T. et al., 2023; Jones et al., 2022)</w:t>
      </w:r>
      <w:r w:rsidRPr="005247CB">
        <w:rPr>
          <w:lang w:val="en-US"/>
        </w:rPr>
        <w:fldChar w:fldCharType="end"/>
      </w:r>
      <w:r w:rsidR="003709C9">
        <w:rPr>
          <w:lang w:val="en-US"/>
        </w:rPr>
        <w:t>,</w:t>
      </w:r>
      <w:r w:rsidRPr="005247CB">
        <w:rPr>
          <w:lang w:val="en-US"/>
        </w:rPr>
        <w:t xml:space="preserve"> we conservatively assumed that BXM-resistant strains have similar within-host viral replication fitness and between-host transmission advantage to untreated drug-sensitive viruses. We used a Bayesian multilevel model that partially pooled simulation results across all simulated countries and pandemic scenarios to estimate the effect size of each factor on the deaths averted and BXM demand. </w:t>
      </w:r>
    </w:p>
    <w:p w14:paraId="10093307" w14:textId="40CA9E16" w:rsidR="006C0863" w:rsidRPr="005247CB" w:rsidRDefault="006C0863" w:rsidP="00D632DA">
      <w:pPr>
        <w:rPr>
          <w:lang w:val="en-US"/>
        </w:rPr>
      </w:pPr>
      <w:r w:rsidRPr="005247CB">
        <w:rPr>
          <w:lang w:val="en-US"/>
        </w:rPr>
        <w:t xml:space="preserve">See </w:t>
      </w:r>
      <w:r w:rsidR="007E4DD9">
        <w:rPr>
          <w:lang w:val="en-US"/>
        </w:rPr>
        <w:t>Appendix</w:t>
      </w:r>
      <w:r w:rsidRPr="005247CB">
        <w:rPr>
          <w:lang w:val="en-US"/>
        </w:rPr>
        <w:t xml:space="preserve"> for the </w:t>
      </w:r>
      <w:r w:rsidR="00D6268C" w:rsidRPr="005247CB">
        <w:rPr>
          <w:lang w:val="en-US"/>
        </w:rPr>
        <w:t xml:space="preserve">detailed </w:t>
      </w:r>
      <w:r w:rsidRPr="005247CB">
        <w:rPr>
          <w:lang w:val="en-US"/>
        </w:rPr>
        <w:t xml:space="preserve">formulation of </w:t>
      </w:r>
      <w:r w:rsidR="009B7F7A" w:rsidRPr="005247CB">
        <w:rPr>
          <w:lang w:val="en-US"/>
        </w:rPr>
        <w:t xml:space="preserve">the Bayesian </w:t>
      </w:r>
      <w:r w:rsidRPr="005247CB">
        <w:rPr>
          <w:lang w:val="en-US"/>
        </w:rPr>
        <w:t xml:space="preserve">multilevel model </w:t>
      </w:r>
      <w:r w:rsidR="00D6268C" w:rsidRPr="005247CB">
        <w:rPr>
          <w:lang w:val="en-US"/>
        </w:rPr>
        <w:t>and assumed</w:t>
      </w:r>
      <w:r w:rsidRPr="005247CB">
        <w:rPr>
          <w:lang w:val="en-US"/>
        </w:rPr>
        <w:t xml:space="preserve"> priors. </w:t>
      </w:r>
    </w:p>
    <w:p w14:paraId="2091A36D" w14:textId="2D50D6FA" w:rsidR="00453C43" w:rsidRDefault="00453C43" w:rsidP="00D632DA">
      <w:pPr>
        <w:rPr>
          <w:lang w:val="en-US"/>
        </w:rPr>
      </w:pPr>
    </w:p>
    <w:p w14:paraId="11540658" w14:textId="51CE4EF0" w:rsidR="005D4FCC" w:rsidRPr="005D4FCC" w:rsidRDefault="005D4FCC" w:rsidP="005D4FCC">
      <w:pPr>
        <w:pStyle w:val="Heading1"/>
      </w:pPr>
      <w:r w:rsidRPr="005D4FCC">
        <w:t>Appendix</w:t>
      </w:r>
    </w:p>
    <w:p w14:paraId="6C2360EB" w14:textId="77777777" w:rsidR="005D4FCC" w:rsidRDefault="005D4FCC" w:rsidP="005D4FCC">
      <w:pPr>
        <w:pStyle w:val="Heading2"/>
      </w:pPr>
      <w:r w:rsidRPr="00F04787">
        <w:t>Within-host model</w:t>
      </w:r>
    </w:p>
    <w:p w14:paraId="44CB69F3" w14:textId="2EB678FF" w:rsidR="005D4FCC" w:rsidRPr="00F04787" w:rsidRDefault="005D4FCC" w:rsidP="005D4FCC">
      <w:pPr>
        <w:rPr>
          <w:lang w:val="en-US"/>
        </w:rPr>
      </w:pPr>
      <w:r w:rsidRPr="00F04787">
        <w:rPr>
          <w:lang w:val="en-US"/>
        </w:rPr>
        <w:t xml:space="preserve">We used </w:t>
      </w:r>
      <w:r>
        <w:rPr>
          <w:lang w:val="en-US"/>
        </w:rPr>
        <w:t xml:space="preserve">a </w:t>
      </w:r>
      <w:r w:rsidRPr="00F04787">
        <w:rPr>
          <w:lang w:val="en-US"/>
        </w:rPr>
        <w:t>within-host model</w:t>
      </w:r>
      <w:r>
        <w:rPr>
          <w:lang w:val="en-US"/>
        </w:rPr>
        <w:t xml:space="preserve"> (</w:t>
      </w:r>
      <w:r>
        <w:rPr>
          <w:lang w:val="en-US"/>
        </w:rPr>
        <w:t>Appendix</w:t>
      </w:r>
      <w:r>
        <w:rPr>
          <w:lang w:val="en-US"/>
        </w:rPr>
        <w:t xml:space="preserve"> Fig. 8)</w:t>
      </w:r>
      <w:r w:rsidRPr="00F04787">
        <w:rPr>
          <w:lang w:val="en-US"/>
        </w:rPr>
        <w:t xml:space="preserve"> to estimate the replication dynamics of the inoculating treatment-susceptible virus and treatment-resistant mutant virus since infection, as well as the effectiveness of antiviral treatment to suppress treatment-susceptible virus replication (</w:t>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treatment</m:t>
            </m:r>
          </m:sub>
        </m:sSub>
      </m:oMath>
      <w:r w:rsidRPr="00F04787">
        <w:rPr>
          <w:lang w:val="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5D4FCC" w:rsidRPr="00F04787" w14:paraId="521C0969" w14:textId="77777777" w:rsidTr="004D4519">
        <w:tc>
          <w:tcPr>
            <w:tcW w:w="8075" w:type="dxa"/>
            <w:vAlign w:val="center"/>
          </w:tcPr>
          <w:p w14:paraId="4AAC63A5" w14:textId="77777777" w:rsidR="005D4FCC" w:rsidRPr="00F04787" w:rsidRDefault="005D4FCC" w:rsidP="005D4FCC">
            <w:pPr>
              <w:spacing w:line="240" w:lineRule="auto"/>
              <w:jc w:val="center"/>
              <w:rPr>
                <w:lang w:val="en-US"/>
              </w:rPr>
            </w:pPr>
            <m:oMathPara>
              <m:oMath>
                <m:f>
                  <m:fPr>
                    <m:ctrlPr>
                      <w:rPr>
                        <w:rFonts w:ascii="Cambria Math" w:hAnsi="Cambria Math"/>
                        <w:i/>
                        <w:lang w:val="en-US"/>
                      </w:rPr>
                    </m:ctrlPr>
                  </m:fPr>
                  <m:num>
                    <m:r>
                      <w:rPr>
                        <w:rFonts w:ascii="Cambria Math" w:hAnsi="Cambria Math"/>
                        <w:lang w:val="en-US"/>
                      </w:rPr>
                      <m:t>dT</m:t>
                    </m:r>
                  </m:num>
                  <m:den>
                    <m:r>
                      <w:rPr>
                        <w:rFonts w:ascii="Cambria Math" w:hAnsi="Cambria Math"/>
                        <w:lang w:val="en-US"/>
                      </w:rPr>
                      <m:t>dt</m:t>
                    </m:r>
                  </m:den>
                </m:f>
                <m:r>
                  <m:rPr>
                    <m:aln/>
                  </m:rPr>
                  <w:rPr>
                    <w:rFonts w:ascii="Cambria Math" w:hAnsi="Cambria Math"/>
                    <w:lang w:val="en-US"/>
                  </w:rPr>
                  <m:t>=-T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w</m:t>
                        </m:r>
                      </m:sub>
                    </m:sSub>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w</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m</m:t>
                        </m:r>
                      </m:sub>
                    </m:sSub>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m</m:t>
                        </m:r>
                      </m:sub>
                    </m:sSub>
                  </m:e>
                </m:d>
                <m:r>
                  <m:rPr>
                    <m:scr m:val="script"/>
                  </m:rPr>
                  <w:rPr>
                    <w:rFonts w:ascii="Cambria Math" w:hAnsi="Cambria Math"/>
                    <w:lang w:val="en-US"/>
                  </w:rPr>
                  <m:t>-l</m:t>
                </m:r>
                <m:r>
                  <w:rPr>
                    <w:rFonts w:ascii="Cambria Math" w:hAnsi="Cambria Math"/>
                    <w:lang w:val="en-US"/>
                  </w:rPr>
                  <m:t>TF+rR</m:t>
                </m:r>
              </m:oMath>
            </m:oMathPara>
          </w:p>
        </w:tc>
        <w:tc>
          <w:tcPr>
            <w:tcW w:w="935" w:type="dxa"/>
            <w:vAlign w:val="center"/>
          </w:tcPr>
          <w:p w14:paraId="52779F03" w14:textId="77777777" w:rsidR="005D4FCC" w:rsidRPr="00F04787" w:rsidRDefault="005D4FCC" w:rsidP="005D4FCC">
            <w:pPr>
              <w:spacing w:line="240" w:lineRule="auto"/>
              <w:jc w:val="center"/>
              <w:rPr>
                <w:lang w:val="en-US"/>
              </w:rPr>
            </w:pPr>
            <m:oMathPara>
              <m:oMath>
                <m:r>
                  <w:rPr>
                    <w:rFonts w:ascii="Cambria Math" w:hAnsi="Cambria Math"/>
                    <w:lang w:val="en-US"/>
                  </w:rPr>
                  <m:t>(1)</m:t>
                </m:r>
              </m:oMath>
            </m:oMathPara>
          </w:p>
        </w:tc>
      </w:tr>
      <w:tr w:rsidR="005D4FCC" w:rsidRPr="00F04787" w14:paraId="0766399D" w14:textId="77777777" w:rsidTr="004D45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075" w:type="dxa"/>
            <w:tcBorders>
              <w:top w:val="nil"/>
              <w:left w:val="nil"/>
              <w:bottom w:val="nil"/>
              <w:right w:val="nil"/>
            </w:tcBorders>
          </w:tcPr>
          <w:p w14:paraId="18A1DA63" w14:textId="77777777" w:rsidR="005D4FCC" w:rsidRPr="00F04787" w:rsidRDefault="005D4FCC" w:rsidP="005D4FCC">
            <w:pPr>
              <w:spacing w:line="240" w:lineRule="auto"/>
              <w:jc w:val="center"/>
              <w:rPr>
                <w:rFonts w:eastAsia="DengXian"/>
                <w:lang w:val="en-US"/>
              </w:rPr>
            </w:pPr>
            <m:oMathPara>
              <m:oMath>
                <m:f>
                  <m:fPr>
                    <m:ctrlPr>
                      <w:rPr>
                        <w:rFonts w:ascii="Cambria Math" w:hAnsi="Cambria Math"/>
                        <w:i/>
                        <w:lang w:val="en-US"/>
                      </w:rPr>
                    </m:ctrlPr>
                  </m:fPr>
                  <m:num>
                    <m:r>
                      <w:rPr>
                        <w:rFonts w:ascii="Cambria Math" w:hAnsi="Cambria Math"/>
                        <w:lang w:val="en-US"/>
                      </w:rPr>
                      <m:t>dR</m:t>
                    </m:r>
                  </m:num>
                  <m:den>
                    <m:r>
                      <w:rPr>
                        <w:rFonts w:ascii="Cambria Math" w:hAnsi="Cambria Math"/>
                        <w:lang w:val="en-US"/>
                      </w:rPr>
                      <m:t>dt</m:t>
                    </m:r>
                  </m:den>
                </m:f>
                <m:r>
                  <m:rPr>
                    <m:scr m:val="script"/>
                    <m:aln/>
                  </m:rPr>
                  <w:rPr>
                    <w:rFonts w:ascii="Cambria Math" w:hAnsi="Cambria Math"/>
                    <w:lang w:val="en-US"/>
                  </w:rPr>
                  <m:t>=l</m:t>
                </m:r>
                <m:r>
                  <w:rPr>
                    <w:rFonts w:ascii="Cambria Math" w:hAnsi="Cambria Math"/>
                    <w:lang w:val="en-US"/>
                  </w:rPr>
                  <m:t>TF-rR</m:t>
                </m:r>
              </m:oMath>
            </m:oMathPara>
          </w:p>
        </w:tc>
        <w:tc>
          <w:tcPr>
            <w:tcW w:w="935" w:type="dxa"/>
            <w:tcBorders>
              <w:top w:val="nil"/>
              <w:left w:val="nil"/>
              <w:bottom w:val="nil"/>
              <w:right w:val="nil"/>
            </w:tcBorders>
          </w:tcPr>
          <w:p w14:paraId="1443C842" w14:textId="77777777" w:rsidR="005D4FCC" w:rsidRPr="00F04787" w:rsidRDefault="005D4FCC" w:rsidP="005D4FCC">
            <w:pPr>
              <w:spacing w:line="240" w:lineRule="auto"/>
              <w:jc w:val="center"/>
              <w:rPr>
                <w:rFonts w:eastAsia="DengXian"/>
                <w:lang w:val="en-US"/>
              </w:rPr>
            </w:pPr>
            <m:oMathPara>
              <m:oMath>
                <m:r>
                  <w:rPr>
                    <w:rFonts w:ascii="Cambria Math" w:hAnsi="Cambria Math"/>
                    <w:lang w:val="en-US"/>
                  </w:rPr>
                  <m:t>(2)</m:t>
                </m:r>
              </m:oMath>
            </m:oMathPara>
          </w:p>
        </w:tc>
      </w:tr>
      <w:tr w:rsidR="005D4FCC" w:rsidRPr="00F04787" w14:paraId="181AA921" w14:textId="77777777" w:rsidTr="004D45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075" w:type="dxa"/>
            <w:tcBorders>
              <w:top w:val="nil"/>
              <w:left w:val="nil"/>
              <w:bottom w:val="nil"/>
              <w:right w:val="nil"/>
            </w:tcBorders>
          </w:tcPr>
          <w:p w14:paraId="77BCE0E6" w14:textId="77777777" w:rsidR="005D4FCC" w:rsidRPr="00F04787" w:rsidRDefault="005D4FCC" w:rsidP="005D4FCC">
            <w:pPr>
              <w:spacing w:line="240" w:lineRule="auto"/>
              <w:jc w:val="center"/>
              <w:rPr>
                <w:lang w:val="en-US"/>
              </w:rPr>
            </w:pPr>
            <m:oMathPara>
              <m:oMath>
                <m:f>
                  <m:fPr>
                    <m:ctrlPr>
                      <w:rPr>
                        <w:rFonts w:ascii="Cambria Math" w:hAnsi="Cambria Math"/>
                        <w:i/>
                        <w:lang w:val="en-US"/>
                      </w:rPr>
                    </m:ctrlPr>
                  </m:fPr>
                  <m:num>
                    <m:r>
                      <w:rPr>
                        <w:rFonts w:ascii="Cambria Math" w:hAnsi="Cambria Math"/>
                        <w:lang w:val="en-US"/>
                      </w:rPr>
                      <m:t>d</m:t>
                    </m:r>
                    <m:sSub>
                      <m:sSubPr>
                        <m:ctrlPr>
                          <w:rPr>
                            <w:rFonts w:ascii="Cambria Math" w:hAnsi="Cambria Math"/>
                            <w:i/>
                            <w:lang w:val="en-US"/>
                          </w:rPr>
                        </m:ctrlPr>
                      </m:sSubPr>
                      <m:e>
                        <m:r>
                          <w:rPr>
                            <w:rFonts w:ascii="Cambria Math" w:hAnsi="Cambria Math"/>
                            <w:lang w:val="en-US"/>
                          </w:rPr>
                          <m:t>I</m:t>
                        </m:r>
                      </m:e>
                      <m:sub>
                        <m:r>
                          <m:rPr>
                            <m:scr m:val="script"/>
                          </m:rPr>
                          <w:rPr>
                            <w:rFonts w:ascii="Cambria Math" w:hAnsi="Cambria Math"/>
                            <w:lang w:val="en-US"/>
                          </w:rPr>
                          <m:t>V</m:t>
                        </m:r>
                      </m:sub>
                    </m:sSub>
                  </m:num>
                  <m:den>
                    <m:r>
                      <w:rPr>
                        <w:rFonts w:ascii="Cambria Math" w:hAnsi="Cambria Math"/>
                        <w:lang w:val="en-US"/>
                      </w:rPr>
                      <m:t>dt</m:t>
                    </m:r>
                  </m:den>
                </m:f>
                <m:r>
                  <m:rPr>
                    <m:aln/>
                  </m:rP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m:rPr>
                        <m:scr m:val="script"/>
                      </m:rPr>
                      <w:rPr>
                        <w:rFonts w:ascii="Cambria Math" w:hAnsi="Cambria Math"/>
                        <w:lang w:val="en-US"/>
                      </w:rPr>
                      <m:t>V</m:t>
                    </m:r>
                  </m:sub>
                </m:sSub>
                <m:r>
                  <w:rPr>
                    <w:rFonts w:ascii="Cambria Math" w:hAnsi="Cambria Math"/>
                    <w:lang w:val="en-US"/>
                  </w:rPr>
                  <m:t>T</m:t>
                </m:r>
                <m:sSub>
                  <m:sSubPr>
                    <m:ctrlPr>
                      <w:rPr>
                        <w:rFonts w:ascii="Cambria Math" w:hAnsi="Cambria Math"/>
                        <w:i/>
                        <w:lang w:val="en-US"/>
                      </w:rPr>
                    </m:ctrlPr>
                  </m:sSubPr>
                  <m:e>
                    <m:r>
                      <w:rPr>
                        <w:rFonts w:ascii="Cambria Math" w:hAnsi="Cambria Math"/>
                        <w:lang w:val="en-US"/>
                      </w:rPr>
                      <m:t>V</m:t>
                    </m:r>
                  </m:e>
                  <m:sub>
                    <m:r>
                      <m:rPr>
                        <m:scr m:val="script"/>
                      </m:rPr>
                      <w:rPr>
                        <w:rFonts w:ascii="Cambria Math" w:hAnsi="Cambria Math"/>
                        <w:lang w:val="en-US"/>
                      </w:rPr>
                      <m:t>V</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C</m:t>
                    </m:r>
                  </m:sub>
                </m:sSub>
                <m:sSub>
                  <m:sSubPr>
                    <m:ctrlPr>
                      <w:rPr>
                        <w:rFonts w:ascii="Cambria Math" w:hAnsi="Cambria Math"/>
                        <w:i/>
                        <w:lang w:val="en-US"/>
                      </w:rPr>
                    </m:ctrlPr>
                  </m:sSubPr>
                  <m:e>
                    <m:r>
                      <w:rPr>
                        <w:rFonts w:ascii="Cambria Math" w:hAnsi="Cambria Math"/>
                        <w:lang w:val="en-US"/>
                      </w:rPr>
                      <m:t>I</m:t>
                    </m:r>
                  </m:e>
                  <m:sub>
                    <m:r>
                      <m:rPr>
                        <m:scr m:val="script"/>
                      </m:rPr>
                      <w:rPr>
                        <w:rFonts w:ascii="Cambria Math" w:hAnsi="Cambria Math"/>
                        <w:lang w:val="en-US"/>
                      </w:rPr>
                      <m:t>V</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I</m:t>
                    </m:r>
                  </m:e>
                  <m:sub>
                    <m:r>
                      <m:rPr>
                        <m:scr m:val="script"/>
                      </m:rPr>
                      <w:rPr>
                        <w:rFonts w:ascii="Cambria Math" w:hAnsi="Cambria Math"/>
                        <w:lang w:val="en-US"/>
                      </w:rPr>
                      <m:t>V</m:t>
                    </m:r>
                  </m:sub>
                </m:sSub>
                <m:r>
                  <w:rPr>
                    <w:rFonts w:ascii="Cambria Math" w:hAnsi="Cambria Math"/>
                    <w:lang w:val="en-US"/>
                  </w:rPr>
                  <m:t xml:space="preserve">F             ∀ </m:t>
                </m:r>
                <m:r>
                  <m:rPr>
                    <m:scr m:val="script"/>
                  </m:rPr>
                  <w:rPr>
                    <w:rFonts w:ascii="Cambria Math" w:hAnsi="Cambria Math"/>
                    <w:lang w:val="en-US"/>
                  </w:rPr>
                  <m:t>V∈</m:t>
                </m:r>
                <m:d>
                  <m:dPr>
                    <m:begChr m:val="{"/>
                    <m:endChr m:val="}"/>
                    <m:ctrlPr>
                      <w:rPr>
                        <w:rFonts w:ascii="Cambria Math" w:hAnsi="Cambria Math"/>
                        <w:i/>
                        <w:lang w:val="en-US"/>
                      </w:rPr>
                    </m:ctrlPr>
                  </m:dPr>
                  <m:e>
                    <m:r>
                      <w:rPr>
                        <w:rFonts w:ascii="Cambria Math" w:hAnsi="Cambria Math"/>
                        <w:lang w:val="en-US"/>
                      </w:rPr>
                      <m:t>w,v</m:t>
                    </m:r>
                  </m:e>
                </m:d>
              </m:oMath>
            </m:oMathPara>
          </w:p>
        </w:tc>
        <w:tc>
          <w:tcPr>
            <w:tcW w:w="935" w:type="dxa"/>
            <w:tcBorders>
              <w:top w:val="nil"/>
              <w:left w:val="nil"/>
              <w:bottom w:val="nil"/>
              <w:right w:val="nil"/>
            </w:tcBorders>
          </w:tcPr>
          <w:p w14:paraId="240CBF7B" w14:textId="77777777" w:rsidR="005D4FCC" w:rsidRPr="00F04787" w:rsidRDefault="005D4FCC" w:rsidP="005D4FCC">
            <w:pPr>
              <w:spacing w:line="240" w:lineRule="auto"/>
              <w:jc w:val="center"/>
              <w:rPr>
                <w:lang w:val="en-US"/>
              </w:rPr>
            </w:pPr>
            <m:oMathPara>
              <m:oMath>
                <m:r>
                  <w:rPr>
                    <w:rFonts w:ascii="Cambria Math" w:hAnsi="Cambria Math"/>
                    <w:lang w:val="en-US"/>
                  </w:rPr>
                  <m:t>(3)</m:t>
                </m:r>
              </m:oMath>
            </m:oMathPara>
          </w:p>
        </w:tc>
      </w:tr>
      <w:tr w:rsidR="005D4FCC" w:rsidRPr="00F04787" w14:paraId="629B3EBA" w14:textId="77777777" w:rsidTr="004D45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075" w:type="dxa"/>
            <w:tcBorders>
              <w:top w:val="nil"/>
              <w:left w:val="nil"/>
              <w:bottom w:val="nil"/>
              <w:right w:val="nil"/>
            </w:tcBorders>
          </w:tcPr>
          <w:p w14:paraId="51D7097D" w14:textId="77777777" w:rsidR="005D4FCC" w:rsidRPr="00F04787" w:rsidRDefault="005D4FCC" w:rsidP="005D4FCC">
            <w:pPr>
              <w:spacing w:line="240" w:lineRule="auto"/>
              <w:jc w:val="center"/>
              <w:rPr>
                <w:lang w:val="en-US"/>
              </w:rPr>
            </w:pPr>
            <m:oMathPara>
              <m:oMath>
                <m:f>
                  <m:fPr>
                    <m:ctrlPr>
                      <w:rPr>
                        <w:rFonts w:ascii="Cambria Math" w:hAnsi="Cambria Math"/>
                        <w:i/>
                        <w:lang w:val="en-US"/>
                      </w:rPr>
                    </m:ctrlPr>
                  </m:fPr>
                  <m:num>
                    <m:r>
                      <w:rPr>
                        <w:rFonts w:ascii="Cambria Math" w:hAnsi="Cambria Math"/>
                        <w:lang w:val="en-US"/>
                      </w:rPr>
                      <m:t>dF</m:t>
                    </m:r>
                  </m:num>
                  <m:den>
                    <m:r>
                      <w:rPr>
                        <w:rFonts w:ascii="Cambria Math" w:hAnsi="Cambria Math"/>
                        <w:lang w:val="en-US"/>
                      </w:rPr>
                      <m:t>dt</m:t>
                    </m:r>
                  </m:den>
                </m:f>
                <m:r>
                  <m:rPr>
                    <m:aln/>
                  </m:rP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F</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w</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m</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F</m:t>
                    </m:r>
                  </m:sub>
                </m:sSub>
                <m:r>
                  <w:rPr>
                    <w:rFonts w:ascii="Cambria Math" w:hAnsi="Cambria Math"/>
                    <w:lang w:val="en-US"/>
                  </w:rPr>
                  <m:t>F</m:t>
                </m:r>
              </m:oMath>
            </m:oMathPara>
          </w:p>
        </w:tc>
        <w:tc>
          <w:tcPr>
            <w:tcW w:w="935" w:type="dxa"/>
            <w:tcBorders>
              <w:top w:val="nil"/>
              <w:left w:val="nil"/>
              <w:bottom w:val="nil"/>
              <w:right w:val="nil"/>
            </w:tcBorders>
          </w:tcPr>
          <w:p w14:paraId="4193EA95" w14:textId="77777777" w:rsidR="005D4FCC" w:rsidRPr="00F04787" w:rsidRDefault="005D4FCC" w:rsidP="005D4FCC">
            <w:pPr>
              <w:spacing w:line="240" w:lineRule="auto"/>
              <w:jc w:val="center"/>
              <w:rPr>
                <w:lang w:val="en-US"/>
              </w:rPr>
            </w:pPr>
            <m:oMathPara>
              <m:oMath>
                <m:r>
                  <w:rPr>
                    <w:rFonts w:ascii="Cambria Math" w:hAnsi="Cambria Math"/>
                    <w:lang w:val="en-US"/>
                  </w:rPr>
                  <m:t>(4)</m:t>
                </m:r>
              </m:oMath>
            </m:oMathPara>
          </w:p>
        </w:tc>
      </w:tr>
      <w:tr w:rsidR="005D4FCC" w:rsidRPr="00F04787" w14:paraId="33D0A38A" w14:textId="77777777" w:rsidTr="004D45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075" w:type="dxa"/>
            <w:tcBorders>
              <w:top w:val="nil"/>
              <w:left w:val="nil"/>
              <w:bottom w:val="nil"/>
              <w:right w:val="nil"/>
            </w:tcBorders>
          </w:tcPr>
          <w:p w14:paraId="78C25549" w14:textId="77777777" w:rsidR="005D4FCC" w:rsidRPr="00F04787" w:rsidRDefault="005D4FCC" w:rsidP="005D4FCC">
            <w:pPr>
              <w:spacing w:line="240" w:lineRule="auto"/>
              <w:jc w:val="center"/>
              <w:rPr>
                <w:lang w:val="en-US"/>
              </w:rPr>
            </w:pPr>
            <m:oMathPara>
              <m:oMath>
                <m:f>
                  <m:fPr>
                    <m:ctrlPr>
                      <w:rPr>
                        <w:rFonts w:ascii="Cambria Math" w:hAnsi="Cambria Math"/>
                        <w:i/>
                        <w:lang w:val="en-US"/>
                      </w:rPr>
                    </m:ctrlPr>
                  </m:fPr>
                  <m:num>
                    <m:r>
                      <w:rPr>
                        <w:rFonts w:ascii="Cambria Math" w:hAnsi="Cambria Math"/>
                        <w:lang w:val="en-US"/>
                      </w:rPr>
                      <m:t>d</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w</m:t>
                        </m:r>
                      </m:sub>
                    </m:sSub>
                  </m:num>
                  <m:den>
                    <m:r>
                      <w:rPr>
                        <w:rFonts w:ascii="Cambria Math" w:hAnsi="Cambria Math"/>
                        <w:lang w:val="en-US"/>
                      </w:rPr>
                      <m:t>dt</m:t>
                    </m:r>
                  </m:den>
                </m:f>
                <m:r>
                  <m:rPr>
                    <m:aln/>
                  </m:rP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w</m:t>
                    </m:r>
                  </m:sub>
                </m:sSub>
                <m:d>
                  <m:dPr>
                    <m:begChr m:val="["/>
                    <m:endChr m:val="]"/>
                    <m:ctrlPr>
                      <w:rPr>
                        <w:rFonts w:ascii="Cambria Math" w:hAnsi="Cambria Math"/>
                        <w:i/>
                        <w:lang w:val="en-US"/>
                      </w:rPr>
                    </m:ctrlPr>
                  </m:dPr>
                  <m:e>
                    <m:r>
                      <w:rPr>
                        <w:rFonts w:ascii="Cambria Math" w:hAnsi="Cambria Math"/>
                        <w:lang w:val="en-US"/>
                      </w:rPr>
                      <m:t>1-μδ</m:t>
                    </m:r>
                    <m:d>
                      <m:dPr>
                        <m:ctrlPr>
                          <w:rPr>
                            <w:rFonts w:ascii="Cambria Math" w:hAnsi="Cambria Math"/>
                            <w:i/>
                            <w:lang w:val="en-US"/>
                          </w:rPr>
                        </m:ctrlPr>
                      </m:dPr>
                      <m:e>
                        <m:r>
                          <w:rPr>
                            <w:rFonts w:ascii="Cambria Math" w:hAnsi="Cambria Math"/>
                            <w:lang w:val="en-US"/>
                          </w:rPr>
                          <m:t>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treatment</m:t>
                            </m:r>
                          </m:sub>
                        </m:sSub>
                      </m:e>
                    </m:d>
                  </m:e>
                </m:d>
                <m:d>
                  <m:dPr>
                    <m:begChr m:val="["/>
                    <m:endChr m:val="]"/>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treatment</m:t>
                        </m:r>
                      </m:sub>
                    </m:sSub>
                    <m:r>
                      <w:rPr>
                        <w:rFonts w:ascii="Cambria Math" w:hAnsi="Cambria Math"/>
                        <w:lang w:val="en-US"/>
                      </w:rPr>
                      <m:t>δ</m:t>
                    </m:r>
                    <m:d>
                      <m:dPr>
                        <m:ctrlPr>
                          <w:rPr>
                            <w:rFonts w:ascii="Cambria Math" w:hAnsi="Cambria Math"/>
                            <w:i/>
                            <w:lang w:val="en-US"/>
                          </w:rPr>
                        </m:ctrlPr>
                      </m:dPr>
                      <m:e>
                        <m:r>
                          <w:rPr>
                            <w:rFonts w:ascii="Cambria Math" w:hAnsi="Cambria Math"/>
                            <w:lang w:val="en-US"/>
                          </w:rPr>
                          <m:t>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treatment</m:t>
                            </m:r>
                          </m:sub>
                        </m:sSub>
                      </m:e>
                    </m:d>
                  </m:e>
                </m:d>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w</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w</m:t>
                    </m:r>
                  </m:sub>
                </m:sSub>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w</m:t>
                    </m:r>
                  </m:sub>
                </m:sSub>
              </m:oMath>
            </m:oMathPara>
          </w:p>
        </w:tc>
        <w:tc>
          <w:tcPr>
            <w:tcW w:w="935" w:type="dxa"/>
            <w:tcBorders>
              <w:top w:val="nil"/>
              <w:left w:val="nil"/>
              <w:bottom w:val="nil"/>
              <w:right w:val="nil"/>
            </w:tcBorders>
          </w:tcPr>
          <w:p w14:paraId="524ECB0D" w14:textId="77777777" w:rsidR="005D4FCC" w:rsidRPr="00F04787" w:rsidRDefault="005D4FCC" w:rsidP="005D4FCC">
            <w:pPr>
              <w:spacing w:line="240" w:lineRule="auto"/>
              <w:jc w:val="center"/>
              <w:rPr>
                <w:lang w:val="en-US"/>
              </w:rPr>
            </w:pPr>
            <m:oMathPara>
              <m:oMath>
                <m:r>
                  <w:rPr>
                    <w:rFonts w:ascii="Cambria Math" w:hAnsi="Cambria Math"/>
                    <w:lang w:val="en-US"/>
                  </w:rPr>
                  <m:t>(5)</m:t>
                </m:r>
              </m:oMath>
            </m:oMathPara>
          </w:p>
        </w:tc>
      </w:tr>
      <w:tr w:rsidR="005D4FCC" w:rsidRPr="00F04787" w14:paraId="2D5CB64D" w14:textId="77777777" w:rsidTr="004D45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075" w:type="dxa"/>
            <w:tcBorders>
              <w:top w:val="nil"/>
              <w:left w:val="nil"/>
              <w:bottom w:val="nil"/>
              <w:right w:val="nil"/>
            </w:tcBorders>
          </w:tcPr>
          <w:p w14:paraId="661EBB99" w14:textId="77777777" w:rsidR="005D4FCC" w:rsidRPr="00F04787" w:rsidRDefault="005D4FCC" w:rsidP="005D4FCC">
            <w:pPr>
              <w:spacing w:line="240" w:lineRule="auto"/>
              <w:jc w:val="center"/>
              <w:rPr>
                <w:rFonts w:eastAsia="DengXian"/>
                <w:lang w:val="en-US"/>
              </w:rPr>
            </w:pPr>
            <m:oMathPara>
              <m:oMath>
                <m:f>
                  <m:fPr>
                    <m:ctrlPr>
                      <w:rPr>
                        <w:rFonts w:ascii="Cambria Math" w:hAnsi="Cambria Math"/>
                        <w:i/>
                        <w:lang w:val="en-US"/>
                      </w:rPr>
                    </m:ctrlPr>
                  </m:fPr>
                  <m:num>
                    <m:r>
                      <w:rPr>
                        <w:rFonts w:ascii="Cambria Math" w:hAnsi="Cambria Math"/>
                        <w:lang w:val="en-US"/>
                      </w:rPr>
                      <m:t>d</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m</m:t>
                        </m:r>
                      </m:sub>
                    </m:sSub>
                  </m:num>
                  <m:den>
                    <m:r>
                      <w:rPr>
                        <w:rFonts w:ascii="Cambria Math" w:hAnsi="Cambria Math"/>
                        <w:lang w:val="en-US"/>
                      </w:rPr>
                      <m:t>dt</m:t>
                    </m:r>
                  </m:den>
                </m:f>
                <m:r>
                  <m:rPr>
                    <m:aln/>
                  </m:rP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m</m:t>
                    </m:r>
                  </m:sub>
                </m:sSub>
                <m:r>
                  <w:rPr>
                    <w:rFonts w:ascii="Cambria Math" w:hAnsi="Cambria Math"/>
                    <w:lang w:val="en-US"/>
                  </w:rPr>
                  <m:t>μδ</m:t>
                </m:r>
                <m:d>
                  <m:dPr>
                    <m:ctrlPr>
                      <w:rPr>
                        <w:rFonts w:ascii="Cambria Math" w:hAnsi="Cambria Math"/>
                        <w:i/>
                        <w:lang w:val="en-US"/>
                      </w:rPr>
                    </m:ctrlPr>
                  </m:dPr>
                  <m:e>
                    <m:r>
                      <w:rPr>
                        <w:rFonts w:ascii="Cambria Math" w:hAnsi="Cambria Math"/>
                        <w:lang w:val="en-US"/>
                      </w:rPr>
                      <m:t>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treatment</m:t>
                        </m:r>
                      </m:sub>
                    </m:sSub>
                  </m:e>
                </m:d>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m</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m</m:t>
                    </m:r>
                  </m:sub>
                </m:sSub>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m</m:t>
                    </m:r>
                  </m:sub>
                </m:sSub>
              </m:oMath>
            </m:oMathPara>
          </w:p>
        </w:tc>
        <w:tc>
          <w:tcPr>
            <w:tcW w:w="935" w:type="dxa"/>
            <w:tcBorders>
              <w:top w:val="nil"/>
              <w:left w:val="nil"/>
              <w:bottom w:val="nil"/>
              <w:right w:val="nil"/>
            </w:tcBorders>
          </w:tcPr>
          <w:p w14:paraId="440FCDF3" w14:textId="77777777" w:rsidR="005D4FCC" w:rsidRPr="00F04787" w:rsidRDefault="005D4FCC" w:rsidP="005D4FCC">
            <w:pPr>
              <w:spacing w:line="240" w:lineRule="auto"/>
              <w:jc w:val="center"/>
              <w:rPr>
                <w:rFonts w:eastAsia="DengXian"/>
                <w:lang w:val="en-US"/>
              </w:rPr>
            </w:pPr>
            <m:oMathPara>
              <m:oMath>
                <m:r>
                  <w:rPr>
                    <w:rFonts w:ascii="Cambria Math" w:hAnsi="Cambria Math"/>
                    <w:lang w:val="en-US"/>
                  </w:rPr>
                  <m:t>(6)</m:t>
                </m:r>
              </m:oMath>
            </m:oMathPara>
          </w:p>
        </w:tc>
      </w:tr>
    </w:tbl>
    <w:p w14:paraId="4855DABC" w14:textId="22225F83" w:rsidR="005D4FCC" w:rsidRPr="00F04787" w:rsidRDefault="005D4FCC" w:rsidP="005D4FCC">
      <w:pPr>
        <w:rPr>
          <w:lang w:val="en-US"/>
        </w:rPr>
      </w:pPr>
      <w:r w:rsidRPr="00F04787">
        <w:rPr>
          <w:lang w:val="en-US"/>
        </w:rPr>
        <w:t xml:space="preserve">where </w:t>
      </w:r>
      <m:oMath>
        <m:r>
          <w:rPr>
            <w:rFonts w:ascii="Cambria Math" w:hAnsi="Cambria Math"/>
            <w:lang w:val="en-US"/>
          </w:rPr>
          <m:t>T</m:t>
        </m:r>
      </m:oMath>
      <w:r w:rsidRPr="00F04787">
        <w:rPr>
          <w:lang w:val="en-US"/>
        </w:rPr>
        <w:t xml:space="preserve">, </w:t>
      </w:r>
      <m:oMath>
        <m:r>
          <w:rPr>
            <w:rFonts w:ascii="Cambria Math" w:hAnsi="Cambria Math"/>
            <w:lang w:val="en-US"/>
          </w:rPr>
          <m:t>R</m:t>
        </m:r>
      </m:oMath>
      <w:r w:rsidRPr="00F04787">
        <w:rPr>
          <w:lang w:val="en-US"/>
        </w:rPr>
        <w:t xml:space="preserve">, </w:t>
      </w:r>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w</m:t>
            </m:r>
          </m:sub>
        </m:sSub>
      </m:oMath>
      <w:r w:rsidRPr="00F04787">
        <w:rPr>
          <w:lang w:val="en-US"/>
        </w:rPr>
        <w:t xml:space="preserve">, </w:t>
      </w:r>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m</m:t>
            </m:r>
          </m:sub>
        </m:sSub>
      </m:oMath>
      <w:r w:rsidRPr="00F04787">
        <w:rPr>
          <w:lang w:val="en-US"/>
        </w:rPr>
        <w:t xml:space="preserve">, </w:t>
      </w:r>
      <m:oMath>
        <m:r>
          <w:rPr>
            <w:rFonts w:ascii="Cambria Math" w:hAnsi="Cambria Math"/>
            <w:lang w:val="en-US"/>
          </w:rPr>
          <m:t>F</m:t>
        </m:r>
      </m:oMath>
      <w:r w:rsidRPr="00F04787">
        <w:rPr>
          <w:lang w:val="en-US"/>
        </w:rPr>
        <w:t xml:space="preserve">,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w</m:t>
            </m:r>
          </m:sub>
        </m:sSub>
      </m:oMath>
      <w:r w:rsidRPr="00F04787">
        <w:rPr>
          <w:lang w:val="en-US"/>
        </w:rPr>
        <w:t xml:space="preserve"> and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m</m:t>
            </m:r>
          </m:sub>
        </m:sSub>
      </m:oMath>
      <w:r w:rsidRPr="00F04787">
        <w:rPr>
          <w:lang w:val="en-US"/>
        </w:rPr>
        <w:t xml:space="preserve"> are the respective number of uninfected target cells, the number of cells that enter an antiviral state in which they are refractory to infection, the number of cells infected by the wild-type virus, the number of cells infected by the antiviral-resistant mutant virus, the level of interferon response, the amount of free wild-type and mutant viruses. The parameters </w:t>
      </w:r>
      <m:oMath>
        <m:sSub>
          <m:sSubPr>
            <m:ctrlPr>
              <w:rPr>
                <w:rFonts w:ascii="Cambria Math" w:hAnsi="Cambria Math"/>
                <w:i/>
                <w:lang w:val="en-US"/>
              </w:rPr>
            </m:ctrlPr>
          </m:sSubPr>
          <m:e>
            <m:r>
              <w:rPr>
                <w:rFonts w:ascii="Cambria Math" w:hAnsi="Cambria Math"/>
                <w:lang w:val="en-US"/>
              </w:rPr>
              <m:t>β</m:t>
            </m:r>
          </m:e>
          <m:sub>
            <m:r>
              <m:rPr>
                <m:scr m:val="script"/>
              </m:rPr>
              <w:rPr>
                <w:rFonts w:ascii="Cambria Math" w:hAnsi="Cambria Math"/>
                <w:lang w:val="en-US"/>
              </w:rPr>
              <m:t>V</m:t>
            </m:r>
          </m:sub>
        </m:sSub>
      </m:oMath>
      <w:r w:rsidRPr="00F04787">
        <w:rPr>
          <w:lang w:val="en-US"/>
        </w:rPr>
        <w:t xml:space="preserve">, </w:t>
      </w:r>
      <m:oMath>
        <m:r>
          <m:rPr>
            <m:scr m:val="script"/>
          </m:rPr>
          <w:rPr>
            <w:rFonts w:ascii="Cambria Math" w:hAnsi="Cambria Math"/>
            <w:lang w:val="en-US"/>
          </w:rPr>
          <m:t>l</m:t>
        </m:r>
      </m:oMath>
      <w:r w:rsidRPr="00F04787">
        <w:rPr>
          <w:lang w:val="en-US"/>
        </w:rPr>
        <w:t xml:space="preserve">, </w:t>
      </w:r>
      <m:oMath>
        <m:r>
          <w:rPr>
            <w:rFonts w:ascii="Cambria Math" w:hAnsi="Cambria Math"/>
            <w:lang w:val="en-US"/>
          </w:rPr>
          <m:t>r</m:t>
        </m:r>
      </m:oMath>
      <w:r w:rsidRPr="00F04787">
        <w:rPr>
          <w:lang w:val="en-US"/>
        </w:rPr>
        <w:t xml:space="preserve">,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C</m:t>
            </m:r>
          </m:sub>
        </m:sSub>
      </m:oMath>
      <w:r w:rsidRPr="00F04787">
        <w:rPr>
          <w:lang w:val="en-US"/>
        </w:rPr>
        <w:t xml:space="preserve">,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oMath>
      <w:r w:rsidRPr="00F04787">
        <w:rPr>
          <w:lang w:val="en-US"/>
        </w:rPr>
        <w:t xml:space="preserve">,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F</m:t>
            </m:r>
          </m:sub>
        </m:sSub>
      </m:oMath>
      <w:r w:rsidRPr="00F04787">
        <w:rPr>
          <w:lang w:val="en-US"/>
        </w:rPr>
        <w:t xml:space="preserve">,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F</m:t>
            </m:r>
          </m:sub>
        </m:sSub>
      </m:oMath>
      <w:r w:rsidRPr="00F04787">
        <w:rPr>
          <w:lang w:val="en-US"/>
        </w:rPr>
        <w:t xml:space="preserve">, </w:t>
      </w:r>
      <m:oMath>
        <m:sSub>
          <m:sSubPr>
            <m:ctrlPr>
              <w:rPr>
                <w:rFonts w:ascii="Cambria Math" w:hAnsi="Cambria Math"/>
                <w:i/>
                <w:lang w:val="en-US"/>
              </w:rPr>
            </m:ctrlPr>
          </m:sSubPr>
          <m:e>
            <m:r>
              <w:rPr>
                <w:rFonts w:ascii="Cambria Math" w:hAnsi="Cambria Math"/>
                <w:lang w:val="en-US"/>
              </w:rPr>
              <m:t>p</m:t>
            </m:r>
          </m:e>
          <m:sub>
            <m:r>
              <m:rPr>
                <m:scr m:val="script"/>
              </m:rPr>
              <w:rPr>
                <w:rFonts w:ascii="Cambria Math" w:hAnsi="Cambria Math"/>
                <w:lang w:val="en-US"/>
              </w:rPr>
              <m:t>V</m:t>
            </m:r>
          </m:sub>
        </m:sSub>
      </m:oMath>
      <w:r w:rsidRPr="00F04787">
        <w:rPr>
          <w:lang w:val="en-US"/>
        </w:rPr>
        <w:t xml:space="preserve"> and </w:t>
      </w:r>
      <m:oMath>
        <m:sSub>
          <m:sSubPr>
            <m:ctrlPr>
              <w:rPr>
                <w:rFonts w:ascii="Cambria Math" w:hAnsi="Cambria Math"/>
                <w:i/>
                <w:lang w:val="en-US"/>
              </w:rPr>
            </m:ctrlPr>
          </m:sSubPr>
          <m:e>
            <m:r>
              <w:rPr>
                <w:rFonts w:ascii="Cambria Math" w:hAnsi="Cambria Math"/>
                <w:lang w:val="en-US"/>
              </w:rPr>
              <m:t>c</m:t>
            </m:r>
          </m:e>
          <m:sub>
            <m:r>
              <m:rPr>
                <m:scr m:val="script"/>
              </m:rPr>
              <w:rPr>
                <w:rFonts w:ascii="Cambria Math" w:hAnsi="Cambria Math"/>
                <w:lang w:val="en-US"/>
              </w:rPr>
              <m:t>V</m:t>
            </m:r>
          </m:sub>
        </m:sSub>
      </m:oMath>
      <w:r w:rsidRPr="00F04787">
        <w:rPr>
          <w:lang w:val="en-US"/>
        </w:rPr>
        <w:t xml:space="preserve"> refer to the respective target cell infection rate by variant virus </w:t>
      </w:r>
      <m:oMath>
        <m:r>
          <m:rPr>
            <m:scr m:val="script"/>
          </m:rPr>
          <w:rPr>
            <w:rFonts w:ascii="Cambria Math" w:hAnsi="Cambria Math"/>
            <w:lang w:val="en-US"/>
          </w:rPr>
          <m:t>V</m:t>
        </m:r>
      </m:oMath>
      <w:r w:rsidRPr="00F04787">
        <w:rPr>
          <w:lang w:val="en-US"/>
        </w:rPr>
        <w:t xml:space="preserve">, interferon-induced antiviral efficacy, reversion rate from antiviral state, virus-induced infected cell death rate, interferon-induced infected cell death rate, production rate of interferons, decay rate of interferons, replication rate and free virus death rate of variant virus </w:t>
      </w:r>
      <m:oMath>
        <m:r>
          <m:rPr>
            <m:scr m:val="script"/>
          </m:rPr>
          <w:rPr>
            <w:rFonts w:ascii="Cambria Math" w:hAnsi="Cambria Math"/>
            <w:lang w:val="en-US"/>
          </w:rPr>
          <m:t>V</m:t>
        </m:r>
      </m:oMath>
      <w:r w:rsidRPr="00F04787">
        <w:rPr>
          <w:lang w:val="en-US"/>
        </w:rPr>
        <w:t xml:space="preserve"> respectively. </w:t>
      </w:r>
      <m:oMath>
        <m:r>
          <w:rPr>
            <w:rFonts w:ascii="Cambria Math" w:hAnsi="Cambria Math"/>
            <w:lang w:val="en-US"/>
          </w:rPr>
          <m:t>δ</m:t>
        </m:r>
        <m:d>
          <m:dPr>
            <m:ctrlPr>
              <w:rPr>
                <w:rFonts w:ascii="Cambria Math" w:hAnsi="Cambria Math"/>
                <w:i/>
                <w:lang w:val="en-US"/>
              </w:rPr>
            </m:ctrlPr>
          </m:dPr>
          <m:e>
            <m:r>
              <w:rPr>
                <w:rFonts w:ascii="Cambria Math" w:hAnsi="Cambria Math"/>
                <w:lang w:val="en-US"/>
              </w:rPr>
              <m:t>t</m:t>
            </m:r>
          </m:e>
        </m:d>
        <m:r>
          <w:rPr>
            <w:rFonts w:ascii="Cambria Math" w:hAnsi="Cambria Math"/>
            <w:lang w:val="en-US"/>
          </w:rPr>
          <m:t>=1</m:t>
        </m:r>
      </m:oMath>
      <w:r w:rsidRPr="00F04787">
        <w:rPr>
          <w:lang w:val="en-US"/>
        </w:rPr>
        <w:t xml:space="preserve"> when and after the antiviral was administered at time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treatment</m:t>
            </m:r>
          </m:sub>
        </m:sSub>
      </m:oMath>
      <w:r w:rsidRPr="00F04787">
        <w:rPr>
          <w:lang w:val="en-US"/>
        </w:rPr>
        <w:t xml:space="preserve">, and is otherwise zero.  </w:t>
      </w:r>
    </w:p>
    <w:p w14:paraId="20B5379D" w14:textId="3E3FAF5B" w:rsidR="005D4FCC" w:rsidRDefault="005D4FCC" w:rsidP="005D4FCC">
      <w:pPr>
        <w:rPr>
          <w:lang w:val="en-US"/>
        </w:rPr>
      </w:pPr>
      <w:r w:rsidRPr="00F04787">
        <w:rPr>
          <w:lang w:val="en-US"/>
        </w:rPr>
        <w:t>We fitted the within-host model to viral load data measured since initiation of different treatment regimens (i.e. placebo, baloxavir marboxil (BXM) or oseltamivir) with</w:t>
      </w:r>
      <w:r>
        <w:rPr>
          <w:lang w:val="en-US"/>
        </w:rPr>
        <w:t xml:space="preserve"> </w:t>
      </w:r>
      <w:r w:rsidRPr="00F04787">
        <w:rPr>
          <w:lang w:val="en-US"/>
        </w:rPr>
        <w:t>and without the emergence of BXM-resistant viruses</w:t>
      </w:r>
      <w:r>
        <w:rPr>
          <w:lang w:val="en-US"/>
        </w:rPr>
        <w:t xml:space="preserve"> </w:t>
      </w:r>
      <w:r w:rsidRPr="00F04787">
        <w:rPr>
          <w:lang w:val="en-US"/>
        </w:rPr>
        <w:t xml:space="preserve">from </w:t>
      </w:r>
      <w:r>
        <w:rPr>
          <w:lang w:val="en-US"/>
        </w:rPr>
        <w:t>a</w:t>
      </w:r>
      <w:r w:rsidRPr="00F04787">
        <w:rPr>
          <w:lang w:val="en-US"/>
        </w:rPr>
        <w:t xml:space="preserve"> phase 3 clinical trial (CAPSTONE-1)</w:t>
      </w:r>
      <w:r w:rsidR="000A298A">
        <w:rPr>
          <w:lang w:val="en-US"/>
        </w:rPr>
        <w:t xml:space="preserve"> </w:t>
      </w:r>
      <w:r>
        <w:rPr>
          <w:lang w:val="en-US"/>
        </w:rPr>
        <w:fldChar w:fldCharType="begin"/>
      </w:r>
      <w:r w:rsidR="006A263E">
        <w:rPr>
          <w:lang w:val="en-US"/>
        </w:rPr>
        <w:instrText xml:space="preserve"> ADDIN ZOTERO_ITEM CSL_CITATION {"citationID":"FGAdnuT4","properties":{"formattedCitation":"(Hayden Frederick G. et al., 2018; Uehara et al., 2020)","plainCitation":"(Hayden Frederick G. et al., 2018; Uehara et al., 2020)","noteIndex":0},"citationItems":[{"id":14,"uris":["http://zotero.org/users/local/0pdZPGmr/items/Q75YUA7U","http://zotero.org/users/9596130/items/Q75YUA7U"],"itemData":{"id":14,"type":"article-journal","abstract":"Single-dose baloxavir rapidly reduces influenza virus titers and symptoms in patients with uncomplicated influenza, but viruses with reduced in vitro susceptibility due to amino acid substitutions at position 38 of polymerase acidic protein (PA/I38X) sometimes emerge.We evaluated the kinetics, risk factors, and effects on clinical and virologic outcomes of emergence of PA/I38X-substituted viruses.Viruses containing PA/I38X substitutions were identified 3–9 days after baloxavir treatment in 9.7% (36/370) of patients, of whom 85.3% had transient virus titer rises. Median time to sustained cessation of infectious virus detection was 192, 48, and 96 hours in the baloxavir recipients with PA/I38X-substituted viruses, without PA/I38X-substituted viruses, and placebo recipients, respectively. The corresponding median times to alleviation of symptoms were 63.1, 51.0, and 80.2 hours, respectively. After day 5, symptom increases occurred in 11.5%, 8.0%, and 13.0%, respectively, and in 8.9% of oseltamivir recipients. Variant virus emergence was associated with lower baseline neutralizing antibody titers.The emergence of viruses with PA/I38X substitutions following baloxavir treatment was associated with transient rises in infectious virus titers, prolongation of virus detectability, initial delay in symptom alleviation, and uncommonly with symptom rebound. The potential transmissibility of PA/I38X-substituted viruses requires careful study.NCT02954354.","container-title":"The Journal of Infectious Diseases","DOI":"10.1093/infdis/jiz244","ISSN":"0022-1899","issue":"3","journalAbbreviation":"The Journal of Infectious Diseases","page":"346-355","title":"Treatment-Emergent Influenza Variant Viruses With Reduced Baloxavir Susceptibility: Impact on Clinical and Virologic Outcomes in Uncomplicated Influenza","volume":"221","author":[{"family":"Uehara","given":"Takeki"},{"family":"Hayden","given":"Frederick G"},{"family":"Kawaguchi","given":"Keiko"},{"family":"Omoto","given":"Shinya"},{"family":"Hurt","given":"Aeron C"},{"family":"De Jong","given":"Menno D"},{"family":"Hirotsu","given":"Nobuo"},{"family":"Sugaya","given":"Norio"},{"family":"Lee","given":"Nelson"},{"family":"Baba","given":"Keiko"},{"family":"Shishido","given":"Takao"},{"family":"Tsuchiya","given":"Kenji"},{"family":"Portsmouth","given":"Simon"},{"family":"Kida","given":"Hiroshi"}],"issued":{"date-parts":[["2020",1,14]]}}},{"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Pr>
          <w:lang w:val="en-US"/>
        </w:rPr>
        <w:fldChar w:fldCharType="separate"/>
      </w:r>
      <w:r w:rsidR="006A263E">
        <w:rPr>
          <w:lang w:val="en-US"/>
        </w:rPr>
        <w:t>(Hayden Frederick G. et al., 2018; Uehara et al., 2020)</w:t>
      </w:r>
      <w:r>
        <w:rPr>
          <w:lang w:val="en-US"/>
        </w:rPr>
        <w:fldChar w:fldCharType="end"/>
      </w:r>
      <w:r w:rsidR="000A298A">
        <w:rPr>
          <w:lang w:val="en-US"/>
        </w:rPr>
        <w:t>.</w:t>
      </w:r>
      <w:r w:rsidRPr="00F04787">
        <w:rPr>
          <w:lang w:val="en-US"/>
        </w:rPr>
        <w:t xml:space="preserve"> For the </w:t>
      </w:r>
      <w:r>
        <w:rPr>
          <w:lang w:val="en-US"/>
        </w:rPr>
        <w:t>BXM-resistance</w:t>
      </w:r>
      <w:r w:rsidRPr="00F04787">
        <w:rPr>
          <w:lang w:val="en-US"/>
        </w:rPr>
        <w:t>, the rebound in viral load was dominated by BXM-resistant virions based on the estimated within-host mutation frequencies</w:t>
      </w:r>
      <w:r w:rsidR="00A07706">
        <w:rPr>
          <w:lang w:val="en-US"/>
        </w:rPr>
        <w:t xml:space="preserve"> </w:t>
      </w:r>
      <w:r w:rsidRPr="00F04787">
        <w:rPr>
          <w:lang w:val="en-US"/>
        </w:rPr>
        <w:fldChar w:fldCharType="begin"/>
      </w:r>
      <w:r w:rsidR="006A263E">
        <w:rPr>
          <w:lang w:val="en-US"/>
        </w:rPr>
        <w:instrText xml:space="preserve"> ADDIN ZOTERO_ITEM CSL_CITATION {"citationID":"nAdataXL","properties":{"formattedCitation":"(Uehara et al., 2020)","plainCitation":"(Uehara et al., 2020)","noteIndex":0},"citationItems":[{"id":14,"uris":["http://zotero.org/users/local/0pdZPGmr/items/Q75YUA7U","http://zotero.org/users/9596130/items/Q75YUA7U"],"itemData":{"id":14,"type":"article-journal","abstract":"Single-dose baloxavir rapidly reduces influenza virus titers and symptoms in patients with uncomplicated influenza, but viruses with reduced in vitro susceptibility due to amino acid substitutions at position 38 of polymerase acidic protein (PA/I38X) sometimes emerge.We evaluated the kinetics, risk factors, and effects on clinical and virologic outcomes of emergence of PA/I38X-substituted viruses.Viruses containing PA/I38X substitutions were identified 3–9 days after baloxavir treatment in 9.7% (36/370) of patients, of whom 85.3% had transient virus titer rises. Median time to sustained cessation of infectious virus detection was 192, 48, and 96 hours in the baloxavir recipients with PA/I38X-substituted viruses, without PA/I38X-substituted viruses, and placebo recipients, respectively. The corresponding median times to alleviation of symptoms were 63.1, 51.0, and 80.2 hours, respectively. After day 5, symptom increases occurred in 11.5%, 8.0%, and 13.0%, respectively, and in 8.9% of oseltamivir recipients. Variant virus emergence was associated with lower baseline neutralizing antibody titers.The emergence of viruses with PA/I38X substitutions following baloxavir treatment was associated with transient rises in infectious virus titers, prolongation of virus detectability, initial delay in symptom alleviation, and uncommonly with symptom rebound. The potential transmissibility of PA/I38X-substituted viruses requires careful study.NCT02954354.","container-title":"The Journal of Infectious Diseases","DOI":"10.1093/infdis/jiz244","ISSN":"0022-1899","issue":"3","journalAbbreviation":"The Journal of Infectious Diseases","page":"346-355","title":"Treatment-Emergent Influenza Variant Viruses With Reduced Baloxavir Susceptibility: Impact on Clinical and Virologic Outcomes in Uncomplicated Influenza","volume":"221","author":[{"family":"Uehara","given":"Takeki"},{"family":"Hayden","given":"Frederick G"},{"family":"Kawaguchi","given":"Keiko"},{"family":"Omoto","given":"Shinya"},{"family":"Hurt","given":"Aeron C"},{"family":"De Jong","given":"Menno D"},{"family":"Hirotsu","given":"Nobuo"},{"family":"Sugaya","given":"Norio"},{"family":"Lee","given":"Nelson"},{"family":"Baba","given":"Keiko"},{"family":"Shishido","given":"Takao"},{"family":"Tsuchiya","given":"Kenji"},{"family":"Portsmouth","given":"Simon"},{"family":"Kida","given":"Hiroshi"}],"issued":{"date-parts":[["2020",1,14]]}}}],"schema":"https://github.com/citation-style-language/schema/raw/master/csl-citation.json"} </w:instrText>
      </w:r>
      <w:r w:rsidRPr="00F04787">
        <w:rPr>
          <w:lang w:val="en-US"/>
        </w:rPr>
        <w:fldChar w:fldCharType="separate"/>
      </w:r>
      <w:r w:rsidR="006A263E">
        <w:rPr>
          <w:lang w:val="en-US"/>
        </w:rPr>
        <w:t>(Uehara et al., 2020)</w:t>
      </w:r>
      <w:r w:rsidRPr="00F04787">
        <w:rPr>
          <w:lang w:val="en-US"/>
        </w:rPr>
        <w:fldChar w:fldCharType="end"/>
      </w:r>
      <w:r w:rsidR="00A07706">
        <w:rPr>
          <w:lang w:val="en-US"/>
        </w:rPr>
        <w:t>.</w:t>
      </w:r>
      <w:r w:rsidRPr="00F04787">
        <w:rPr>
          <w:lang w:val="en-US"/>
        </w:rPr>
        <w:t xml:space="preserve"> </w:t>
      </w:r>
      <w:r>
        <w:rPr>
          <w:lang w:val="en-US"/>
        </w:rPr>
        <w:t>To fit the model,</w:t>
      </w:r>
      <w:r w:rsidRPr="00F04787">
        <w:rPr>
          <w:lang w:val="en-US"/>
        </w:rPr>
        <w:t xml:space="preserve"> </w:t>
      </w:r>
      <w:r>
        <w:rPr>
          <w:lang w:val="en-US"/>
        </w:rPr>
        <w:t>f</w:t>
      </w:r>
      <w:r w:rsidRPr="00F04787">
        <w:rPr>
          <w:lang w:val="en-US"/>
        </w:rPr>
        <w:t xml:space="preserve">irst, we fitted pooled data of the time of symptom onset since influenza virus infection to a lognormal distribution (i.e. mean = 0.35, standard deviation = 0.41; </w:t>
      </w:r>
      <w:r>
        <w:rPr>
          <w:lang w:val="en-US"/>
        </w:rPr>
        <w:t>Appendix</w:t>
      </w:r>
      <w:r>
        <w:rPr>
          <w:lang w:val="en-US"/>
        </w:rPr>
        <w:t xml:space="preserve"> Fig. 9</w:t>
      </w:r>
      <w:r w:rsidRPr="00F04787">
        <w:rPr>
          <w:lang w:val="en-US"/>
        </w:rPr>
        <w:t>A)</w:t>
      </w:r>
      <w:r w:rsidR="00166438">
        <w:rPr>
          <w:lang w:val="en-US"/>
        </w:rPr>
        <w:t xml:space="preserve"> </w:t>
      </w:r>
      <w:r w:rsidRPr="00F04787">
        <w:rPr>
          <w:lang w:val="en-US"/>
        </w:rPr>
        <w:fldChar w:fldCharType="begin"/>
      </w:r>
      <w:r w:rsidR="006A263E">
        <w:rPr>
          <w:lang w:val="en-US"/>
        </w:rPr>
        <w:instrText xml:space="preserve"> ADDIN ZOTERO_ITEM CSL_CITATION {"citationID":"Kun0eGlM","properties":{"formattedCitation":"(Lessler et al., 2009)","plainCitation":"(Lessler et al., 2009)","noteIndex":0},"citationItems":[{"id":11,"uris":["http://zotero.org/users/local/0pdZPGmr/items/5IH5IJHG","http://zotero.org/users/9596130/items/5IH5IJHG"],"itemData":{"id":11,"type":"article-journal","container-title":"The Lancet Infectious Diseases","DOI":"10.1016/S1473-3099(09)70069-6","ISSN":"1473-3099, 1474-4457","issue":"5","journalAbbreviation":"The Lancet Infectious Diseases","language":"English","note":"publisher: Elsevier\nPMID: 19393959","page":"291-300","source":"www.thelancet.com","title":"Incubation periods of acute respiratory viral infections: a systematic review","title-short":"Incubation periods of acute respiratory viral infections","volume":"9","author":[{"family":"Lessler","given":"Justin"},{"family":"Reich","given":"Nicholas G."},{"family":"Brookmeyer","given":"Ron"},{"family":"Perl","given":"Trish M."},{"family":"Nelson","given":"Kenrad E."},{"family":"Cummings","given":"Derek AT"}],"issued":{"date-parts":[["2009",5,1]]}}}],"schema":"https://github.com/citation-style-language/schema/raw/master/csl-citation.json"} </w:instrText>
      </w:r>
      <w:r w:rsidRPr="00F04787">
        <w:rPr>
          <w:lang w:val="en-US"/>
        </w:rPr>
        <w:fldChar w:fldCharType="separate"/>
      </w:r>
      <w:r w:rsidR="006A263E">
        <w:rPr>
          <w:lang w:val="en-US"/>
        </w:rPr>
        <w:t>(Lessler et al., 2009)</w:t>
      </w:r>
      <w:r w:rsidRPr="00F04787">
        <w:rPr>
          <w:lang w:val="en-US"/>
        </w:rPr>
        <w:fldChar w:fldCharType="end"/>
      </w:r>
      <w:r w:rsidR="00166438">
        <w:rPr>
          <w:lang w:val="en-US"/>
        </w:rPr>
        <w:t>.</w:t>
      </w:r>
      <w:r w:rsidRPr="00F04787">
        <w:rPr>
          <w:lang w:val="en-US"/>
        </w:rPr>
        <w:t xml:space="preserve"> Second, we fitted the time of treatment initiation since symptom onset reported in the clinical trial to a Gamma distribution (i.e. placebo, shape = 2.91, scale = 8.31; BXM, shape = 2.40, scale = 10.12; oseltamivir, shape = 2.87, scale = 8.53; </w:t>
      </w:r>
      <w:r>
        <w:rPr>
          <w:lang w:val="en-US"/>
        </w:rPr>
        <w:t>Appendix</w:t>
      </w:r>
      <w:r>
        <w:rPr>
          <w:lang w:val="en-US"/>
        </w:rPr>
        <w:t xml:space="preserve"> Fig. 9</w:t>
      </w:r>
      <w:r w:rsidRPr="00F04787">
        <w:rPr>
          <w:lang w:val="en-US"/>
        </w:rPr>
        <w:t xml:space="preserve">B-D). We then simulated the number of individuals assigned to each treatment regime as per the CAPSTONE-1 trial (i.e. </w:t>
      </w:r>
      <m:oMath>
        <m:r>
          <w:rPr>
            <w:rFonts w:ascii="Cambria Math" w:hAnsi="Cambria Math"/>
            <w:lang w:val="en-US"/>
          </w:rPr>
          <m:t>n=</m:t>
        </m:r>
      </m:oMath>
      <w:r w:rsidRPr="00F04787">
        <w:rPr>
          <w:lang w:val="en-US"/>
        </w:rPr>
        <w:t xml:space="preserve"> 210, 427 and 377 individuals administered with a course of placebo, BXM and oseltamivir </w:t>
      </w:r>
      <w:r w:rsidRPr="00F04787">
        <w:rPr>
          <w:lang w:val="en-US"/>
        </w:rPr>
        <w:lastRenderedPageBreak/>
        <w:t>respectively</w:t>
      </w:r>
      <w:r w:rsidR="00725CBD">
        <w:rPr>
          <w:lang w:val="en-US"/>
        </w:rPr>
        <w:t xml:space="preserve"> </w:t>
      </w:r>
      <w:r w:rsidRPr="00F04787">
        <w:rPr>
          <w:lang w:val="en-US"/>
        </w:rPr>
        <w:fldChar w:fldCharType="begin"/>
      </w:r>
      <w:r w:rsidR="006A263E">
        <w:rPr>
          <w:lang w:val="en-US"/>
        </w:rPr>
        <w:instrText xml:space="preserve"> ADDIN ZOTERO_ITEM CSL_CITATION {"citationID":"Q1bQRncG","properties":{"formattedCitation":"(Hayden Frederick G. et al., 2018)","plainCitation":"(Hayden Frederick G. et al., 2018)","noteIndex":0},"citationItems":[{"id":9,"uris":["http://zotero.org/users/local/0pdZPGmr/items/LU5QH5UX","http://zotero.org/users/9596130/items/LU5QH5UX"],"itemData":{"id":9,"type":"article-journal","abstract":"In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Pr="00F04787">
        <w:rPr>
          <w:lang w:val="en-US"/>
        </w:rPr>
        <w:fldChar w:fldCharType="separate"/>
      </w:r>
      <w:r w:rsidR="006A263E">
        <w:rPr>
          <w:lang w:val="en-US"/>
        </w:rPr>
        <w:t>(Hayden Frederick G. et al., 2018)</w:t>
      </w:r>
      <w:r w:rsidRPr="00F04787">
        <w:rPr>
          <w:lang w:val="en-US"/>
        </w:rPr>
        <w:fldChar w:fldCharType="end"/>
      </w:r>
      <w:r w:rsidR="00725CBD">
        <w:rPr>
          <w:lang w:val="en-US"/>
        </w:rPr>
        <w:t>;</w:t>
      </w:r>
      <w:r w:rsidRPr="00F04787">
        <w:rPr>
          <w:lang w:val="en-US"/>
        </w:rPr>
        <w:t xml:space="preserve"> </w:t>
      </w:r>
      <m:oMath>
        <m:r>
          <w:rPr>
            <w:rFonts w:ascii="Cambria Math" w:hAnsi="Cambria Math"/>
            <w:lang w:val="en-US"/>
          </w:rPr>
          <m:t>n=</m:t>
        </m:r>
      </m:oMath>
      <w:r w:rsidRPr="00F04787">
        <w:rPr>
          <w:lang w:val="en-US"/>
        </w:rPr>
        <w:t xml:space="preserve"> 34 individuals with treatment-emergent BXM-resistant mutant viruses)</w:t>
      </w:r>
      <w:r w:rsidR="00AA6E55">
        <w:rPr>
          <w:lang w:val="en-US"/>
        </w:rPr>
        <w:t xml:space="preserve"> </w:t>
      </w:r>
      <w:r w:rsidRPr="00F04787">
        <w:rPr>
          <w:lang w:val="en-US"/>
        </w:rPr>
        <w:fldChar w:fldCharType="begin"/>
      </w:r>
      <w:r w:rsidR="006A263E">
        <w:rPr>
          <w:lang w:val="en-US"/>
        </w:rPr>
        <w:instrText xml:space="preserve"> ADDIN ZOTERO_ITEM CSL_CITATION {"citationID":"xMyM6X0S","properties":{"formattedCitation":"(Uehara et al., 2020)","plainCitation":"(Uehara et al., 2020)","noteIndex":0},"citationItems":[{"id":14,"uris":["http://zotero.org/users/local/0pdZPGmr/items/Q75YUA7U","http://zotero.org/users/9596130/items/Q75YUA7U"],"itemData":{"id":14,"type":"article-journal","abstract":"Single-dose baloxavir rapidly reduces influenza virus titers and symptoms in patients with uncomplicated influenza, but viruses with reduced in vitro susceptibility due to amino acid substitutions at position 38 of polymerase acidic protein (PA/I38X) sometimes emerge.We evaluated the kinetics, risk factors, and effects on clinical and virologic outcomes of emergence of PA/I38X-substituted viruses.Viruses containing PA/I38X substitutions were identified 3–9 days after baloxavir treatment in 9.7% (36/370) of patients, of whom 85.3% had transient virus titer rises. Median time to sustained cessation of infectious virus detection was 192, 48, and 96 hours in the baloxavir recipients with PA/I38X-substituted viruses, without PA/I38X-substituted viruses, and placebo recipients, respectively. The corresponding median times to alleviation of symptoms were 63.1, 51.0, and 80.2 hours, respectively. After day 5, symptom increases occurred in 11.5%, 8.0%, and 13.0%, respectively, and in 8.9% of oseltamivir recipients. Variant virus emergence was associated with lower baseline neutralizing antibody titers.The emergence of viruses with PA/I38X substitutions following baloxavir treatment was associated with transient rises in infectious virus titers, prolongation of virus detectability, initial delay in symptom alleviation, and uncommonly with symptom rebound. The potential transmissibility of PA/I38X-substituted viruses requires careful study.NCT02954354.","container-title":"The Journal of Infectious Diseases","DOI":"10.1093/infdis/jiz244","ISSN":"0022-1899","issue":"3","journalAbbreviation":"The Journal of Infectious Diseases","page":"346-355","title":"Treatment-Emergent Influenza Variant Viruses With Reduced Baloxavir Susceptibility: Impact on Clinical and Virologic Outcomes in Uncomplicated Influenza","volume":"221","author":[{"family":"Uehara","given":"Takeki"},{"family":"Hayden","given":"Frederick G"},{"family":"Kawaguchi","given":"Keiko"},{"family":"Omoto","given":"Shinya"},{"family":"Hurt","given":"Aeron C"},{"family":"De Jong","given":"Menno D"},{"family":"Hirotsu","given":"Nobuo"},{"family":"Sugaya","given":"Norio"},{"family":"Lee","given":"Nelson"},{"family":"Baba","given":"Keiko"},{"family":"Shishido","given":"Takao"},{"family":"Tsuchiya","given":"Kenji"},{"family":"Portsmouth","given":"Simon"},{"family":"Kida","given":"Hiroshi"}],"issued":{"date-parts":[["2020",1,14]]}}}],"schema":"https://github.com/citation-style-language/schema/raw/master/csl-citation.json"} </w:instrText>
      </w:r>
      <w:r w:rsidRPr="00F04787">
        <w:rPr>
          <w:lang w:val="en-US"/>
        </w:rPr>
        <w:fldChar w:fldCharType="separate"/>
      </w:r>
      <w:r w:rsidR="006A263E">
        <w:rPr>
          <w:lang w:val="en-US"/>
        </w:rPr>
        <w:t>(Uehara et al., 2020)</w:t>
      </w:r>
      <w:r w:rsidRPr="00F04787">
        <w:rPr>
          <w:lang w:val="en-US"/>
        </w:rPr>
        <w:fldChar w:fldCharType="end"/>
      </w:r>
      <w:r w:rsidR="00AA6E55">
        <w:rPr>
          <w:lang w:val="en-US"/>
        </w:rPr>
        <w:t>,</w:t>
      </w:r>
      <w:r w:rsidRPr="00F04787">
        <w:rPr>
          <w:lang w:val="en-US"/>
        </w:rPr>
        <w:t xml:space="preserve"> randomly drawing the time of symptom onset and treatment initiation from the aforementioned fitted distributions. The CAPSTONE-1 trial reported the viral load distribution of participants in different treatment regimen each day for 7 days since treatment initiation</w:t>
      </w:r>
      <w:r>
        <w:rPr>
          <w:lang w:val="en-US"/>
        </w:rPr>
        <w:t xml:space="preserve"> with no further information on when sample collection was performed each day</w:t>
      </w:r>
      <w:r w:rsidR="009F1EEA">
        <w:rPr>
          <w:lang w:val="en-US"/>
        </w:rPr>
        <w:t xml:space="preserve"> </w:t>
      </w:r>
      <w:r w:rsidRPr="00F04787">
        <w:rPr>
          <w:lang w:val="en-US"/>
        </w:rPr>
        <w:fldChar w:fldCharType="begin"/>
      </w:r>
      <w:r w:rsidR="006A263E">
        <w:rPr>
          <w:lang w:val="en-US"/>
        </w:rPr>
        <w:instrText xml:space="preserve"> ADDIN ZOTERO_ITEM CSL_CITATION {"citationID":"uare20Mt","properties":{"formattedCitation":"(Hayden Frederick G. et al., 2018)","plainCitation":"(Hayden Frederick G. et al., 2018)","noteIndex":0},"citationItems":[{"id":9,"uris":["http://zotero.org/users/local/0pdZPGmr/items/LU5QH5UX","http://zotero.org/users/9596130/items/LU5QH5UX"],"itemData":{"id":9,"type":"article-journal","abstract":"In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Pr="00F04787">
        <w:rPr>
          <w:lang w:val="en-US"/>
        </w:rPr>
        <w:fldChar w:fldCharType="separate"/>
      </w:r>
      <w:r w:rsidR="006A263E">
        <w:rPr>
          <w:lang w:val="en-US"/>
        </w:rPr>
        <w:t>(Hayden Frederick G. et al., 2018)</w:t>
      </w:r>
      <w:r w:rsidRPr="00F04787">
        <w:rPr>
          <w:lang w:val="en-US"/>
        </w:rPr>
        <w:fldChar w:fldCharType="end"/>
      </w:r>
      <w:r w:rsidR="009F1EEA">
        <w:rPr>
          <w:lang w:val="en-US"/>
        </w:rPr>
        <w:t>.</w:t>
      </w:r>
      <w:r w:rsidRPr="00F04787">
        <w:rPr>
          <w:lang w:val="en-US"/>
        </w:rPr>
        <w:t xml:space="preserve"> In turn, we randomly generated the timing when viral samples were collected for each individual assuming a uniform distribution within a 12-hour collection time window each day. We then fitted the within-host model to the viral load dynamics simulated individuals, estimating all parameters except for the initial uninfected target (</w:t>
      </w:r>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0</m:t>
            </m:r>
          </m:sub>
        </m:sSub>
      </m:oMath>
      <w:r w:rsidRPr="00F04787">
        <w:rPr>
          <w:lang w:val="en-US"/>
        </w:rPr>
        <w:t>) and infected (</w:t>
      </w:r>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0</m:t>
            </m:r>
          </m:sub>
        </m:sSub>
      </m:oMath>
      <w:r w:rsidRPr="00F04787">
        <w:rPr>
          <w:lang w:val="en-US"/>
        </w:rPr>
        <w:t xml:space="preserve">) cell populations which were assumed to be </w:t>
      </w:r>
      <m:oMath>
        <m:r>
          <w:rPr>
            <w:rFonts w:ascii="Cambria Math" w:hAnsi="Cambria Math"/>
            <w:lang w:val="en-US"/>
          </w:rPr>
          <m:t>4×</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8</m:t>
            </m:r>
          </m:sup>
        </m:sSup>
      </m:oMath>
      <w:r w:rsidRPr="00F04787">
        <w:rPr>
          <w:lang w:val="en-US"/>
        </w:rPr>
        <w:t xml:space="preserve"> and 0 cells respectively</w:t>
      </w:r>
      <w:r w:rsidR="00565A43">
        <w:rPr>
          <w:lang w:val="en-US"/>
        </w:rPr>
        <w:t xml:space="preserve"> </w:t>
      </w:r>
      <w:r w:rsidRPr="00F04787">
        <w:rPr>
          <w:lang w:val="en-US"/>
        </w:rPr>
        <w:fldChar w:fldCharType="begin"/>
      </w:r>
      <w:r w:rsidR="006A263E">
        <w:rPr>
          <w:lang w:val="en-US"/>
        </w:rPr>
        <w:instrText xml:space="preserve"> ADDIN ZOTERO_ITEM CSL_CITATION {"citationID":"viada25g","properties":{"formattedCitation":"(Handel et al., 2007)","plainCitation":"(Handel et al., 2007)","noteIndex":0},"citationItems":[{"id":8,"uris":["http://zotero.org/users/local/0pdZPGmr/items/E92QFFH2","http://zotero.org/users/9596130/items/E92QFFH2"],"itemData":{"id":8,"type":"article-journal","abstract":"Author Summary   Neuraminidase Inhibitors (NI) are currently the most effective drugs against influenza. Recent cases of NI resistance are a cause for concern. A number of studies have reported the fraction of treated patients from which resistant virus could be isolated. While these results provide some assessment of the danger of NI resistance, a more quantitative understanding is preferable. We specifically want to know how likely it is that an infected, treated patient infects another person with the resistant strain, and how likely it is that the resistant strain subsequently spreads. Knowing these quantities is important for studies of the population-wide emergence of resistance. While these parameters can often be estimated from epidemiological data, such data is lacking for NI resistance in influenza. Here, we use an alternative approach that combines data from influenza infections of human volunteers with a mathematical framework. We find that the initial generation of resistant cases is most likely lower than the fraction of resistant cases reported. However, our study also clearly shows that the results depend strongly on the role the immune response plays, an issue that needs to be addressed in future studies.","container-title":"PLOS Computational Biology","DOI":"10.1371/journal.pcbi.0030240","issue":"12","journalAbbreviation":"PLOS Computational Biology","note":"publisher: Public Library of Science","page":"e240","title":"Neuraminidase Inhibitor Resistance in Influenza: Assessing the Danger of Its Generation and Spread","volume":"3","author":[{"family":"Handel","given":"Andreas"},{"family":"Longini","given":"Ira M","suffix":"Jr."},{"family":"Antia","given":"Rustom"}],"issued":{"date-parts":[["2007",12,7]]}}}],"schema":"https://github.com/citation-style-language/schema/raw/master/csl-citation.json"} </w:instrText>
      </w:r>
      <w:r w:rsidRPr="00F04787">
        <w:rPr>
          <w:lang w:val="en-US"/>
        </w:rPr>
        <w:fldChar w:fldCharType="separate"/>
      </w:r>
      <w:r w:rsidR="006A263E">
        <w:rPr>
          <w:lang w:val="en-US"/>
        </w:rPr>
        <w:t>(Handel et al., 2007)</w:t>
      </w:r>
      <w:r w:rsidRPr="00F04787">
        <w:rPr>
          <w:lang w:val="en-US"/>
        </w:rPr>
        <w:fldChar w:fldCharType="end"/>
      </w:r>
      <w:r w:rsidR="00565A43">
        <w:rPr>
          <w:lang w:val="en-US"/>
        </w:rPr>
        <w:t>.</w:t>
      </w:r>
      <w:r w:rsidRPr="00F04787">
        <w:rPr>
          <w:lang w:val="en-US"/>
        </w:rPr>
        <w:t xml:space="preserve"> We used differential evolution to iteratively search for parameter values that maxim</w:t>
      </w:r>
      <w:r>
        <w:rPr>
          <w:lang w:val="en-US"/>
        </w:rPr>
        <w:t>ise</w:t>
      </w:r>
      <w:r w:rsidRPr="00F04787">
        <w:rPr>
          <w:lang w:val="en-US"/>
        </w:rPr>
        <w:t xml:space="preserve"> the joint Gaussian likelihood of the viral load data reported in the CAPSTONE-1 trial</w:t>
      </w:r>
      <w:r w:rsidR="00BB28D3">
        <w:rPr>
          <w:lang w:val="en-US"/>
        </w:rPr>
        <w:t xml:space="preserve"> </w:t>
      </w:r>
      <w:r w:rsidRPr="00F04787">
        <w:rPr>
          <w:lang w:val="en-US"/>
        </w:rPr>
        <w:fldChar w:fldCharType="begin"/>
      </w:r>
      <w:r w:rsidR="006A263E">
        <w:rPr>
          <w:lang w:val="en-US"/>
        </w:rPr>
        <w:instrText xml:space="preserve"> ADDIN ZOTERO_ITEM CSL_CITATION {"citationID":"G0wef8n7","properties":{"formattedCitation":"(Hayden Frederick G. et al., 2018)","plainCitation":"(Hayden Frederick G. et al., 2018)","noteIndex":0},"citationItems":[{"id":9,"uris":["http://zotero.org/users/local/0pdZPGmr/items/LU5QH5UX","http://zotero.org/users/9596130/items/LU5QH5UX"],"itemData":{"id":9,"type":"article-journal","abstract":"In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Pr="00F04787">
        <w:rPr>
          <w:lang w:val="en-US"/>
        </w:rPr>
        <w:fldChar w:fldCharType="separate"/>
      </w:r>
      <w:r w:rsidR="006A263E">
        <w:rPr>
          <w:lang w:val="en-US"/>
        </w:rPr>
        <w:t>(Hayden Frederick G. et al., 2018)</w:t>
      </w:r>
      <w:r w:rsidRPr="00F04787">
        <w:rPr>
          <w:lang w:val="en-US"/>
        </w:rPr>
        <w:fldChar w:fldCharType="end"/>
      </w:r>
      <w:r w:rsidRPr="00F04787">
        <w:rPr>
          <w:lang w:val="en-US"/>
        </w:rPr>
        <w:t xml:space="preserve"> and in Uehara et al (</w:t>
      </w:r>
      <w:r>
        <w:rPr>
          <w:lang w:val="en-US"/>
        </w:rPr>
        <w:t>Appendix</w:t>
      </w:r>
      <w:r>
        <w:rPr>
          <w:lang w:val="en-US"/>
        </w:rPr>
        <w:t xml:space="preserve"> Fig. 8</w:t>
      </w:r>
      <w:r w:rsidRPr="00F04787">
        <w:rPr>
          <w:lang w:val="en-US"/>
        </w:rPr>
        <w:t>)</w:t>
      </w:r>
      <w:r w:rsidR="001D4B58">
        <w:rPr>
          <w:lang w:val="en-US"/>
        </w:rPr>
        <w:t xml:space="preserve"> </w:t>
      </w:r>
      <w:r w:rsidRPr="00F04787">
        <w:rPr>
          <w:lang w:val="en-US"/>
        </w:rPr>
        <w:fldChar w:fldCharType="begin"/>
      </w:r>
      <w:r w:rsidR="006A263E">
        <w:rPr>
          <w:lang w:val="en-US"/>
        </w:rPr>
        <w:instrText xml:space="preserve"> ADDIN ZOTERO_ITEM CSL_CITATION {"citationID":"U4d9gmOd","properties":{"formattedCitation":"(Uehara et al., 2020)","plainCitation":"(Uehara et al., 2020)","noteIndex":0},"citationItems":[{"id":14,"uris":["http://zotero.org/users/local/0pdZPGmr/items/Q75YUA7U","http://zotero.org/users/9596130/items/Q75YUA7U"],"itemData":{"id":14,"type":"article-journal","abstract":"Single-dose baloxavir rapidly reduces influenza virus titers and symptoms in patients with uncomplicated influenza, but viruses with reduced in vitro susceptibility due to amino acid substitutions at position 38 of polymerase acidic protein (PA/I38X) sometimes emerge.We evaluated the kinetics, risk factors, and effects on clinical and virologic outcomes of emergence of PA/I38X-substituted viruses.Viruses containing PA/I38X substitutions were identified 3–9 days after baloxavir treatment in 9.7% (36/370) of patients, of whom 85.3% had transient virus titer rises. Median time to sustained cessation of infectious virus detection was 192, 48, and 96 hours in the baloxavir recipients with PA/I38X-substituted viruses, without PA/I38X-substituted viruses, and placebo recipients, respectively. The corresponding median times to alleviation of symptoms were 63.1, 51.0, and 80.2 hours, respectively. After day 5, symptom increases occurred in 11.5%, 8.0%, and 13.0%, respectively, and in 8.9% of oseltamivir recipients. Variant virus emergence was associated with lower baseline neutralizing antibody titers.The emergence of viruses with PA/I38X substitutions following baloxavir treatment was associated with transient rises in infectious virus titers, prolongation of virus detectability, initial delay in symptom alleviation, and uncommonly with symptom rebound. The potential transmissibility of PA/I38X-substituted viruses requires careful study.NCT02954354.","container-title":"The Journal of Infectious Diseases","DOI":"10.1093/infdis/jiz244","ISSN":"0022-1899","issue":"3","journalAbbreviation":"The Journal of Infectious Diseases","page":"346-355","title":"Treatment-Emergent Influenza Variant Viruses With Reduced Baloxavir Susceptibility: Impact on Clinical and Virologic Outcomes in Uncomplicated Influenza","volume":"221","author":[{"family":"Uehara","given":"Takeki"},{"family":"Hayden","given":"Frederick G"},{"family":"Kawaguchi","given":"Keiko"},{"family":"Omoto","given":"Shinya"},{"family":"Hurt","given":"Aeron C"},{"family":"De Jong","given":"Menno D"},{"family":"Hirotsu","given":"Nobuo"},{"family":"Sugaya","given":"Norio"},{"family":"Lee","given":"Nelson"},{"family":"Baba","given":"Keiko"},{"family":"Shishido","given":"Takao"},{"family":"Tsuchiya","given":"Kenji"},{"family":"Portsmouth","given":"Simon"},{"family":"Kida","given":"Hiroshi"}],"issued":{"date-parts":[["2020",1,14]]}}}],"schema":"https://github.com/citation-style-language/schema/raw/master/csl-citation.json"} </w:instrText>
      </w:r>
      <w:r w:rsidRPr="00F04787">
        <w:rPr>
          <w:lang w:val="en-US"/>
        </w:rPr>
        <w:fldChar w:fldCharType="separate"/>
      </w:r>
      <w:r w:rsidR="006A263E">
        <w:rPr>
          <w:lang w:val="en-US"/>
        </w:rPr>
        <w:t>(Uehara et al., 2020)</w:t>
      </w:r>
      <w:r w:rsidRPr="00F04787">
        <w:rPr>
          <w:lang w:val="en-US"/>
        </w:rPr>
        <w:fldChar w:fldCharType="end"/>
      </w:r>
      <w:r w:rsidR="001D4B58">
        <w:rPr>
          <w:lang w:val="en-US"/>
        </w:rPr>
        <w:t>.</w:t>
      </w:r>
      <w:r>
        <w:rPr>
          <w:lang w:val="en-US"/>
        </w:rPr>
        <w:t xml:space="preserve"> Applying these maximum-likelihood parameter estimates to our within-host model, we could then simulate the infectious viral load trajectories for different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treatment</m:t>
            </m:r>
          </m:sub>
        </m:sSub>
      </m:oMath>
      <w:r>
        <w:rPr>
          <w:rFonts w:eastAsiaTheme="minorEastAsia"/>
          <w:lang w:val="en-US"/>
        </w:rPr>
        <w:t xml:space="preserve"> (</w:t>
      </w:r>
      <w:r>
        <w:rPr>
          <w:rFonts w:eastAsiaTheme="minorEastAsia"/>
          <w:lang w:val="en-US"/>
        </w:rPr>
        <w:t>Appendix</w:t>
      </w:r>
      <w:r>
        <w:rPr>
          <w:rFonts w:eastAsiaTheme="minorEastAsia"/>
          <w:lang w:val="en-US"/>
        </w:rPr>
        <w:t xml:space="preserve"> Fig. </w:t>
      </w:r>
      <w:r>
        <w:rPr>
          <w:lang w:val="en-US"/>
        </w:rPr>
        <w:t xml:space="preserve">4). </w:t>
      </w:r>
    </w:p>
    <w:p w14:paraId="6323494A" w14:textId="77777777" w:rsidR="005D4FCC" w:rsidRPr="00F04787" w:rsidRDefault="005D4FCC" w:rsidP="005D4FCC">
      <w:pPr>
        <w:rPr>
          <w:lang w:val="en-US"/>
        </w:rPr>
      </w:pPr>
    </w:p>
    <w:p w14:paraId="5BBF921E" w14:textId="77777777" w:rsidR="005D4FCC" w:rsidRPr="00F04787" w:rsidRDefault="005D4FCC" w:rsidP="005D4FCC">
      <w:pPr>
        <w:pStyle w:val="Heading2"/>
      </w:pPr>
      <w:bookmarkStart w:id="2" w:name="_Toc192246972"/>
      <w:r w:rsidRPr="00F04787">
        <w:t>Infectiousness estimates from within-host viral load</w:t>
      </w:r>
      <w:bookmarkEnd w:id="2"/>
      <w:r w:rsidRPr="00F04787">
        <w:t xml:space="preserve"> </w:t>
      </w:r>
    </w:p>
    <w:p w14:paraId="5F557ADD" w14:textId="139F7C70" w:rsidR="005D4FCC" w:rsidRPr="00F04787" w:rsidRDefault="005D4FCC" w:rsidP="005D4FCC">
      <w:pPr>
        <w:rPr>
          <w:lang w:val="en-US"/>
        </w:rPr>
      </w:pPr>
      <w:r w:rsidRPr="00F04787">
        <w:rPr>
          <w:lang w:val="en-US"/>
        </w:rPr>
        <w:t>To correlate within-host viral dynamics to infectiousness</w:t>
      </w:r>
      <w:r w:rsidR="00F150FE">
        <w:rPr>
          <w:lang w:val="en-US"/>
        </w:rPr>
        <w:t xml:space="preserve"> </w:t>
      </w:r>
      <w:r w:rsidRPr="00F04787">
        <w:rPr>
          <w:lang w:val="en-US"/>
        </w:rPr>
        <w:fldChar w:fldCharType="begin"/>
      </w:r>
      <w:r w:rsidR="006A263E">
        <w:rPr>
          <w:lang w:val="en-US"/>
        </w:rPr>
        <w:instrText xml:space="preserve"> ADDIN ZOTERO_ITEM CSL_CITATION {"citationID":"Fc2kSy4m","properties":{"formattedCitation":"(Handel and Rohani, 2015)","plainCitation":"(Handel and Rohani, 2015)","noteIndex":0},"citationItems":[{"id":62,"uris":["http://zotero.org/users/local/0pdZPGmr/items/SMLQE5RT","http://zotero.org/users/9596130/items/SMLQE5RT"],"itemData":{"id":62,"type":"article-journal","container-title":"Philosophical Transactions of the Royal Society B: Biological Sciences","DOI":"10.1098/rstb.2014.0302","issue":"1675","journalAbbreviation":"Philosophical Transactions of the Royal Society B: Biological Sciences","note":"publisher: Royal Society","page":"20140302","title":"Crossing the scale from within-host infection dynamics to between-host transmission fitness: a discussion of current assumptions and knowledge","volume":"370","author":[{"family":"Handel","given":"Andreas"},{"family":"Rohani","given":"Pejman"}],"issued":{"date-parts":[["2015",8,19]]}}}],"schema":"https://github.com/citation-style-language/schema/raw/master/csl-citation.json"} </w:instrText>
      </w:r>
      <w:r w:rsidRPr="00F04787">
        <w:rPr>
          <w:lang w:val="en-US"/>
        </w:rPr>
        <w:fldChar w:fldCharType="separate"/>
      </w:r>
      <w:r w:rsidR="006A263E">
        <w:rPr>
          <w:lang w:val="en-US"/>
        </w:rPr>
        <w:t>(Handel and Rohani, 2015)</w:t>
      </w:r>
      <w:r w:rsidRPr="00F04787">
        <w:rPr>
          <w:lang w:val="en-US"/>
        </w:rPr>
        <w:fldChar w:fldCharType="end"/>
      </w:r>
      <w:r w:rsidR="00F150FE">
        <w:rPr>
          <w:lang w:val="en-US"/>
        </w:rPr>
        <w:t>,</w:t>
      </w:r>
      <w:r w:rsidRPr="00F04787">
        <w:rPr>
          <w:lang w:val="en-US"/>
        </w:rPr>
        <w:t xml:space="preserve"> we explored three different models that were previously applied to respiratory viral pathogens to estimate infectiousness (</w:t>
      </w:r>
      <m:oMath>
        <m:r>
          <w:rPr>
            <w:rFonts w:ascii="Cambria Math" w:hAnsi="Cambria Math"/>
            <w:lang w:val="en-US"/>
          </w:rPr>
          <m:t>ω</m:t>
        </m:r>
        <m:d>
          <m:dPr>
            <m:ctrlPr>
              <w:rPr>
                <w:rFonts w:ascii="Cambria Math" w:hAnsi="Cambria Math"/>
                <w:i/>
                <w:lang w:val="en-US"/>
              </w:rPr>
            </m:ctrlPr>
          </m:dPr>
          <m:e>
            <m:r>
              <w:rPr>
                <w:rFonts w:ascii="Cambria Math" w:hAnsi="Cambria Math"/>
                <w:lang w:val="en-US"/>
              </w:rPr>
              <m:t>t</m:t>
            </m:r>
          </m:e>
        </m:d>
      </m:oMath>
      <w:r w:rsidRPr="00F04787">
        <w:rPr>
          <w:lang w:val="en-US"/>
        </w:rPr>
        <w:t>) from the simulated viral load (</w:t>
      </w:r>
      <m:oMath>
        <m:r>
          <w:rPr>
            <w:rFonts w:ascii="Cambria Math" w:hAnsi="Cambria Math"/>
            <w:lang w:val="en-US"/>
          </w:rPr>
          <m:t>V</m:t>
        </m:r>
        <m:d>
          <m:dPr>
            <m:ctrlPr>
              <w:rPr>
                <w:rFonts w:ascii="Cambria Math" w:hAnsi="Cambria Math"/>
                <w:i/>
                <w:lang w:val="en-US"/>
              </w:rPr>
            </m:ctrlPr>
          </m:dPr>
          <m:e>
            <m:r>
              <w:rPr>
                <w:rFonts w:ascii="Cambria Math" w:hAnsi="Cambria Math"/>
                <w:lang w:val="en-US"/>
              </w:rPr>
              <m:t>t</m:t>
            </m:r>
          </m:e>
        </m:d>
      </m:oMath>
      <w:r w:rsidRPr="00F04787">
        <w:rPr>
          <w:lang w:val="en-US"/>
        </w:rPr>
        <w:t xml:space="preserve">) at time </w:t>
      </w:r>
      <m:oMath>
        <m:r>
          <w:rPr>
            <w:rFonts w:ascii="Cambria Math" w:hAnsi="Cambria Math"/>
            <w:lang w:val="en-US"/>
          </w:rPr>
          <m:t>t</m:t>
        </m:r>
      </m:oMath>
      <w:r w:rsidRPr="00F04787">
        <w:rPr>
          <w:lang w:val="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521"/>
        <w:gridCol w:w="793"/>
      </w:tblGrid>
      <w:tr w:rsidR="005D4FCC" w:rsidRPr="00F04787" w14:paraId="1941F285" w14:textId="77777777" w:rsidTr="004D4519">
        <w:trPr>
          <w:trHeight w:val="1644"/>
        </w:trPr>
        <w:tc>
          <w:tcPr>
            <w:tcW w:w="1696" w:type="dxa"/>
            <w:vAlign w:val="center"/>
          </w:tcPr>
          <w:p w14:paraId="6D5754B0" w14:textId="397E9DEE" w:rsidR="005D4FCC" w:rsidRPr="00F04787" w:rsidRDefault="005D4FCC" w:rsidP="005D4FCC">
            <w:pPr>
              <w:spacing w:line="240" w:lineRule="auto"/>
              <w:jc w:val="center"/>
              <w:rPr>
                <w:lang w:val="en-US"/>
              </w:rPr>
            </w:pPr>
            <w:r w:rsidRPr="00F04787">
              <w:rPr>
                <w:lang w:val="en-US"/>
              </w:rPr>
              <w:t>Hill equation</w:t>
            </w:r>
            <w:r w:rsidR="009D5B63">
              <w:rPr>
                <w:lang w:val="en-US"/>
              </w:rPr>
              <w:t xml:space="preserve"> </w:t>
            </w:r>
            <w:r w:rsidRPr="00F04787">
              <w:rPr>
                <w:lang w:val="en-US"/>
              </w:rPr>
              <w:fldChar w:fldCharType="begin"/>
            </w:r>
            <w:r w:rsidR="006A263E">
              <w:rPr>
                <w:lang w:val="en-US"/>
              </w:rPr>
              <w:instrText xml:space="preserve"> ADDIN ZOTERO_ITEM CSL_CITATION {"citationID":"XMYUWUYr","properties":{"formattedCitation":"(Goyal et al., 2021; Handel et al., 2007)","plainCitation":"(Goyal et al., 2021; Handel et al., 2007)","noteIndex":0},"citationItems":[{"id":8,"uris":["http://zotero.org/users/local/0pdZPGmr/items/E92QFFH2","http://zotero.org/users/9596130/items/E92QFFH2"],"itemData":{"id":8,"type":"article-journal","abstract":"Author Summary   Neuraminidase Inhibitors (NI) are currently the most effective drugs against influenza. Recent cases of NI resistance are a cause for concern. A number of studies have reported the fraction of treated patients from which resistant virus could be isolated. While these results provide some assessment of the danger of NI resistance, a more quantitative understanding is preferable. We specifically want to know how likely it is that an infected, treated patient infects another person with the resistant strain, and how likely it is that the resistant strain subsequently spreads. Knowing these quantities is important for studies of the population-wide emergence of resistance. While these parameters can often be estimated from epidemiological data, such data is lacking for NI resistance in influenza. Here, we use an alternative approach that combines data from influenza infections of human volunteers with a mathematical framework. We find that the initial generation of resistant cases is most likely lower than the fraction of resistant cases reported. However, our study also clearly shows that the results depend strongly on the role the immune response plays, an issue that needs to be addressed in future studies.","container-title":"PLOS Computational Biology","DOI":"10.1371/journal.pcbi.0030240","issue":"12","journalAbbreviation":"PLOS Computational Biology","note":"publisher: Public Library of Science","page":"e240","title":"Neuraminidase Inhibitor Resistance in Influenza: Assessing the Danger of Its Generation and Spread","volume":"3","author":[{"family":"Handel","given":"Andreas"},{"family":"Longini","given":"Ira M","suffix":"Jr."},{"family":"Antia","given":"Rustom"}],"issued":{"date-parts":[["2007",12,7]]}}},{"id":57,"uris":["http://zotero.org/users/local/0pdZPGmr/items/WPNZDR5S","http://zotero.org/users/9596130/items/WPNZDR5S"],"itemData":{"id":57,"type":"article-journal","abstract":"SARS-CoV-2 is difficult to contain because many transmissions occur during pre-symptomatic infection. Unlike influenza, most SARS-CoV-2-infected people do not transmit while a small percentage infect large numbers of people. We designed mathematical models which link observed viral loads with epidemiologic features of each virus, including distribution of transmissions attributed to each infected person and duration between symptom onset in the transmitter and secondarily infected person. We identify that people infected with SARS-CoV-2 or influenza can be highly contagious for less than 1 day, congruent with peak viral load. SARS-CoV-2 super-spreader events occur when an infected person is shedding at a very high viral load and has a high number of exposed contacts. The higher predisposition of SARS-CoV-2 toward super-spreading events cannot be attributed to additional weeks of shedding relative to influenza. Rather, a person infected with SARS-CoV-2 exposes more people within equivalent physical contact networks, likely due to aerosolization.","container-title":"eLife","DOI":"10.7554/eLife.63537","ISSN":"2050-084X","note":"publisher: eLife Sciences Publications, Ltd","page":"e63537","title":"Viral load and contact heterogeneity predict SARS-CoV-2 transmission and super-spreading events","volume":"10","author":[{"family":"Goyal","given":"Ashish"},{"family":"Reeves","given":"Daniel B"},{"family":"Cardozo-Ojeda","given":"E Fabian"},{"family":"Schiffer","given":"Joshua T"},{"family":"Mayer","given":"Bryan T"}],"editor":[{"family":"Walczak","given":"Aleksandra M"},{"family":"Childs","given":"Lauren"},{"family":"Forde","given":"Jonathan"}],"issued":{"date-parts":[["2021",2,23]]}}}],"schema":"https://github.com/citation-style-language/schema/raw/master/csl-citation.json"} </w:instrText>
            </w:r>
            <w:r w:rsidRPr="00F04787">
              <w:rPr>
                <w:lang w:val="en-US"/>
              </w:rPr>
              <w:fldChar w:fldCharType="separate"/>
            </w:r>
            <w:r w:rsidR="006A263E">
              <w:rPr>
                <w:lang w:val="en-US"/>
              </w:rPr>
              <w:t>(Goyal et al., 2021; Handel et al., 2007)</w:t>
            </w:r>
            <w:r w:rsidRPr="00F04787">
              <w:rPr>
                <w:lang w:val="en-US"/>
              </w:rPr>
              <w:fldChar w:fldCharType="end"/>
            </w:r>
          </w:p>
        </w:tc>
        <w:tc>
          <w:tcPr>
            <w:tcW w:w="6521" w:type="dxa"/>
            <w:vAlign w:val="center"/>
          </w:tcPr>
          <w:p w14:paraId="4A58CD10" w14:textId="77777777" w:rsidR="005D4FCC" w:rsidRPr="00F04787" w:rsidRDefault="005D4FCC" w:rsidP="005D4FCC">
            <w:pPr>
              <w:spacing w:line="240" w:lineRule="auto"/>
              <w:jc w:val="center"/>
              <w:rPr>
                <w:lang w:val="en-US"/>
              </w:rPr>
            </w:pPr>
            <m:oMathPara>
              <m:oMath>
                <m:r>
                  <w:rPr>
                    <w:rFonts w:ascii="Cambria Math" w:hAnsi="Cambria Math"/>
                    <w:lang w:val="en-US"/>
                  </w:rPr>
                  <m:t>ω</m:t>
                </m:r>
                <m:d>
                  <m:dPr>
                    <m:ctrlPr>
                      <w:rPr>
                        <w:rFonts w:ascii="Cambria Math" w:hAnsi="Cambria Math"/>
                        <w:i/>
                        <w:lang w:val="en-US"/>
                      </w:rPr>
                    </m:ctrlPr>
                  </m:dPr>
                  <m:e>
                    <m:r>
                      <w:rPr>
                        <w:rFonts w:ascii="Cambria Math" w:hAnsi="Cambria Math"/>
                        <w:lang w:val="en-US"/>
                      </w:rPr>
                      <m:t>t</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m:t>
                    </m:r>
                    <m:sSup>
                      <m:sSupPr>
                        <m:ctrlPr>
                          <w:rPr>
                            <w:rFonts w:ascii="Cambria Math" w:hAnsi="Cambria Math"/>
                            <w:i/>
                            <w:lang w:val="en-US"/>
                          </w:rPr>
                        </m:ctrlPr>
                      </m:sSupPr>
                      <m:e>
                        <m:d>
                          <m:dPr>
                            <m:begChr m:val="["/>
                            <m:endChr m:val="]"/>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1</m:t>
                                    </m:r>
                                  </m:sub>
                                </m:sSub>
                              </m:num>
                              <m:den>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lang w:val="en-US"/>
                                          </w:rPr>
                                          <m:t>log</m:t>
                                        </m:r>
                                        <m:ctrlPr>
                                          <w:rPr>
                                            <w:rFonts w:ascii="Cambria Math" w:hAnsi="Cambria Math"/>
                                            <w:lang w:val="en-US"/>
                                          </w:rPr>
                                        </m:ctrlPr>
                                      </m:e>
                                      <m:sub>
                                        <m:r>
                                          <w:rPr>
                                            <w:rFonts w:ascii="Cambria Math" w:hAnsi="Cambria Math"/>
                                            <w:lang w:val="en-US"/>
                                          </w:rPr>
                                          <m:t>10</m:t>
                                        </m:r>
                                        <m:ctrlPr>
                                          <w:rPr>
                                            <w:rFonts w:ascii="Cambria Math" w:hAnsi="Cambria Math"/>
                                            <w:lang w:val="en-US"/>
                                          </w:rPr>
                                        </m:ctrlPr>
                                      </m:sub>
                                    </m:sSub>
                                  </m:fName>
                                  <m:e>
                                    <m:d>
                                      <m:dPr>
                                        <m:begChr m:val="{"/>
                                        <m:endChr m:val="}"/>
                                        <m:ctrlPr>
                                          <w:rPr>
                                            <w:rFonts w:ascii="Cambria Math" w:hAnsi="Cambria Math"/>
                                            <w:i/>
                                            <w:lang w:val="en-US"/>
                                          </w:rPr>
                                        </m:ctrlPr>
                                      </m:dPr>
                                      <m:e>
                                        <m:r>
                                          <w:rPr>
                                            <w:rFonts w:ascii="Cambria Math" w:hAnsi="Cambria Math"/>
                                            <w:lang w:val="en-US"/>
                                          </w:rPr>
                                          <m:t>V</m:t>
                                        </m:r>
                                        <m:d>
                                          <m:dPr>
                                            <m:ctrlPr>
                                              <w:rPr>
                                                <w:rFonts w:ascii="Cambria Math" w:hAnsi="Cambria Math"/>
                                                <w:i/>
                                                <w:lang w:val="en-US"/>
                                              </w:rPr>
                                            </m:ctrlPr>
                                          </m:dPr>
                                          <m:e>
                                            <m:r>
                                              <w:rPr>
                                                <w:rFonts w:ascii="Cambria Math" w:hAnsi="Cambria Math"/>
                                                <w:lang w:val="en-US"/>
                                              </w:rPr>
                                              <m:t>t</m:t>
                                            </m:r>
                                          </m:e>
                                        </m:d>
                                      </m:e>
                                    </m:d>
                                  </m:e>
                                </m:func>
                              </m:den>
                            </m:f>
                          </m:e>
                        </m:d>
                      </m:e>
                      <m:sup>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2</m:t>
                            </m:r>
                          </m:sub>
                        </m:sSub>
                      </m:sup>
                    </m:sSup>
                  </m:den>
                </m:f>
              </m:oMath>
            </m:oMathPara>
          </w:p>
          <w:p w14:paraId="4BBFB2A8" w14:textId="77777777" w:rsidR="005D4FCC" w:rsidRPr="00F04787" w:rsidRDefault="005D4FCC" w:rsidP="005D4FCC">
            <w:pPr>
              <w:spacing w:line="240" w:lineRule="auto"/>
              <w:rPr>
                <w:lang w:val="en-US"/>
              </w:rPr>
            </w:pPr>
          </w:p>
          <w:p w14:paraId="1435BAB0" w14:textId="77777777" w:rsidR="005D4FCC" w:rsidRPr="00F04787" w:rsidRDefault="005D4FCC" w:rsidP="005D4FCC">
            <w:pPr>
              <w:spacing w:line="240" w:lineRule="auto"/>
              <w:jc w:val="center"/>
              <w:rPr>
                <w:lang w:val="en-US"/>
              </w:rPr>
            </w:pPr>
            <w:r w:rsidRPr="00F04787">
              <w:rPr>
                <w:lang w:val="en-US"/>
              </w:rPr>
              <w:t xml:space="preserve">where </w:t>
            </w: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1</m:t>
                  </m:r>
                </m:sub>
              </m:sSub>
            </m:oMath>
            <w:r w:rsidRPr="00F04787">
              <w:rPr>
                <w:lang w:val="en-US"/>
              </w:rPr>
              <w:t xml:space="preserve"> is the viral load value leading to 50% infectiousness and </w:t>
            </w: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2</m:t>
                  </m:r>
                </m:sub>
              </m:sSub>
            </m:oMath>
            <w:r w:rsidRPr="00F04787">
              <w:rPr>
                <w:lang w:val="en-US"/>
              </w:rPr>
              <w:t xml:space="preserve"> is the Hill coefficient.</w:t>
            </w:r>
          </w:p>
          <w:p w14:paraId="6C47BBBD" w14:textId="77777777" w:rsidR="005D4FCC" w:rsidRPr="00F04787" w:rsidRDefault="005D4FCC" w:rsidP="005D4FCC">
            <w:pPr>
              <w:spacing w:line="240" w:lineRule="auto"/>
              <w:jc w:val="center"/>
              <w:rPr>
                <w:lang w:val="en-US"/>
              </w:rPr>
            </w:pPr>
          </w:p>
        </w:tc>
        <w:tc>
          <w:tcPr>
            <w:tcW w:w="793" w:type="dxa"/>
            <w:vAlign w:val="center"/>
          </w:tcPr>
          <w:p w14:paraId="16FA3EA5" w14:textId="77777777" w:rsidR="005D4FCC" w:rsidRPr="00F04787" w:rsidRDefault="005D4FCC" w:rsidP="005D4FCC">
            <w:pPr>
              <w:spacing w:line="240" w:lineRule="auto"/>
              <w:jc w:val="center"/>
              <w:rPr>
                <w:lang w:val="en-US"/>
              </w:rPr>
            </w:pPr>
            <m:oMathPara>
              <m:oMath>
                <m:r>
                  <w:rPr>
                    <w:rFonts w:ascii="Cambria Math" w:hAnsi="Cambria Math"/>
                    <w:lang w:val="en-US"/>
                  </w:rPr>
                  <m:t>(7)</m:t>
                </m:r>
              </m:oMath>
            </m:oMathPara>
          </w:p>
        </w:tc>
      </w:tr>
      <w:tr w:rsidR="005D4FCC" w:rsidRPr="00F04787" w14:paraId="1A3B0F1C" w14:textId="77777777" w:rsidTr="004D4519">
        <w:trPr>
          <w:trHeight w:val="1644"/>
        </w:trPr>
        <w:tc>
          <w:tcPr>
            <w:tcW w:w="1696" w:type="dxa"/>
            <w:vAlign w:val="center"/>
          </w:tcPr>
          <w:p w14:paraId="1201A319" w14:textId="70241A55" w:rsidR="005D4FCC" w:rsidRPr="00F04787" w:rsidRDefault="005D4FCC" w:rsidP="005D4FCC">
            <w:pPr>
              <w:spacing w:line="240" w:lineRule="auto"/>
              <w:jc w:val="center"/>
              <w:rPr>
                <w:lang w:val="en-US"/>
              </w:rPr>
            </w:pPr>
            <w:r w:rsidRPr="00F04787">
              <w:rPr>
                <w:lang w:val="en-US"/>
              </w:rPr>
              <w:t>Logit function</w:t>
            </w:r>
            <w:r w:rsidR="009D5B63">
              <w:rPr>
                <w:lang w:val="en-US"/>
              </w:rPr>
              <w:t xml:space="preserve"> </w:t>
            </w:r>
            <w:r w:rsidRPr="00F04787">
              <w:rPr>
                <w:lang w:val="en-US"/>
              </w:rPr>
              <w:fldChar w:fldCharType="begin"/>
            </w:r>
            <w:r w:rsidR="006A263E">
              <w:rPr>
                <w:lang w:val="en-US"/>
              </w:rPr>
              <w:instrText xml:space="preserve"> ADDIN ZOTERO_ITEM CSL_CITATION {"citationID":"prcGK9LX","properties":{"formattedCitation":"(Marc et al., 2021)","plainCitation":"(Marc et al., 2021)","noteIndex":0},"citationItems":[{"id":58,"uris":["http://zotero.org/users/local/0pdZPGmr/items/5LK3SCWQ","http://zotero.org/users/9596130/items/5LK3SCWQ"],"itemData":{"id":58,"type":"article-journal","abstract":"The relationship between SARS-CoV-2 viral load and infectiousness is poorly known. Using data from a cohort of cases and high-risk contacts, we reconstructed viral load at the time of contact and inferred the probability of infection. The effect of viral load was larger in household contacts than in non-household contacts, with a transmission probability as large as 48% when the viral load was greater than 1010 copies per mL. The transmission probability peaked at symptom onset, with a mean probability of transmission of 29%, with large individual variations. The model also projects the effects of variants on disease transmission. Based on the current knowledge that viral load is increased by two- to eightfold with variants of concern and assuming no changes in the pattern of contacts across variants, the model predicts that larger viral load levels could lead to a relative increase in the probability of transmission of 24% to 58% in household contacts, and of 15% to 39% in non-household contacts.","container-title":"eLife","DOI":"10.7554/eLife.69302","ISSN":"2050-084X","note":"publisher: eLife Sciences Publications, Ltd","page":"e69302","title":"Quantifying the relationship between SARS-CoV-2 viral load and infectiousness","volume":"10","author":[{"family":"Marc","given":"Aurélien"},{"family":"Kerioui","given":"Marion"},{"family":"Blanquart","given":"François"},{"family":"Bertrand","given":"Julie"},{"family":"Mitjà","given":"Oriol"},{"family":"Corbacho-Monné","given":"Marc"},{"family":"Marks","given":"Michael"},{"family":"Guedj","given":"Jeremie"}],"editor":[{"family":"Cobey","given":"Sarah E"},{"family":"Van der Meer","given":"Jos W"}],"issued":{"date-parts":[["2021",9,27]]}}}],"schema":"https://github.com/citation-style-language/schema/raw/master/csl-citation.json"} </w:instrText>
            </w:r>
            <w:r w:rsidRPr="00F04787">
              <w:rPr>
                <w:lang w:val="en-US"/>
              </w:rPr>
              <w:fldChar w:fldCharType="separate"/>
            </w:r>
            <w:r w:rsidR="006A263E">
              <w:rPr>
                <w:lang w:val="en-US"/>
              </w:rPr>
              <w:t>(Marc et al., 2021)</w:t>
            </w:r>
            <w:r w:rsidRPr="00F04787">
              <w:rPr>
                <w:lang w:val="en-US"/>
              </w:rPr>
              <w:fldChar w:fldCharType="end"/>
            </w:r>
          </w:p>
        </w:tc>
        <w:tc>
          <w:tcPr>
            <w:tcW w:w="6521" w:type="dxa"/>
            <w:vAlign w:val="center"/>
          </w:tcPr>
          <w:p w14:paraId="63DAB432" w14:textId="77777777" w:rsidR="005D4FCC" w:rsidRPr="00052441" w:rsidRDefault="005D4FCC" w:rsidP="005D4FCC">
            <w:pPr>
              <w:spacing w:line="240" w:lineRule="auto"/>
              <w:jc w:val="center"/>
              <w:rPr>
                <w:rFonts w:eastAsia="DengXian"/>
                <w:lang w:val="en-US"/>
              </w:rPr>
            </w:pPr>
            <m:oMathPara>
              <m:oMath>
                <m:r>
                  <m:rPr>
                    <m:nor/>
                  </m:rPr>
                  <w:rPr>
                    <w:rFonts w:ascii="Cambria Math" w:hAnsi="Cambria Math"/>
                    <w:lang w:val="en-US"/>
                  </w:rPr>
                  <m:t>logit</m:t>
                </m:r>
                <m:d>
                  <m:dPr>
                    <m:begChr m:val="["/>
                    <m:endChr m:val="]"/>
                    <m:ctrlPr>
                      <w:rPr>
                        <w:rFonts w:ascii="Cambria Math" w:hAnsi="Cambria Math"/>
                        <w:i/>
                        <w:lang w:val="en-US"/>
                      </w:rPr>
                    </m:ctrlPr>
                  </m:dPr>
                  <m:e>
                    <m:r>
                      <w:rPr>
                        <w:rFonts w:ascii="Cambria Math" w:hAnsi="Cambria Math"/>
                        <w:lang w:val="en-US"/>
                      </w:rPr>
                      <m:t>ω</m:t>
                    </m:r>
                    <m:d>
                      <m:dPr>
                        <m:ctrlPr>
                          <w:rPr>
                            <w:rFonts w:ascii="Cambria Math" w:hAnsi="Cambria Math"/>
                            <w:i/>
                            <w:lang w:val="en-US"/>
                          </w:rPr>
                        </m:ctrlPr>
                      </m:dPr>
                      <m:e>
                        <m:r>
                          <w:rPr>
                            <w:rFonts w:ascii="Cambria Math" w:hAnsi="Cambria Math"/>
                            <w:lang w:val="en-US"/>
                          </w:rPr>
                          <m:t>t</m:t>
                        </m:r>
                      </m:e>
                    </m:d>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1</m:t>
                    </m:r>
                  </m:sub>
                </m:sSub>
                <m:d>
                  <m:dPr>
                    <m:begChr m:val="["/>
                    <m:endChr m:val="]"/>
                    <m:ctrlPr>
                      <w:rPr>
                        <w:rFonts w:ascii="Cambria Math" w:hAnsi="Cambria Math"/>
                        <w:i/>
                        <w:lang w:val="en-US"/>
                      </w:rPr>
                    </m:ctrlPr>
                  </m:dPr>
                  <m:e>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lang w:val="en-US"/>
                              </w:rPr>
                              <m:t>log</m:t>
                            </m:r>
                            <m:ctrlPr>
                              <w:rPr>
                                <w:rFonts w:ascii="Cambria Math" w:hAnsi="Cambria Math"/>
                                <w:lang w:val="en-US"/>
                              </w:rPr>
                            </m:ctrlPr>
                          </m:e>
                          <m:sub>
                            <m:r>
                              <w:rPr>
                                <w:rFonts w:ascii="Cambria Math" w:hAnsi="Cambria Math"/>
                                <w:lang w:val="en-US"/>
                              </w:rPr>
                              <m:t>10</m:t>
                            </m:r>
                            <m:ctrlPr>
                              <w:rPr>
                                <w:rFonts w:ascii="Cambria Math" w:hAnsi="Cambria Math"/>
                                <w:lang w:val="en-US"/>
                              </w:rPr>
                            </m:ctrlPr>
                          </m:sub>
                        </m:sSub>
                      </m:fName>
                      <m:e>
                        <m:d>
                          <m:dPr>
                            <m:begChr m:val="{"/>
                            <m:endChr m:val="}"/>
                            <m:ctrlPr>
                              <w:rPr>
                                <w:rFonts w:ascii="Cambria Math" w:hAnsi="Cambria Math"/>
                                <w:i/>
                                <w:lang w:val="en-US"/>
                              </w:rPr>
                            </m:ctrlPr>
                          </m:dPr>
                          <m:e>
                            <m:r>
                              <w:rPr>
                                <w:rFonts w:ascii="Cambria Math" w:hAnsi="Cambria Math"/>
                                <w:lang w:val="en-US"/>
                              </w:rPr>
                              <m:t>V</m:t>
                            </m:r>
                            <m:d>
                              <m:dPr>
                                <m:ctrlPr>
                                  <w:rPr>
                                    <w:rFonts w:ascii="Cambria Math" w:hAnsi="Cambria Math"/>
                                    <w:i/>
                                    <w:lang w:val="en-US"/>
                                  </w:rPr>
                                </m:ctrlPr>
                              </m:dPr>
                              <m:e>
                                <m:r>
                                  <w:rPr>
                                    <w:rFonts w:ascii="Cambria Math" w:hAnsi="Cambria Math"/>
                                    <w:lang w:val="en-US"/>
                                  </w:rPr>
                                  <m:t>t</m:t>
                                </m:r>
                              </m:e>
                            </m:d>
                          </m:e>
                        </m:d>
                      </m:e>
                    </m:func>
                    <m:r>
                      <w:rPr>
                        <w:rFonts w:ascii="Cambria Math" w:hAnsi="Cambria Math"/>
                        <w:lang w:val="en-US"/>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2</m:t>
                        </m:r>
                      </m:sub>
                    </m:sSub>
                  </m:e>
                </m:d>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3</m:t>
                    </m:r>
                  </m:sub>
                </m:sSub>
                <m:r>
                  <w:rPr>
                    <w:rFonts w:ascii="Cambria Math" w:hAnsi="Cambria Math"/>
                    <w:lang w:val="en-US"/>
                  </w:rPr>
                  <m:t xml:space="preserve">    ∀</m:t>
                </m:r>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lang w:val="en-US"/>
                          </w:rPr>
                          <m:t>log</m:t>
                        </m:r>
                        <m:ctrlPr>
                          <w:rPr>
                            <w:rFonts w:ascii="Cambria Math" w:hAnsi="Cambria Math"/>
                            <w:lang w:val="en-US"/>
                          </w:rPr>
                        </m:ctrlPr>
                      </m:e>
                      <m:sub>
                        <m:r>
                          <w:rPr>
                            <w:rFonts w:ascii="Cambria Math" w:hAnsi="Cambria Math"/>
                            <w:lang w:val="en-US"/>
                          </w:rPr>
                          <m:t>10</m:t>
                        </m:r>
                        <m:ctrlPr>
                          <w:rPr>
                            <w:rFonts w:ascii="Cambria Math" w:hAnsi="Cambria Math"/>
                            <w:lang w:val="en-US"/>
                          </w:rPr>
                        </m:ctrlPr>
                      </m:sub>
                    </m:sSub>
                  </m:fName>
                  <m:e>
                    <m:d>
                      <m:dPr>
                        <m:begChr m:val="{"/>
                        <m:endChr m:val="}"/>
                        <m:ctrlPr>
                          <w:rPr>
                            <w:rFonts w:ascii="Cambria Math" w:hAnsi="Cambria Math"/>
                            <w:i/>
                            <w:lang w:val="en-US"/>
                          </w:rPr>
                        </m:ctrlPr>
                      </m:dPr>
                      <m:e>
                        <m:r>
                          <w:rPr>
                            <w:rFonts w:ascii="Cambria Math" w:hAnsi="Cambria Math"/>
                            <w:lang w:val="en-US"/>
                          </w:rPr>
                          <m:t>V</m:t>
                        </m:r>
                        <m:d>
                          <m:dPr>
                            <m:ctrlPr>
                              <w:rPr>
                                <w:rFonts w:ascii="Cambria Math" w:hAnsi="Cambria Math"/>
                                <w:i/>
                                <w:lang w:val="en-US"/>
                              </w:rPr>
                            </m:ctrlPr>
                          </m:dPr>
                          <m:e>
                            <m:r>
                              <w:rPr>
                                <w:rFonts w:ascii="Cambria Math" w:hAnsi="Cambria Math"/>
                                <w:lang w:val="en-US"/>
                              </w:rPr>
                              <m:t>t</m:t>
                            </m:r>
                          </m:e>
                        </m:d>
                      </m:e>
                    </m:d>
                  </m:e>
                </m:func>
                <m:r>
                  <w:rPr>
                    <w:rFonts w:ascii="Cambria Math" w:hAnsi="Cambria Math"/>
                    <w:lang w:val="en-US"/>
                  </w:rPr>
                  <m:t>&gt;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2</m:t>
                    </m:r>
                  </m:sub>
                </m:sSub>
              </m:oMath>
            </m:oMathPara>
          </w:p>
          <w:p w14:paraId="583FD241" w14:textId="77777777" w:rsidR="005D4FCC" w:rsidRPr="00052441" w:rsidRDefault="005D4FCC" w:rsidP="005D4FCC">
            <w:pPr>
              <w:spacing w:line="240" w:lineRule="auto"/>
              <w:jc w:val="center"/>
              <w:rPr>
                <w:rFonts w:eastAsia="DengXian"/>
                <w:lang w:val="en-US"/>
              </w:rPr>
            </w:pPr>
            <m:oMathPara>
              <m:oMath>
                <m:r>
                  <m:rPr>
                    <m:nor/>
                  </m:rPr>
                  <w:rPr>
                    <w:rFonts w:ascii="Cambria Math" w:hAnsi="Cambria Math"/>
                    <w:lang w:val="en-US"/>
                  </w:rPr>
                  <m:t>logit</m:t>
                </m:r>
                <m:d>
                  <m:dPr>
                    <m:begChr m:val="["/>
                    <m:endChr m:val="]"/>
                    <m:ctrlPr>
                      <w:rPr>
                        <w:rFonts w:ascii="Cambria Math" w:hAnsi="Cambria Math"/>
                        <w:i/>
                        <w:lang w:val="en-US"/>
                      </w:rPr>
                    </m:ctrlPr>
                  </m:dPr>
                  <m:e>
                    <m:r>
                      <w:rPr>
                        <w:rFonts w:ascii="Cambria Math" w:hAnsi="Cambria Math"/>
                        <w:lang w:val="en-US"/>
                      </w:rPr>
                      <m:t>ω</m:t>
                    </m:r>
                    <m:d>
                      <m:dPr>
                        <m:ctrlPr>
                          <w:rPr>
                            <w:rFonts w:ascii="Cambria Math" w:hAnsi="Cambria Math"/>
                            <w:i/>
                            <w:lang w:val="en-US"/>
                          </w:rPr>
                        </m:ctrlPr>
                      </m:dPr>
                      <m:e>
                        <m:r>
                          <w:rPr>
                            <w:rFonts w:ascii="Cambria Math" w:hAnsi="Cambria Math"/>
                            <w:lang w:val="en-US"/>
                          </w:rPr>
                          <m:t>t</m:t>
                        </m:r>
                      </m:e>
                    </m:d>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3</m:t>
                    </m:r>
                  </m:sub>
                </m:sSub>
                <m:r>
                  <w:rPr>
                    <w:rFonts w:ascii="Cambria Math" w:hAnsi="Cambria Math"/>
                    <w:lang w:val="en-US"/>
                  </w:rPr>
                  <m:t xml:space="preserve">   ∀</m:t>
                </m:r>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lang w:val="en-US"/>
                          </w:rPr>
                          <m:t>log</m:t>
                        </m:r>
                        <m:ctrlPr>
                          <w:rPr>
                            <w:rFonts w:ascii="Cambria Math" w:hAnsi="Cambria Math"/>
                            <w:lang w:val="en-US"/>
                          </w:rPr>
                        </m:ctrlPr>
                      </m:e>
                      <m:sub>
                        <m:r>
                          <w:rPr>
                            <w:rFonts w:ascii="Cambria Math" w:hAnsi="Cambria Math"/>
                            <w:lang w:val="en-US"/>
                          </w:rPr>
                          <m:t>10</m:t>
                        </m:r>
                        <m:ctrlPr>
                          <w:rPr>
                            <w:rFonts w:ascii="Cambria Math" w:hAnsi="Cambria Math"/>
                            <w:lang w:val="en-US"/>
                          </w:rPr>
                        </m:ctrlPr>
                      </m:sub>
                    </m:sSub>
                  </m:fName>
                  <m:e>
                    <m:d>
                      <m:dPr>
                        <m:begChr m:val="{"/>
                        <m:endChr m:val="}"/>
                        <m:ctrlPr>
                          <w:rPr>
                            <w:rFonts w:ascii="Cambria Math" w:hAnsi="Cambria Math"/>
                            <w:i/>
                            <w:lang w:val="en-US"/>
                          </w:rPr>
                        </m:ctrlPr>
                      </m:dPr>
                      <m:e>
                        <m:r>
                          <w:rPr>
                            <w:rFonts w:ascii="Cambria Math" w:hAnsi="Cambria Math"/>
                            <w:lang w:val="en-US"/>
                          </w:rPr>
                          <m:t>V</m:t>
                        </m:r>
                        <m:d>
                          <m:dPr>
                            <m:ctrlPr>
                              <w:rPr>
                                <w:rFonts w:ascii="Cambria Math" w:hAnsi="Cambria Math"/>
                                <w:i/>
                                <w:lang w:val="en-US"/>
                              </w:rPr>
                            </m:ctrlPr>
                          </m:dPr>
                          <m:e>
                            <m:r>
                              <w:rPr>
                                <w:rFonts w:ascii="Cambria Math" w:hAnsi="Cambria Math"/>
                                <w:lang w:val="en-US"/>
                              </w:rPr>
                              <m:t>t</m:t>
                            </m:r>
                          </m:e>
                        </m:d>
                      </m:e>
                    </m:d>
                  </m:e>
                </m:func>
                <m:r>
                  <w:rPr>
                    <w:rFonts w:ascii="Cambria Math" w:hAnsi="Cambria Math"/>
                    <w:lang w:val="en-US"/>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2</m:t>
                    </m:r>
                  </m:sub>
                </m:sSub>
              </m:oMath>
            </m:oMathPara>
          </w:p>
          <w:p w14:paraId="2371FDA1" w14:textId="77777777" w:rsidR="005D4FCC" w:rsidRPr="00052441" w:rsidRDefault="005D4FCC" w:rsidP="005D4FCC">
            <w:pPr>
              <w:spacing w:line="240" w:lineRule="auto"/>
              <w:jc w:val="center"/>
              <w:rPr>
                <w:lang w:val="en-US"/>
              </w:rPr>
            </w:pPr>
          </w:p>
          <w:p w14:paraId="671BC02F" w14:textId="77777777" w:rsidR="005D4FCC" w:rsidRPr="00F04787" w:rsidRDefault="005D4FCC" w:rsidP="005D4FCC">
            <w:pPr>
              <w:spacing w:line="240" w:lineRule="auto"/>
              <w:jc w:val="center"/>
              <w:rPr>
                <w:rFonts w:eastAsia="DengXian"/>
                <w:lang w:val="en-US"/>
              </w:rPr>
            </w:pPr>
            <w:r w:rsidRPr="00F04787">
              <w:rPr>
                <w:lang w:val="en-US"/>
              </w:rPr>
              <w:t xml:space="preserve">where </w:t>
            </w: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1</m:t>
                  </m:r>
                </m:sub>
              </m:sSub>
            </m:oMath>
            <w:r w:rsidRPr="00F04787">
              <w:rPr>
                <w:lang w:val="en-US"/>
              </w:rPr>
              <w:t xml:space="preserve"> and </w:t>
            </w: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3</m:t>
                  </m:r>
                </m:sub>
              </m:sSub>
            </m:oMath>
            <w:r w:rsidRPr="00F04787">
              <w:rPr>
                <w:lang w:val="en-US"/>
              </w:rPr>
              <w:t xml:space="preserve"> are the transmission coefficient and baseline log-odds respectively.</w:t>
            </w:r>
          </w:p>
        </w:tc>
        <w:tc>
          <w:tcPr>
            <w:tcW w:w="793" w:type="dxa"/>
            <w:vAlign w:val="center"/>
          </w:tcPr>
          <w:p w14:paraId="2EA8BBD8" w14:textId="77777777" w:rsidR="005D4FCC" w:rsidRPr="00F04787" w:rsidRDefault="005D4FCC" w:rsidP="005D4FCC">
            <w:pPr>
              <w:spacing w:line="240" w:lineRule="auto"/>
              <w:jc w:val="center"/>
              <w:rPr>
                <w:rFonts w:eastAsia="DengXian"/>
                <w:lang w:val="en-US"/>
              </w:rPr>
            </w:pPr>
            <m:oMathPara>
              <m:oMath>
                <m:r>
                  <w:rPr>
                    <w:rFonts w:ascii="Cambria Math" w:hAnsi="Cambria Math"/>
                    <w:lang w:val="en-US"/>
                  </w:rPr>
                  <m:t>(8)</m:t>
                </m:r>
              </m:oMath>
            </m:oMathPara>
          </w:p>
        </w:tc>
      </w:tr>
      <w:tr w:rsidR="005D4FCC" w:rsidRPr="00F04787" w14:paraId="6066A8AF" w14:textId="77777777" w:rsidTr="004D4519">
        <w:trPr>
          <w:trHeight w:val="1644"/>
        </w:trPr>
        <w:tc>
          <w:tcPr>
            <w:tcW w:w="1696" w:type="dxa"/>
            <w:vAlign w:val="center"/>
          </w:tcPr>
          <w:p w14:paraId="66BF5D24" w14:textId="082C8133" w:rsidR="005D4FCC" w:rsidRPr="00F04787" w:rsidRDefault="005D4FCC" w:rsidP="005D4FCC">
            <w:pPr>
              <w:spacing w:line="240" w:lineRule="auto"/>
              <w:jc w:val="center"/>
              <w:rPr>
                <w:lang w:val="en-US"/>
              </w:rPr>
            </w:pPr>
            <w:r w:rsidRPr="00F04787">
              <w:rPr>
                <w:lang w:val="en-US"/>
              </w:rPr>
              <w:lastRenderedPageBreak/>
              <w:t>Logarithmic function</w:t>
            </w:r>
            <w:r w:rsidR="009D5B63">
              <w:rPr>
                <w:lang w:val="en-US"/>
              </w:rPr>
              <w:t xml:space="preserve"> </w:t>
            </w:r>
            <w:r w:rsidRPr="00F04787">
              <w:rPr>
                <w:lang w:val="en-US"/>
              </w:rPr>
              <w:fldChar w:fldCharType="begin"/>
            </w:r>
            <w:r w:rsidR="006A263E">
              <w:rPr>
                <w:lang w:val="en-US"/>
              </w:rPr>
              <w:instrText xml:space="preserve"> ADDIN ZOTERO_ITEM CSL_CITATION {"citationID":"1S0zHKAY","properties":{"formattedCitation":"(Lange and Ferguson, 2009)","plainCitation":"(Lange and Ferguson, 2009)","noteIndex":0},"citationItems":[{"id":64,"uris":["http://zotero.org/users/local/0pdZPGmr/items/SXF4GCBA","http://zotero.org/users/9596130/items/SXF4GCBA"],"itemData":{"id":64,"type":"article-journal","abstract":"Author Summary Infectious diseases vary widely in how they affect those who get infected and how they are transmitted. As an example, the duration of a single infection can range from days to years, while transmission can occur via the respiratory route, water or sexual contact. Measles and HIV are contrasting examples—both are caused by RNA viruses, but one is a genetically diverse, lethal sexually transmitted infection (STI) while the other is a relatively mild respiratory childhood disease with low antigenic diversity. We investigate why the most transmissible respiratory diseases such as measles and rubella are antigenically static, meaning immunity is lifelong, while other diseases—such as influenza, or the sexually transmitted diseases—seem to trade transmissibility for the ability to generate multiple diverse strains so as to evade host immunity. We use mathematical models of disease progression and evolution within the infected host coupled with models of transmission between hosts to explore how transmission modes, host contact rates and network structure determine antigenic diversity, infectiousness and duration of infection. In doing so, we classify infections into three types—measles-like (high transmissibility, but antigenically static), flu-like (lower transmissibility, but more antigenically diverse), and STI-like (very antigenically diverse, long lived infection, but low overall transmissibility).","container-title":"PLOS Computational Biology","DOI":"10.1371/journal.pcbi.1000536","issue":"10","journalAbbreviation":"PLOS Computational Biology","note":"publisher: Public Library of Science","page":"e1000536","title":"Antigenic Diversity, Transmission Mechanisms, and the Evolution of Pathogens","volume":"5","author":[{"family":"Lange","given":"Alexander"},{"family":"Ferguson","given":"Neil M."}],"issued":{"date-parts":[["2009",10,16]]}}}],"schema":"https://github.com/citation-style-language/schema/raw/master/csl-citation.json"} </w:instrText>
            </w:r>
            <w:r w:rsidRPr="00F04787">
              <w:rPr>
                <w:lang w:val="en-US"/>
              </w:rPr>
              <w:fldChar w:fldCharType="separate"/>
            </w:r>
            <w:r w:rsidR="006A263E">
              <w:rPr>
                <w:lang w:val="en-US"/>
              </w:rPr>
              <w:t>(Lange and Ferguson, 2009)</w:t>
            </w:r>
            <w:r w:rsidRPr="00F04787">
              <w:rPr>
                <w:lang w:val="en-US"/>
              </w:rPr>
              <w:fldChar w:fldCharType="end"/>
            </w:r>
          </w:p>
        </w:tc>
        <w:tc>
          <w:tcPr>
            <w:tcW w:w="6521" w:type="dxa"/>
            <w:vAlign w:val="center"/>
          </w:tcPr>
          <w:p w14:paraId="56652237" w14:textId="77777777" w:rsidR="005D4FCC" w:rsidRPr="00F04787" w:rsidRDefault="005D4FCC" w:rsidP="005D4FCC">
            <w:pPr>
              <w:spacing w:line="240" w:lineRule="auto"/>
              <w:jc w:val="center"/>
              <w:rPr>
                <w:rFonts w:eastAsia="DengXian"/>
                <w:lang w:val="en-US"/>
              </w:rPr>
            </w:pPr>
            <m:oMathPara>
              <m:oMath>
                <m:r>
                  <w:rPr>
                    <w:rFonts w:ascii="Cambria Math" w:hAnsi="Cambria Math"/>
                    <w:lang w:val="en-US"/>
                  </w:rPr>
                  <m:t>ω</m:t>
                </m:r>
                <m:d>
                  <m:dPr>
                    <m:ctrlPr>
                      <w:rPr>
                        <w:rFonts w:ascii="Cambria Math" w:hAnsi="Cambria Math"/>
                        <w:i/>
                        <w:lang w:val="en-US"/>
                      </w:rPr>
                    </m:ctrlPr>
                  </m:dPr>
                  <m:e>
                    <m:r>
                      <w:rPr>
                        <w:rFonts w:ascii="Cambria Math" w:hAnsi="Cambria Math"/>
                        <w:lang w:val="en-US"/>
                      </w:rPr>
                      <m:t>t</m:t>
                    </m:r>
                  </m:e>
                </m:d>
                <m:r>
                  <w:rPr>
                    <w:rFonts w:ascii="Cambria Math" w:hAnsi="Cambria Math"/>
                    <w:lang w:val="en-US"/>
                  </w:rPr>
                  <m:t>=1-</m:t>
                </m:r>
                <m:func>
                  <m:funcPr>
                    <m:ctrlPr>
                      <w:rPr>
                        <w:rFonts w:ascii="Cambria Math" w:hAnsi="Cambria Math"/>
                        <w:i/>
                        <w:lang w:val="en-US"/>
                      </w:rPr>
                    </m:ctrlPr>
                  </m:funcPr>
                  <m:fName>
                    <m:r>
                      <m:rPr>
                        <m:sty m:val="p"/>
                      </m:rPr>
                      <w:rPr>
                        <w:rFonts w:ascii="Cambria Math" w:hAnsi="Cambria Math"/>
                        <w:lang w:val="en-US"/>
                      </w:rPr>
                      <m:t>exp</m:t>
                    </m:r>
                  </m:fName>
                  <m:e>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m:t>
                            </m:r>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lang w:val="en-US"/>
                                      </w:rPr>
                                      <m:t>log</m:t>
                                    </m:r>
                                    <m:ctrlPr>
                                      <w:rPr>
                                        <w:rFonts w:ascii="Cambria Math" w:hAnsi="Cambria Math"/>
                                        <w:lang w:val="en-US"/>
                                      </w:rPr>
                                    </m:ctrlPr>
                                  </m:e>
                                  <m:sub>
                                    <m:r>
                                      <w:rPr>
                                        <w:rFonts w:ascii="Cambria Math" w:hAnsi="Cambria Math"/>
                                        <w:lang w:val="en-US"/>
                                      </w:rPr>
                                      <m:t>10</m:t>
                                    </m:r>
                                    <m:ctrlPr>
                                      <w:rPr>
                                        <w:rFonts w:ascii="Cambria Math" w:hAnsi="Cambria Math"/>
                                        <w:lang w:val="en-US"/>
                                      </w:rPr>
                                    </m:ctrlPr>
                                  </m:sub>
                                </m:sSub>
                              </m:fName>
                              <m:e>
                                <m:d>
                                  <m:dPr>
                                    <m:begChr m:val="["/>
                                    <m:endChr m:val="]"/>
                                    <m:ctrlPr>
                                      <w:rPr>
                                        <w:rFonts w:ascii="Cambria Math" w:hAnsi="Cambria Math"/>
                                        <w:i/>
                                        <w:lang w:val="en-US"/>
                                      </w:rPr>
                                    </m:ctrlPr>
                                  </m:dPr>
                                  <m:e>
                                    <m:r>
                                      <w:rPr>
                                        <w:rFonts w:ascii="Cambria Math" w:hAnsi="Cambria Math"/>
                                        <w:lang w:val="en-US"/>
                                      </w:rPr>
                                      <m:t>V</m:t>
                                    </m:r>
                                    <m:d>
                                      <m:dPr>
                                        <m:ctrlPr>
                                          <w:rPr>
                                            <w:rFonts w:ascii="Cambria Math" w:hAnsi="Cambria Math"/>
                                            <w:i/>
                                            <w:lang w:val="en-US"/>
                                          </w:rPr>
                                        </m:ctrlPr>
                                      </m:dPr>
                                      <m:e>
                                        <m:r>
                                          <w:rPr>
                                            <w:rFonts w:ascii="Cambria Math" w:hAnsi="Cambria Math"/>
                                            <w:lang w:val="en-US"/>
                                          </w:rPr>
                                          <m:t>t</m:t>
                                        </m:r>
                                      </m:e>
                                    </m:d>
                                  </m:e>
                                </m:d>
                              </m:e>
                            </m:func>
                          </m:num>
                          <m:den>
                            <m:r>
                              <w:rPr>
                                <w:rFonts w:ascii="Cambria Math" w:hAnsi="Cambria Math"/>
                                <w:lang w:val="en-US"/>
                              </w:rPr>
                              <m:t>k</m:t>
                            </m:r>
                          </m:den>
                        </m:f>
                      </m:e>
                    </m:d>
                  </m:e>
                </m:func>
              </m:oMath>
            </m:oMathPara>
          </w:p>
          <w:p w14:paraId="00DE86A7" w14:textId="77777777" w:rsidR="005D4FCC" w:rsidRPr="00F04787" w:rsidRDefault="005D4FCC" w:rsidP="005D4FCC">
            <w:pPr>
              <w:spacing w:line="240" w:lineRule="auto"/>
              <w:jc w:val="center"/>
              <w:rPr>
                <w:lang w:val="en-US"/>
              </w:rPr>
            </w:pPr>
          </w:p>
          <w:p w14:paraId="73E07301" w14:textId="77777777" w:rsidR="005D4FCC" w:rsidRPr="00F04787" w:rsidRDefault="005D4FCC" w:rsidP="005D4FCC">
            <w:pPr>
              <w:spacing w:line="240" w:lineRule="auto"/>
              <w:jc w:val="center"/>
              <w:rPr>
                <w:rFonts w:eastAsia="DengXian"/>
                <w:lang w:val="en-US"/>
              </w:rPr>
            </w:pPr>
            <w:r w:rsidRPr="00F04787">
              <w:rPr>
                <w:lang w:val="en-US"/>
              </w:rPr>
              <w:t xml:space="preserve">where </w:t>
            </w:r>
            <m:oMath>
              <m:r>
                <w:rPr>
                  <w:rFonts w:ascii="Cambria Math" w:hAnsi="Cambria Math"/>
                  <w:lang w:val="en-US"/>
                </w:rPr>
                <m:t>k</m:t>
              </m:r>
            </m:oMath>
            <w:r w:rsidRPr="00F04787">
              <w:rPr>
                <w:lang w:val="en-US"/>
              </w:rPr>
              <w:t xml:space="preserve"> is the scaling factor.</w:t>
            </w:r>
          </w:p>
        </w:tc>
        <w:tc>
          <w:tcPr>
            <w:tcW w:w="793" w:type="dxa"/>
            <w:vAlign w:val="center"/>
          </w:tcPr>
          <w:p w14:paraId="04A8F25E" w14:textId="77777777" w:rsidR="005D4FCC" w:rsidRPr="00F04787" w:rsidRDefault="005D4FCC" w:rsidP="005D4FCC">
            <w:pPr>
              <w:spacing w:line="240" w:lineRule="auto"/>
              <w:jc w:val="center"/>
              <w:rPr>
                <w:rFonts w:eastAsia="DengXian"/>
                <w:lang w:val="en-US"/>
              </w:rPr>
            </w:pPr>
            <m:oMathPara>
              <m:oMath>
                <m:r>
                  <w:rPr>
                    <w:rFonts w:ascii="Cambria Math" w:hAnsi="Cambria Math"/>
                    <w:lang w:val="en-US"/>
                  </w:rPr>
                  <m:t>(9)</m:t>
                </m:r>
              </m:oMath>
            </m:oMathPara>
          </w:p>
        </w:tc>
      </w:tr>
    </w:tbl>
    <w:p w14:paraId="6F43DA29" w14:textId="77777777" w:rsidR="00CF052F" w:rsidRDefault="00CF052F" w:rsidP="005D4FCC">
      <w:pPr>
        <w:rPr>
          <w:lang w:val="en-US"/>
        </w:rPr>
      </w:pPr>
    </w:p>
    <w:p w14:paraId="194C5177" w14:textId="47196A42" w:rsidR="005D4FCC" w:rsidRDefault="005D4FCC" w:rsidP="005D4FCC">
      <w:pPr>
        <w:rPr>
          <w:lang w:val="en-US"/>
        </w:rPr>
      </w:pPr>
      <w:r w:rsidRPr="00F04787">
        <w:rPr>
          <w:lang w:val="en-US"/>
        </w:rPr>
        <w:t>Assuming that treatment with BXM within two days of symptom onset leads to 29% reduction in infectiousness by five days post-treatment as reported in the phase 3 CENTERSTONE trial</w:t>
      </w:r>
      <w:r w:rsidR="00A05365">
        <w:rPr>
          <w:lang w:val="en-US"/>
        </w:rPr>
        <w:t xml:space="preserve"> </w:t>
      </w:r>
      <w:r w:rsidRPr="00F04787">
        <w:rPr>
          <w:lang w:val="en-US"/>
        </w:rPr>
        <w:fldChar w:fldCharType="begin"/>
      </w:r>
      <w:r w:rsidR="00401568">
        <w:rPr>
          <w:lang w:val="en-US"/>
        </w:rPr>
        <w:instrText xml:space="preserve"> ADDIN ZOTERO_ITEM CSL_CITATION {"citationID":"a2gb2pmvhf","properties":{"formattedCitation":"(Monto Arnold S. et al., 2025)","plainCitation":"(Monto Arnold S. et al., 2025)","noteIndex":0},"citationItems":[{"id":288,"uris":["http://zotero.org/users/9596130/items/HVVT3WY6"],"itemData":{"id":288,"type":"article-journal","container-title":"New England Journal of Medicine","DOI":"10.1056/NEJMoa2413156","issue":"16","journalAbbreviation":"New England Journal of Medicine","note":"publisher: Massachusetts Medical Society","page":"1582-1593","title":"Efficacy of Baloxavir Treatment in Preventing Transmission of Influenza","volume":"392","author":[{"literal":"Monto Arnold S."},{"literal":"Kuhlbusch Klaus"},{"literal":"Bernasconi Corrado"},{"literal":"Cao Bin"},{"literal":"Cohen Herman Avner"},{"literal":"Graham Emily"},{"literal":"Hurt Aeron C."},{"literal":"Katugampola Laurie"},{"literal":"Kamezawa Takashi"},{"literal":"Lauring Adam S."},{"literal":"McLean Barry"},{"literal":"Takazono Takahiro"},{"literal":"Widmer Andreas"},{"literal":"Wildum Steffen"},{"literal":"Cowling Benjamin J."}],"issued":{"date-parts":[["2025",4,23]]}}}],"schema":"https://github.com/citation-style-language/schema/raw/master/csl-citation.json"} </w:instrText>
      </w:r>
      <w:r w:rsidRPr="00F04787">
        <w:rPr>
          <w:lang w:val="en-US"/>
        </w:rPr>
        <w:fldChar w:fldCharType="separate"/>
      </w:r>
      <w:r w:rsidR="00401568" w:rsidRPr="00401568">
        <w:rPr>
          <w:lang w:val="en-US"/>
        </w:rPr>
        <w:t>(Monto Arnold S. et al., 2025)</w:t>
      </w:r>
      <w:r w:rsidRPr="00F04787">
        <w:rPr>
          <w:lang w:val="en-US"/>
        </w:rPr>
        <w:fldChar w:fldCharType="end"/>
      </w:r>
      <w:r w:rsidR="00A05365">
        <w:rPr>
          <w:lang w:val="en-US"/>
        </w:rPr>
        <w:t>,</w:t>
      </w:r>
      <w:r w:rsidRPr="00F04787">
        <w:rPr>
          <w:lang w:val="en-US"/>
        </w:rPr>
        <w:t xml:space="preserve"> we applied each infectiousness model to the infectious viral load trajectory of BXM treatment as estimated by our within-host model (</w:t>
      </w:r>
      <w:r>
        <w:rPr>
          <w:lang w:val="en-US"/>
        </w:rPr>
        <w:t>Appendix</w:t>
      </w:r>
      <w:r>
        <w:rPr>
          <w:lang w:val="en-US"/>
        </w:rPr>
        <w:t xml:space="preserve"> Fig. 10</w:t>
      </w:r>
      <w:r w:rsidRPr="00F04787">
        <w:rPr>
          <w:lang w:val="en-US"/>
        </w:rPr>
        <w:t xml:space="preserve">) and fitted the </w:t>
      </w:r>
      <m:oMath>
        <m:r>
          <w:rPr>
            <w:rFonts w:ascii="Cambria Math" w:hAnsi="Cambria Math"/>
            <w:lang w:val="en-US"/>
          </w:rPr>
          <m:t>k</m:t>
        </m:r>
      </m:oMath>
      <w:r w:rsidRPr="00F04787">
        <w:rPr>
          <w:lang w:val="en-US"/>
        </w:rPr>
        <w:t xml:space="preserve"> parameters by differential evolution. We then applied the best-fit parameters to the within-host and infectiousness models to estimate the infectiousness </w:t>
      </w:r>
      <m:oMath>
        <m:r>
          <w:rPr>
            <w:rFonts w:ascii="Cambria Math" w:hAnsi="Cambria Math"/>
            <w:lang w:val="en-US"/>
          </w:rPr>
          <m:t>ω</m:t>
        </m:r>
      </m:oMath>
      <w:r w:rsidRPr="00F04787">
        <w:rPr>
          <w:lang w:val="en-US"/>
        </w:rPr>
        <w:t xml:space="preserve"> of infected individuals who were treated at different times during the course of their infection as a result of differences in time to symptom onset since infection, delays in treatment since symptom onset and whether or not resistant mutant viruses emerge after treatment. </w:t>
      </w:r>
    </w:p>
    <w:p w14:paraId="1FDE0020" w14:textId="4EE328CC" w:rsidR="005D4FCC" w:rsidRPr="00F04787" w:rsidRDefault="005D4FCC" w:rsidP="005D4FCC">
      <w:pPr>
        <w:rPr>
          <w:lang w:val="en-US"/>
        </w:rPr>
      </w:pPr>
      <w:r>
        <w:rPr>
          <w:lang w:val="en-US"/>
        </w:rPr>
        <w:t>We find negligible difference (&lt;10% in total incidence) between all three infectiousness models when combined with the between-host transmission model (see below) to estimate population transmission dynamics (</w:t>
      </w:r>
      <w:r>
        <w:rPr>
          <w:lang w:val="en-US"/>
        </w:rPr>
        <w:t>Appendix</w:t>
      </w:r>
      <w:r>
        <w:rPr>
          <w:lang w:val="en-US"/>
        </w:rPr>
        <w:t xml:space="preserve"> Fig. 11).</w:t>
      </w:r>
    </w:p>
    <w:p w14:paraId="22B78074" w14:textId="77777777" w:rsidR="005D4FCC" w:rsidRPr="00F04787" w:rsidRDefault="005D4FCC" w:rsidP="005D4FCC">
      <w:pPr>
        <w:rPr>
          <w:lang w:val="en-US"/>
        </w:rPr>
      </w:pPr>
    </w:p>
    <w:p w14:paraId="74C797C9" w14:textId="77777777" w:rsidR="005D4FCC" w:rsidRPr="00F04787" w:rsidRDefault="005D4FCC" w:rsidP="005D4FCC">
      <w:pPr>
        <w:pStyle w:val="Heading2"/>
      </w:pPr>
      <w:bookmarkStart w:id="3" w:name="_Toc192246973"/>
      <w:r w:rsidRPr="00F04787">
        <w:t>Between-host transmission model</w:t>
      </w:r>
      <w:bookmarkEnd w:id="3"/>
    </w:p>
    <w:p w14:paraId="14DAAAD6" w14:textId="31FC6FE3" w:rsidR="005D4FCC" w:rsidRPr="00F04787" w:rsidRDefault="005D4FCC" w:rsidP="005D4FCC">
      <w:pPr>
        <w:rPr>
          <w:lang w:val="en-US"/>
        </w:rPr>
      </w:pPr>
      <w:r w:rsidRPr="00F04787">
        <w:rPr>
          <w:lang w:val="en-US"/>
        </w:rPr>
        <w:t xml:space="preserve">We developed a discrete-time (i.e. timestep of one day), multi-type renewal process equation model to compute between-hosts transmissions over time to individuals with different susceptibility, contact rates and infectiousness profile. Assuming that the population is stratified into </w:t>
      </w:r>
      <m:oMath>
        <m:r>
          <w:rPr>
            <w:rFonts w:ascii="Cambria Math" w:hAnsi="Cambria Math"/>
            <w:lang w:val="en-US"/>
          </w:rPr>
          <m:t>n</m:t>
        </m:r>
      </m:oMath>
      <w:r w:rsidRPr="00F04787">
        <w:rPr>
          <w:lang w:val="en-US"/>
        </w:rPr>
        <w:t xml:space="preserve"> age groups and that </w:t>
      </w:r>
      <w:r w:rsidRPr="00F04787">
        <w:rPr>
          <w:i/>
          <w:lang w:val="en-US"/>
        </w:rPr>
        <w:t>infected</w:t>
      </w:r>
      <w:r w:rsidRPr="00F04787">
        <w:rPr>
          <w:lang w:val="en-US"/>
        </w:rPr>
        <w:t xml:space="preserve"> individuals are further distinguished by their diagnosis status and infectiousness profile </w:t>
      </w:r>
      <m:oMath>
        <m:r>
          <w:rPr>
            <w:rFonts w:ascii="Cambria Math" w:hAnsi="Cambria Math"/>
            <w:lang w:val="en-US"/>
          </w:rPr>
          <m:t>y</m:t>
        </m:r>
      </m:oMath>
      <w:r w:rsidRPr="00F04787">
        <w:rPr>
          <w:lang w:val="en-US"/>
        </w:rPr>
        <w:t xml:space="preserve">, the mean incidence for individuals in group </w:t>
      </w:r>
      <m:oMath>
        <m:r>
          <w:rPr>
            <w:rFonts w:ascii="Cambria Math" w:hAnsi="Cambria Math"/>
            <w:lang w:val="en-US"/>
          </w:rPr>
          <m:t>a</m:t>
        </m:r>
      </m:oMath>
      <w:r w:rsidRPr="00F04787">
        <w:rPr>
          <w:lang w:val="en-US"/>
        </w:rPr>
        <w:t xml:space="preserve"> on day </w:t>
      </w:r>
      <m:oMath>
        <m:r>
          <w:rPr>
            <w:rFonts w:ascii="Cambria Math" w:hAnsi="Cambria Math"/>
            <w:lang w:val="en-US"/>
          </w:rPr>
          <m:t>t</m:t>
        </m:r>
      </m:oMath>
      <w:r w:rsidRPr="00F04787">
        <w:rPr>
          <w:lang w:val="en-US"/>
        </w:rPr>
        <w:t xml:space="preserve"> is modelled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5D4FCC" w:rsidRPr="00F04787" w14:paraId="124764C5" w14:textId="77777777" w:rsidTr="004D4519">
        <w:tc>
          <w:tcPr>
            <w:tcW w:w="8075" w:type="dxa"/>
            <w:vAlign w:val="center"/>
          </w:tcPr>
          <w:p w14:paraId="23D88D70" w14:textId="77777777" w:rsidR="005D4FCC" w:rsidRPr="00F04787" w:rsidRDefault="005D4FCC" w:rsidP="004D4519">
            <w:pPr>
              <w:jc w:val="center"/>
              <w:rPr>
                <w:lang w:val="en-US"/>
              </w:rPr>
            </w:pPr>
            <m:oMathPara>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t,a</m:t>
                    </m:r>
                  </m:sub>
                </m:sSub>
                <m:r>
                  <m:rPr>
                    <m:sty m:val="p"/>
                  </m:rPr>
                  <w:rPr>
                    <w:rFonts w:ascii="Cambria Math" w:hAnsi="Cambria Math"/>
                    <w:lang w:val="en-US"/>
                  </w:rPr>
                  <m:t>=</m:t>
                </m:r>
                <m:nary>
                  <m:naryPr>
                    <m:chr m:val="∑"/>
                    <m:limLoc m:val="undOvr"/>
                    <m:ctrlPr>
                      <w:rPr>
                        <w:rFonts w:ascii="Cambria Math" w:hAnsi="Cambria Math"/>
                        <w:lang w:val="en-US"/>
                      </w:rPr>
                    </m:ctrlPr>
                  </m:naryPr>
                  <m:sub>
                    <m:r>
                      <w:rPr>
                        <w:rFonts w:ascii="Cambria Math" w:hAnsi="Cambria Math"/>
                        <w:lang w:val="en-US"/>
                      </w:rPr>
                      <m:t>d=0</m:t>
                    </m:r>
                  </m:sub>
                  <m:sup>
                    <m:r>
                      <w:rPr>
                        <w:rFonts w:ascii="Cambria Math" w:hAnsi="Cambria Math"/>
                        <w:lang w:val="en-US"/>
                      </w:rPr>
                      <m:t>1</m:t>
                    </m:r>
                  </m:sup>
                  <m:e>
                    <m:nary>
                      <m:naryPr>
                        <m:chr m:val="∑"/>
                        <m:limLoc m:val="undOvr"/>
                        <m:ctrlPr>
                          <w:rPr>
                            <w:rFonts w:ascii="Cambria Math" w:hAnsi="Cambria Math"/>
                            <w:lang w:val="en-US"/>
                          </w:rPr>
                        </m:ctrlPr>
                      </m:naryPr>
                      <m:sub>
                        <m:r>
                          <w:rPr>
                            <w:rFonts w:ascii="Cambria Math" w:hAnsi="Cambria Math"/>
                            <w:lang w:val="en-US"/>
                          </w:rPr>
                          <m:t>α=1</m:t>
                        </m:r>
                      </m:sub>
                      <m:sup>
                        <m:r>
                          <w:rPr>
                            <w:rFonts w:ascii="Cambria Math" w:hAnsi="Cambria Math"/>
                            <w:lang w:val="en-US"/>
                          </w:rPr>
                          <m:t>n</m:t>
                        </m:r>
                      </m:sup>
                      <m:e>
                        <m:nary>
                          <m:naryPr>
                            <m:chr m:val="∑"/>
                            <m:limLoc m:val="undOvr"/>
                            <m:ctrlPr>
                              <w:rPr>
                                <w:rFonts w:ascii="Cambria Math" w:hAnsi="Cambria Math"/>
                                <w:i/>
                                <w:lang w:val="en-US"/>
                              </w:rPr>
                            </m:ctrlPr>
                          </m:naryPr>
                          <m:sub>
                            <m:r>
                              <w:rPr>
                                <w:rFonts w:ascii="Cambria Math" w:hAnsi="Cambria Math"/>
                                <w:lang w:val="en-US"/>
                              </w:rPr>
                              <m:t>y=0</m:t>
                            </m:r>
                          </m:sub>
                          <m:sup>
                            <m:r>
                              <w:rPr>
                                <w:rFonts w:ascii="Cambria Math" w:hAnsi="Cambria Math"/>
                                <w:lang w:val="en-US"/>
                              </w:rPr>
                              <m:t>Y</m:t>
                            </m:r>
                          </m:sup>
                          <m:e>
                            <m:nary>
                              <m:naryPr>
                                <m:chr m:val="∑"/>
                                <m:limLoc m:val="undOvr"/>
                                <m:ctrlPr>
                                  <w:rPr>
                                    <w:rFonts w:ascii="Cambria Math" w:hAnsi="Cambria Math"/>
                                    <w:lang w:val="en-US"/>
                                  </w:rPr>
                                </m:ctrlPr>
                              </m:naryPr>
                              <m:sub>
                                <m:r>
                                  <w:rPr>
                                    <w:rFonts w:ascii="Cambria Math" w:hAnsi="Cambria Math"/>
                                    <w:lang w:val="en-US"/>
                                  </w:rPr>
                                  <m:t>τ</m:t>
                                </m:r>
                                <m:r>
                                  <m:rPr>
                                    <m:sty m:val="p"/>
                                  </m:rPr>
                                  <w:rPr>
                                    <w:rFonts w:ascii="Cambria Math" w:hAnsi="Cambria Math"/>
                                    <w:lang w:val="en-US"/>
                                  </w:rPr>
                                  <m:t>=0</m:t>
                                </m:r>
                              </m:sub>
                              <m:sup>
                                <m:r>
                                  <w:rPr>
                                    <w:rFonts w:ascii="Cambria Math" w:hAnsi="Cambria Math"/>
                                    <w:lang w:val="en-US"/>
                                  </w:rPr>
                                  <m:t>t-1</m:t>
                                </m:r>
                              </m:sup>
                              <m:e>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t,y,α→a,d</m:t>
                                    </m:r>
                                  </m:sub>
                                </m:sSub>
                                <m:sSub>
                                  <m:sSubPr>
                                    <m:ctrlPr>
                                      <w:rPr>
                                        <w:rFonts w:ascii="Cambria Math" w:hAnsi="Cambria Math"/>
                                        <w:lang w:val="en-US"/>
                                      </w:rPr>
                                    </m:ctrlPr>
                                  </m:sSubPr>
                                  <m:e>
                                    <m:acc>
                                      <m:accPr>
                                        <m:ctrlPr>
                                          <w:rPr>
                                            <w:rFonts w:ascii="Cambria Math" w:hAnsi="Cambria Math"/>
                                            <w:i/>
                                            <w:lang w:val="en-US"/>
                                          </w:rPr>
                                        </m:ctrlPr>
                                      </m:accPr>
                                      <m:e>
                                        <m:r>
                                          <w:rPr>
                                            <w:rFonts w:ascii="Cambria Math" w:hAnsi="Cambria Math"/>
                                            <w:lang w:val="en-US"/>
                                          </w:rPr>
                                          <m:t>ω</m:t>
                                        </m:r>
                                      </m:e>
                                    </m:acc>
                                  </m:e>
                                  <m:sub>
                                    <m:r>
                                      <w:rPr>
                                        <w:rFonts w:ascii="Cambria Math" w:hAnsi="Cambria Math"/>
                                        <w:lang w:val="en-US"/>
                                      </w:rPr>
                                      <m:t>t</m:t>
                                    </m:r>
                                    <m:r>
                                      <m:rPr>
                                        <m:sty m:val="p"/>
                                      </m:rPr>
                                      <w:rPr>
                                        <w:rFonts w:ascii="Cambria Math" w:hAnsi="Cambria Math"/>
                                        <w:lang w:val="en-US"/>
                                      </w:rPr>
                                      <m:t>-</m:t>
                                    </m:r>
                                    <m:r>
                                      <w:rPr>
                                        <w:rFonts w:ascii="Cambria Math" w:hAnsi="Cambria Math"/>
                                        <w:lang w:val="en-US"/>
                                      </w:rPr>
                                      <m:t>τ</m:t>
                                    </m:r>
                                    <m:r>
                                      <m:rPr>
                                        <m:sty m:val="p"/>
                                      </m:rPr>
                                      <w:rPr>
                                        <w:rFonts w:ascii="Cambria Math" w:hAnsi="Cambria Math"/>
                                        <w:lang w:val="en-US"/>
                                      </w:rPr>
                                      <m:t xml:space="preserve">, </m:t>
                                    </m:r>
                                    <m:r>
                                      <w:rPr>
                                        <w:rFonts w:ascii="Cambria Math" w:hAnsi="Cambria Math"/>
                                        <w:lang w:val="en-US"/>
                                      </w:rPr>
                                      <m:t>y</m:t>
                                    </m:r>
                                  </m:sub>
                                </m:sSub>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τ</m:t>
                                    </m:r>
                                    <m:r>
                                      <m:rPr>
                                        <m:sty m:val="p"/>
                                      </m:rPr>
                                      <w:rPr>
                                        <w:rFonts w:ascii="Cambria Math" w:hAnsi="Cambria Math"/>
                                        <w:lang w:val="en-US"/>
                                      </w:rPr>
                                      <m:t>,</m:t>
                                    </m:r>
                                    <m:r>
                                      <w:rPr>
                                        <w:rFonts w:ascii="Cambria Math" w:hAnsi="Cambria Math"/>
                                        <w:lang w:val="en-US"/>
                                      </w:rPr>
                                      <m:t>y,α,d</m:t>
                                    </m:r>
                                  </m:sub>
                                </m:sSub>
                              </m:e>
                            </m:nary>
                          </m:e>
                        </m:nary>
                      </m:e>
                    </m:nary>
                  </m:e>
                </m:nary>
              </m:oMath>
            </m:oMathPara>
          </w:p>
        </w:tc>
        <w:tc>
          <w:tcPr>
            <w:tcW w:w="935" w:type="dxa"/>
            <w:vAlign w:val="center"/>
          </w:tcPr>
          <w:p w14:paraId="45B6D648" w14:textId="77777777" w:rsidR="005D4FCC" w:rsidRPr="00F04787" w:rsidRDefault="005D4FCC" w:rsidP="004D4519">
            <w:pPr>
              <w:jc w:val="center"/>
              <w:rPr>
                <w:lang w:val="en-US"/>
              </w:rPr>
            </w:pPr>
            <m:oMathPara>
              <m:oMath>
                <m:r>
                  <w:rPr>
                    <w:rFonts w:ascii="Cambria Math" w:hAnsi="Cambria Math"/>
                    <w:lang w:val="en-US"/>
                  </w:rPr>
                  <m:t>(10)</m:t>
                </m:r>
              </m:oMath>
            </m:oMathPara>
          </w:p>
        </w:tc>
      </w:tr>
    </w:tbl>
    <w:p w14:paraId="2955F516" w14:textId="04DD16E4" w:rsidR="005D4FCC" w:rsidRPr="00F04787" w:rsidRDefault="005D4FCC" w:rsidP="005D4FCC">
      <w:pPr>
        <w:rPr>
          <w:lang w:val="en-US"/>
        </w:rPr>
      </w:pPr>
      <w:r w:rsidRPr="00F04787">
        <w:rPr>
          <w:lang w:val="en-US"/>
        </w:rPr>
        <w:t xml:space="preserve">where </w:t>
      </w: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t,y,α→a,d</m:t>
            </m:r>
          </m:sub>
        </m:sSub>
      </m:oMath>
      <w:r w:rsidRPr="00F04787">
        <w:rPr>
          <w:lang w:val="en-US"/>
        </w:rPr>
        <w:t xml:space="preserve"> is </w:t>
      </w:r>
      <w:r>
        <w:rPr>
          <w:lang w:val="en-US"/>
        </w:rPr>
        <w:t>mean</w:t>
      </w:r>
      <w:r w:rsidRPr="00F04787">
        <w:rPr>
          <w:lang w:val="en-US"/>
        </w:rPr>
        <w:t xml:space="preserve"> number of secondary infections in age group </w:t>
      </w:r>
      <m:oMath>
        <m:r>
          <w:rPr>
            <w:rFonts w:ascii="Cambria Math" w:hAnsi="Cambria Math"/>
            <w:lang w:val="en-US"/>
          </w:rPr>
          <m:t>a</m:t>
        </m:r>
      </m:oMath>
      <w:r w:rsidRPr="00F04787">
        <w:rPr>
          <w:lang w:val="en-US"/>
        </w:rPr>
        <w:t xml:space="preserve"> caused by an infector in age group </w:t>
      </w:r>
      <m:oMath>
        <m:r>
          <w:rPr>
            <w:rFonts w:ascii="Cambria Math" w:hAnsi="Cambria Math"/>
            <w:lang w:val="en-US"/>
          </w:rPr>
          <m:t>α</m:t>
        </m:r>
      </m:oMath>
      <w:r w:rsidRPr="00F04787">
        <w:rPr>
          <w:lang w:val="en-US"/>
        </w:rPr>
        <w:t xml:space="preserve"> with infectiousness profile </w:t>
      </w:r>
      <m:oMath>
        <m:r>
          <w:rPr>
            <w:rFonts w:ascii="Cambria Math" w:hAnsi="Cambria Math"/>
            <w:lang w:val="en-US"/>
          </w:rPr>
          <m:t>y</m:t>
        </m:r>
      </m:oMath>
      <w:r w:rsidRPr="00F04787">
        <w:rPr>
          <w:lang w:val="en-US"/>
        </w:rPr>
        <w:t xml:space="preserve"> on day </w:t>
      </w:r>
      <m:oMath>
        <m:r>
          <w:rPr>
            <w:rFonts w:ascii="Cambria Math" w:hAnsi="Cambria Math"/>
            <w:lang w:val="en-US"/>
          </w:rPr>
          <m:t>t</m:t>
        </m:r>
      </m:oMath>
      <w:r w:rsidRPr="00F04787">
        <w:rPr>
          <w:iCs/>
          <w:lang w:val="en-US"/>
        </w:rPr>
        <w:t xml:space="preserve"> with the boolean status </w:t>
      </w:r>
      <m:oMath>
        <m:r>
          <w:rPr>
            <w:rFonts w:ascii="Cambria Math" w:hAnsi="Cambria Math"/>
            <w:lang w:val="en-US"/>
          </w:rPr>
          <m:t>d</m:t>
        </m:r>
      </m:oMath>
      <w:r w:rsidRPr="00F04787">
        <w:rPr>
          <w:iCs/>
          <w:lang w:val="en-US"/>
        </w:rPr>
        <w:t xml:space="preserve"> indicating if their infection is identified either by testing or contact tracing</w:t>
      </w:r>
      <w:r w:rsidRPr="00F04787">
        <w:rPr>
          <w:lang w:val="en-US"/>
        </w:rPr>
        <w:t xml:space="preserve">; </w:t>
      </w: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t</m:t>
            </m:r>
            <m:r>
              <m:rPr>
                <m:sty m:val="p"/>
              </m:rPr>
              <w:rPr>
                <w:rFonts w:ascii="Cambria Math" w:hAnsi="Cambria Math"/>
                <w:lang w:val="en-US"/>
              </w:rPr>
              <m:t>,</m:t>
            </m:r>
            <m:r>
              <w:rPr>
                <w:rFonts w:ascii="Cambria Math" w:hAnsi="Cambria Math"/>
                <w:lang w:val="en-US"/>
              </w:rPr>
              <m:t>y,α,d</m:t>
            </m:r>
          </m:sub>
        </m:sSub>
      </m:oMath>
      <w:r w:rsidRPr="00F04787">
        <w:rPr>
          <w:lang w:val="en-US"/>
        </w:rPr>
        <w:t xml:space="preserve"> is the </w:t>
      </w:r>
      <w:r w:rsidRPr="00F04787">
        <w:rPr>
          <w:lang w:val="en-US"/>
        </w:rPr>
        <w:lastRenderedPageBreak/>
        <w:t xml:space="preserve">number of infected individuals in age group </w:t>
      </w:r>
      <m:oMath>
        <m:r>
          <w:rPr>
            <w:rFonts w:ascii="Cambria Math" w:hAnsi="Cambria Math"/>
            <w:lang w:val="en-US"/>
          </w:rPr>
          <m:t>α</m:t>
        </m:r>
      </m:oMath>
      <w:r w:rsidRPr="00F04787">
        <w:rPr>
          <w:lang w:val="en-US"/>
        </w:rPr>
        <w:t xml:space="preserve"> with infectiousness profile </w:t>
      </w:r>
      <m:oMath>
        <m:r>
          <w:rPr>
            <w:rFonts w:ascii="Cambria Math" w:hAnsi="Cambria Math"/>
            <w:lang w:val="en-US"/>
          </w:rPr>
          <m:t>y</m:t>
        </m:r>
      </m:oMath>
      <w:r w:rsidRPr="00F04787">
        <w:rPr>
          <w:lang w:val="en-US"/>
        </w:rPr>
        <w:t xml:space="preserve"> on day </w:t>
      </w:r>
      <m:oMath>
        <m:r>
          <w:rPr>
            <w:rFonts w:ascii="Cambria Math" w:hAnsi="Cambria Math"/>
            <w:lang w:val="en-US"/>
          </w:rPr>
          <m:t>t</m:t>
        </m:r>
      </m:oMath>
      <w:r w:rsidRPr="00F04787">
        <w:rPr>
          <w:iCs/>
          <w:lang w:val="en-US"/>
        </w:rPr>
        <w:t xml:space="preserve"> with status </w:t>
      </w:r>
      <m:oMath>
        <m:r>
          <w:rPr>
            <w:rFonts w:ascii="Cambria Math" w:hAnsi="Cambria Math"/>
            <w:lang w:val="en-US"/>
          </w:rPr>
          <m:t>d</m:t>
        </m:r>
      </m:oMath>
      <w:r w:rsidRPr="00F04787">
        <w:rPr>
          <w:lang w:val="en-US"/>
        </w:rPr>
        <w:t xml:space="preserve">; and </w:t>
      </w:r>
      <m:oMath>
        <m:sSub>
          <m:sSubPr>
            <m:ctrlPr>
              <w:rPr>
                <w:rFonts w:ascii="Cambria Math" w:hAnsi="Cambria Math"/>
                <w:lang w:val="en-US"/>
              </w:rPr>
            </m:ctrlPr>
          </m:sSubPr>
          <m:e>
            <m:acc>
              <m:accPr>
                <m:ctrlPr>
                  <w:rPr>
                    <w:rFonts w:ascii="Cambria Math" w:hAnsi="Cambria Math"/>
                    <w:i/>
                    <w:lang w:val="en-US"/>
                  </w:rPr>
                </m:ctrlPr>
              </m:accPr>
              <m:e>
                <m:r>
                  <w:rPr>
                    <w:rFonts w:ascii="Cambria Math" w:hAnsi="Cambria Math"/>
                    <w:lang w:val="en-US"/>
                  </w:rPr>
                  <m:t>ω</m:t>
                </m:r>
              </m:e>
            </m:acc>
          </m:e>
          <m:sub>
            <m:r>
              <w:rPr>
                <w:rFonts w:ascii="Cambria Math" w:hAnsi="Cambria Math"/>
                <w:lang w:val="en-US"/>
              </w:rPr>
              <m:t>τ</m:t>
            </m:r>
            <m:r>
              <m:rPr>
                <m:sty m:val="p"/>
              </m:rPr>
              <w:rPr>
                <w:rFonts w:ascii="Cambria Math" w:hAnsi="Cambria Math"/>
                <w:lang w:val="en-US"/>
              </w:rPr>
              <m:t xml:space="preserve">, </m:t>
            </m:r>
            <m:r>
              <w:rPr>
                <w:rFonts w:ascii="Cambria Math" w:hAnsi="Cambria Math"/>
                <w:lang w:val="en-US"/>
              </w:rPr>
              <m:t>y</m:t>
            </m:r>
          </m:sub>
        </m:sSub>
      </m:oMath>
      <w:r w:rsidRPr="00F04787">
        <w:rPr>
          <w:lang w:val="en-US"/>
        </w:rPr>
        <w:t xml:space="preserve"> is the discret</w:t>
      </w:r>
      <w:r>
        <w:rPr>
          <w:lang w:val="en-US"/>
        </w:rPr>
        <w:t>ise</w:t>
      </w:r>
      <w:r w:rsidRPr="00F04787">
        <w:rPr>
          <w:lang w:val="en-US"/>
        </w:rPr>
        <w:t xml:space="preserve">d, normalised infectiousness profile and only depends on profile </w:t>
      </w:r>
      <m:oMath>
        <m:r>
          <w:rPr>
            <w:rFonts w:ascii="Cambria Math" w:hAnsi="Cambria Math"/>
            <w:lang w:val="en-US"/>
          </w:rPr>
          <m:t>y</m:t>
        </m:r>
      </m:oMath>
      <w:r w:rsidRPr="00F04787">
        <w:rPr>
          <w:lang w:val="en-US"/>
        </w:rPr>
        <w:t>, given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5D4FCC" w:rsidRPr="00F04787" w14:paraId="4A2BF9C1" w14:textId="77777777" w:rsidTr="004D4519">
        <w:tc>
          <w:tcPr>
            <w:tcW w:w="8075" w:type="dxa"/>
            <w:vAlign w:val="center"/>
          </w:tcPr>
          <w:p w14:paraId="61A8099C" w14:textId="77777777" w:rsidR="005D4FCC" w:rsidRPr="00F04787" w:rsidRDefault="005D4FCC" w:rsidP="004D4519">
            <w:pPr>
              <w:jc w:val="center"/>
              <w:rPr>
                <w:lang w:val="en-US"/>
              </w:rPr>
            </w:pPr>
            <m:oMathPara>
              <m:oMath>
                <m:sSub>
                  <m:sSubPr>
                    <m:ctrlPr>
                      <w:rPr>
                        <w:rFonts w:ascii="Cambria Math" w:hAnsi="Cambria Math"/>
                        <w:lang w:val="en-US"/>
                      </w:rPr>
                    </m:ctrlPr>
                  </m:sSubPr>
                  <m:e>
                    <m:acc>
                      <m:accPr>
                        <m:ctrlPr>
                          <w:rPr>
                            <w:rFonts w:ascii="Cambria Math" w:hAnsi="Cambria Math"/>
                            <w:i/>
                            <w:lang w:val="en-US"/>
                          </w:rPr>
                        </m:ctrlPr>
                      </m:accPr>
                      <m:e>
                        <m:r>
                          <w:rPr>
                            <w:rFonts w:ascii="Cambria Math" w:hAnsi="Cambria Math"/>
                            <w:lang w:val="en-US"/>
                          </w:rPr>
                          <m:t>ω</m:t>
                        </m:r>
                      </m:e>
                    </m:acc>
                  </m:e>
                  <m:sub>
                    <m:r>
                      <w:rPr>
                        <w:rFonts w:ascii="Cambria Math" w:hAnsi="Cambria Math"/>
                        <w:lang w:val="en-US"/>
                      </w:rPr>
                      <m:t>τ</m:t>
                    </m:r>
                    <m:r>
                      <m:rPr>
                        <m:sty m:val="p"/>
                      </m:rPr>
                      <w:rPr>
                        <w:rFonts w:ascii="Cambria Math" w:hAnsi="Cambria Math"/>
                        <w:lang w:val="en-US"/>
                      </w:rPr>
                      <m:t xml:space="preserve">, </m:t>
                    </m:r>
                    <m:r>
                      <w:rPr>
                        <w:rFonts w:ascii="Cambria Math" w:hAnsi="Cambria Math"/>
                        <w:lang w:val="en-US"/>
                      </w:rPr>
                      <m:t>y</m:t>
                    </m:r>
                  </m:sub>
                </m:sSub>
                <m:r>
                  <w:rPr>
                    <w:rFonts w:ascii="Cambria Math" w:hAnsi="Cambria Math"/>
                    <w:lang w:val="en-US"/>
                  </w:rPr>
                  <m:t>=</m:t>
                </m:r>
                <m:d>
                  <m:dPr>
                    <m:begChr m:val="{"/>
                    <m:endChr m:val=""/>
                    <m:ctrlPr>
                      <w:rPr>
                        <w:rFonts w:ascii="Cambria Math" w:hAnsi="Cambria Math"/>
                        <w:i/>
                        <w:lang w:val="en-US"/>
                      </w:rPr>
                    </m:ctrlPr>
                  </m:dPr>
                  <m:e>
                    <m:eqArr>
                      <m:eqArrPr>
                        <m:ctrlPr>
                          <w:rPr>
                            <w:rFonts w:ascii="Cambria Math" w:hAnsi="Cambria Math"/>
                            <w:i/>
                            <w:lang w:val="en-US"/>
                          </w:rPr>
                        </m:ctrlPr>
                      </m:eqArrPr>
                      <m:e>
                        <m:nary>
                          <m:naryPr>
                            <m:limLoc m:val="subSup"/>
                            <m:ctrlPr>
                              <w:rPr>
                                <w:rFonts w:ascii="Cambria Math" w:hAnsi="Cambria Math"/>
                                <w:i/>
                                <w:lang w:val="en-US"/>
                              </w:rPr>
                            </m:ctrlPr>
                          </m:naryPr>
                          <m:sub>
                            <m:r>
                              <w:rPr>
                                <w:rFonts w:ascii="Cambria Math" w:hAnsi="Cambria Math"/>
                                <w:lang w:val="en-US"/>
                              </w:rPr>
                              <m:t>τ-0.5</m:t>
                            </m:r>
                          </m:sub>
                          <m:sup>
                            <m:r>
                              <w:rPr>
                                <w:rFonts w:ascii="Cambria Math" w:hAnsi="Cambria Math"/>
                                <w:lang w:val="en-US"/>
                              </w:rPr>
                              <m:t>τ+0.5</m:t>
                            </m:r>
                          </m:sup>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y</m:t>
                                </m:r>
                              </m:sub>
                            </m:sSub>
                            <m:d>
                              <m:dPr>
                                <m:ctrlPr>
                                  <w:rPr>
                                    <w:rFonts w:ascii="Cambria Math" w:hAnsi="Cambria Math"/>
                                    <w:i/>
                                    <w:lang w:val="en-US"/>
                                  </w:rPr>
                                </m:ctrlPr>
                              </m:dPr>
                              <m:e>
                                <m:r>
                                  <w:rPr>
                                    <w:rFonts w:ascii="Cambria Math" w:hAnsi="Cambria Math"/>
                                    <w:lang w:val="en-US"/>
                                  </w:rPr>
                                  <m:t>τ</m:t>
                                </m:r>
                              </m:e>
                            </m:d>
                            <m:r>
                              <w:rPr>
                                <w:rFonts w:ascii="Cambria Math" w:hAnsi="Cambria Math"/>
                                <w:lang w:val="en-US"/>
                              </w:rPr>
                              <m:t>dτ</m:t>
                            </m:r>
                          </m:e>
                        </m:nary>
                        <m:r>
                          <w:rPr>
                            <w:rFonts w:ascii="Cambria Math" w:hAnsi="Cambria Math"/>
                            <w:lang w:val="en-US"/>
                          </w:rPr>
                          <m:t xml:space="preserve">     ∀ τ≥2</m:t>
                        </m:r>
                      </m:e>
                      <m:e>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1.5</m:t>
                            </m:r>
                          </m:sup>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y</m:t>
                                </m:r>
                              </m:sub>
                            </m:sSub>
                            <m:d>
                              <m:dPr>
                                <m:ctrlPr>
                                  <w:rPr>
                                    <w:rFonts w:ascii="Cambria Math" w:hAnsi="Cambria Math"/>
                                    <w:i/>
                                    <w:lang w:val="en-US"/>
                                  </w:rPr>
                                </m:ctrlPr>
                              </m:dPr>
                              <m:e>
                                <m:r>
                                  <w:rPr>
                                    <w:rFonts w:ascii="Cambria Math" w:hAnsi="Cambria Math"/>
                                    <w:lang w:val="en-US"/>
                                  </w:rPr>
                                  <m:t>τ</m:t>
                                </m:r>
                              </m:e>
                            </m:d>
                            <m:r>
                              <w:rPr>
                                <w:rFonts w:ascii="Cambria Math" w:hAnsi="Cambria Math"/>
                                <w:lang w:val="en-US"/>
                              </w:rPr>
                              <m:t>dτ</m:t>
                            </m:r>
                          </m:e>
                        </m:nary>
                        <m:r>
                          <w:rPr>
                            <w:rFonts w:ascii="Cambria Math" w:hAnsi="Cambria Math"/>
                            <w:lang w:val="en-US"/>
                          </w:rPr>
                          <m:t xml:space="preserve">         ∀ τ=1</m:t>
                        </m:r>
                      </m:e>
                    </m:eqArr>
                  </m:e>
                </m:d>
              </m:oMath>
            </m:oMathPara>
          </w:p>
        </w:tc>
        <w:tc>
          <w:tcPr>
            <w:tcW w:w="935" w:type="dxa"/>
            <w:vAlign w:val="center"/>
          </w:tcPr>
          <w:p w14:paraId="06857D7E" w14:textId="77777777" w:rsidR="005D4FCC" w:rsidRPr="00F04787" w:rsidRDefault="005D4FCC" w:rsidP="004D4519">
            <w:pPr>
              <w:jc w:val="center"/>
              <w:rPr>
                <w:lang w:val="en-US"/>
              </w:rPr>
            </w:pPr>
            <m:oMathPara>
              <m:oMath>
                <m:r>
                  <w:rPr>
                    <w:rFonts w:ascii="Cambria Math" w:hAnsi="Cambria Math"/>
                    <w:lang w:val="en-US"/>
                  </w:rPr>
                  <m:t>(11)</m:t>
                </m:r>
              </m:oMath>
            </m:oMathPara>
          </w:p>
        </w:tc>
      </w:tr>
    </w:tbl>
    <w:p w14:paraId="708866AE" w14:textId="65D140E6" w:rsidR="005D4FCC" w:rsidRPr="005D4FCC" w:rsidRDefault="005D4FCC" w:rsidP="005D4FCC">
      <w:pPr>
        <w:rPr>
          <w:rFonts w:eastAsiaTheme="minorEastAsia"/>
          <w:lang w:val="en-US"/>
        </w:rPr>
      </w:pPr>
      <w:r w:rsidRPr="00F04787">
        <w:rPr>
          <w:lang w:val="en-US"/>
        </w:rPr>
        <w:t xml:space="preserve">where  </w:t>
      </w:r>
      <m:oMath>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m:t>
            </m:r>
          </m:sup>
          <m:e>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ω</m:t>
                    </m:r>
                  </m:e>
                </m:acc>
              </m:e>
              <m:sub>
                <m:r>
                  <w:rPr>
                    <w:rFonts w:ascii="Cambria Math" w:hAnsi="Cambria Math"/>
                    <w:lang w:val="en-US"/>
                  </w:rPr>
                  <m:t>y</m:t>
                </m:r>
              </m:sub>
            </m:sSub>
            <m:d>
              <m:dPr>
                <m:ctrlPr>
                  <w:rPr>
                    <w:rFonts w:ascii="Cambria Math" w:hAnsi="Cambria Math"/>
                    <w:i/>
                    <w:lang w:val="en-US"/>
                  </w:rPr>
                </m:ctrlPr>
              </m:dPr>
              <m:e>
                <m:r>
                  <w:rPr>
                    <w:rFonts w:ascii="Cambria Math" w:hAnsi="Cambria Math"/>
                    <w:lang w:val="en-US"/>
                  </w:rPr>
                  <m:t>τ</m:t>
                </m:r>
              </m:e>
            </m:d>
            <m:r>
              <w:rPr>
                <w:rFonts w:ascii="Cambria Math" w:hAnsi="Cambria Math"/>
                <w:lang w:val="en-US"/>
              </w:rPr>
              <m:t>dτ</m:t>
            </m:r>
          </m:e>
        </m:nary>
        <m:r>
          <w:rPr>
            <w:rFonts w:ascii="Cambria Math" w:hAnsi="Cambria Math"/>
            <w:lang w:val="en-US"/>
          </w:rPr>
          <m:t>=1</m:t>
        </m:r>
      </m:oMath>
      <w:r w:rsidRPr="00F04787">
        <w:rPr>
          <w:lang w:val="en-US"/>
        </w:rPr>
        <w:t xml:space="preserve">. Note that </w:t>
      </w:r>
      <m:oMath>
        <m:r>
          <w:rPr>
            <w:rFonts w:ascii="Cambria Math" w:hAnsi="Cambria Math"/>
            <w:lang w:val="en-US"/>
          </w:rPr>
          <m:t>y=0</m:t>
        </m:r>
      </m:oMath>
      <w:r w:rsidRPr="00F04787">
        <w:rPr>
          <w:rFonts w:eastAsiaTheme="minorEastAsia"/>
          <w:lang w:val="en-US"/>
        </w:rPr>
        <w:t xml:space="preserve"> denotes the untreated infectiousness profile. </w:t>
      </w:r>
    </w:p>
    <w:p w14:paraId="6E55A7F1" w14:textId="032EE460" w:rsidR="005D4FCC" w:rsidRPr="00F04787" w:rsidRDefault="005D4FCC" w:rsidP="005D4FCC">
      <w:pPr>
        <w:rPr>
          <w:lang w:val="en-US"/>
        </w:rPr>
      </w:pPr>
      <w:r w:rsidRPr="00F04787">
        <w:rPr>
          <w:lang w:val="en-US"/>
        </w:rPr>
        <w:t xml:space="preserve">Given the limited evidence that BXM resistant mutations may be fitter </w:t>
      </w:r>
      <w:r>
        <w:rPr>
          <w:lang w:val="en-US"/>
        </w:rPr>
        <w:t xml:space="preserve">or less fit </w:t>
      </w:r>
      <w:r w:rsidRPr="00F04787">
        <w:rPr>
          <w:lang w:val="en-US"/>
        </w:rPr>
        <w:t>tha</w:t>
      </w:r>
      <w:r>
        <w:rPr>
          <w:lang w:val="en-US"/>
        </w:rPr>
        <w:t>n</w:t>
      </w:r>
      <w:r w:rsidRPr="00F04787">
        <w:rPr>
          <w:lang w:val="en-US"/>
        </w:rPr>
        <w:t xml:space="preserve"> their wild-type BXM-sensitive counterparts</w:t>
      </w:r>
      <w:r w:rsidR="00171471">
        <w:rPr>
          <w:lang w:val="en-US"/>
        </w:rPr>
        <w:t xml:space="preserve"> </w:t>
      </w:r>
      <w:r w:rsidRPr="00F04787">
        <w:rPr>
          <w:lang w:val="en-US"/>
        </w:rPr>
        <w:fldChar w:fldCharType="begin"/>
      </w:r>
      <w:r w:rsidR="006A263E">
        <w:rPr>
          <w:lang w:val="en-US"/>
        </w:rPr>
        <w:instrText xml:space="preserve"> ADDIN ZOTERO_ITEM CSL_CITATION {"citationID":"iIouq2qq","properties":{"formattedCitation":"(Checkmahomed et al., 2020; Hickerson Brady T. et al., 2023; Jones et al., 2022)","plainCitation":"(Checkmahomed et al., 2020; Hickerson Brady T. et al., 2023; Jones et al., 2022)","noteIndex":0},"citationItems":[{"id":80,"uris":["http://zotero.org/users/local/0pdZPGmr/items/I99EQBP6","http://zotero.org/users/9596130/items/I99EQBP6"],"itemData":{"id":80,"type":"article-journal","abstract":"Baloxavir is a cap-dependent inhibitor of the polymerase acid (PA) protein of influenza viruses. While appearing virologically superior to oseltamivir, baloxavir exhibits a low barrier of resistance. We sought to assess the impact of the common baloxavir-resistant I38T PA substitution on in vitro properties and virulence.Influenza A/Quebec/144147/2009 (H1N1)pdm09 and A/Switzerland/9715293/2013 (H3N2) recombinant viruses and their I38T PA mutants were compared in single and competitive infection experiments in ST6GalI-MDCK cells and C57/BL6 mice. Virus titers in cell culture supernatants and lung homogenates were determined by virus yield assays. Ratios of wild-type (WT) and I38T mutant were assessed by digital RT-PCR.I38T substitution did not alter the replication kinetics of A(H1N1)pdm09 and A(H3N2) viruses. In competition experiments, a 50%:50% mixture evolved to 70%:30% (WT/mutant) for A(H1N1) and 88%:12% for A(H3N2) viruses after a single cell passage. The I38T substitution remained stable after 4 passages in vitro. In mice, the WT and its I38T mutant induced similar weight loss with comparable lung titers in both viral subtypes. The mutant virus tended to predominate over the WT in mouse competition experiments.The fitness of baloxavir-resistant I38T PA mutants appears relatively unaltered in seasonal subtypes warranting surveillance for its dissemination.","container-title":"The Journal of Infectious Diseases","DOI":"10.1093/infdis/jiz418","ISSN":"0022-1899","issue":"1","journalAbbreviation":"The Journal of Infectious Diseases","page":"63-70","title":"Impact of the Baloxavir-Resistant Polymerase Acid I38T Substitution on the Fitness of Contemporary Influenza A(H1N1)pdm09 and A(H3N2) Strains","volume":"221","author":[{"family":"Checkmahomed","given":"Liva"},{"family":"M’hamdi","given":"Zeineb"},{"family":"Carbonneau","given":"Julie"},{"family":"Venable","given":"Marie-Christine"},{"family":"Baz","given":"Mariana"},{"family":"Abed","given":"Yacine"},{"family":"Boivin","given":"Guy"}],"issued":{"date-parts":[["2020",1,1]]}}},{"id":81,"uris":["http://zotero.org/users/local/0pdZPGmr/items/NLSUHSZQ","http://zotero.org/users/9596130/items/NLSUHSZQ"],"itemData":{"id":81,"type":"article-journal","abstract":"Author summary Baloxavir is a new and potent anti-influenza drug targeting essential functions of viral replication. Currently, the I38T polymerase acidic protein (PA) substitution is the major marker of reduced susceptibility and potential resistance to baloxavir, but the full baloxavir resistance profile remains unclear. Here, we demonstrated that PA E23G/K substitutions alone weaken baloxavir efficacy, but they also synergize with I38T to impair drug activity further. E23G/K substitutions are located close to the binding site of baloxavir and indirectly weaken key drug-binding interactions. This effect has some negative consequences for virus replication, but E23G/K viruses possess the capacity for airborne spread between naïve ferrets, the gold-standard model of human influenza transmission. Therefore, E23G/K viruses have the potential for community spread, which would adversely affect baloxavir clinical implementation. Our study supports ongoing surveillance for circulating human E23G/K viruses, and it may inform design of enhanced baloxavir-like drugs less susceptible to emergence of viral resistance.","container-title":"PLOS Pathogens","DOI":"10.1371/journal.ppat.1010698","issue":"7","journalAbbreviation":"PLOS Pathogens","note":"publisher: Public Library of Science","page":"e1010698","title":"Influenza A virus polymerase acidic protein E23G/K substitutions weaken key baloxavir drug-binding contacts with minimal impact on replication and transmission","volume":"18","author":[{"family":"Jones","given":"Jeremy C."},{"family":"Zagribelnyy","given":"Bogdan"},{"family":"Pascua","given":"Philippe Noriel Q."},{"family":"Bezrukov","given":"Dmitry S."},{"family":"Barman","given":"Subrata"},{"family":"Okda","given":"Faten"},{"family":"Webby","given":"Richard J."},{"family":"Ivanenkov","given":"Yan A."},{"family":"Govorkova","given":"Elena A."}],"issued":{"date-parts":[["2022",7,13]]}}},{"id":82,"uris":["http://zotero.org/users/local/0pdZPGmr/items/UZ2YKP77","http://zotero.org/users/9596130/items/UZ2YKP77"],"itemData":{"id":82,"type":"article-journal","container-title":"Journal of Virology","DOI":"10.1128/jvi.00154-23","issue":"7","journalAbbreviation":"Journal of Virology","note":"publisher: American Society for Microbiology","page":"e00154-23","title":"Impact of Baloxavir Resistance-Associated Substitutions on Influenza Virus Growth and Drug Susceptibility","volume":"97","author":[{"literal":"Hickerson Brady T."},{"literal":"Petrovskaya Svetlana N."},{"literal":"Dickensheets Harold"},{"literal":"Donnelly Raymond P."},{"literal":"Ince William L."},{"literal":"Ilyushina Natalia A."}],"issued":{"date-parts":[["2023",7,5]]}}}],"schema":"https://github.com/citation-style-language/schema/raw/master/csl-citation.json"} </w:instrText>
      </w:r>
      <w:r w:rsidRPr="00F04787">
        <w:rPr>
          <w:lang w:val="en-US"/>
        </w:rPr>
        <w:fldChar w:fldCharType="separate"/>
      </w:r>
      <w:r w:rsidR="006A263E">
        <w:rPr>
          <w:lang w:val="en-US"/>
        </w:rPr>
        <w:t>(Checkmahomed et al., 2020; Hickerson Brady T. et al., 2023; Jones et al., 2022)</w:t>
      </w:r>
      <w:r w:rsidRPr="00F04787">
        <w:rPr>
          <w:lang w:val="en-US"/>
        </w:rPr>
        <w:fldChar w:fldCharType="end"/>
      </w:r>
      <w:r w:rsidR="00171471">
        <w:rPr>
          <w:lang w:val="en-US"/>
        </w:rPr>
        <w:t>,</w:t>
      </w:r>
      <w:r w:rsidRPr="00F04787">
        <w:rPr>
          <w:lang w:val="en-US"/>
        </w:rPr>
        <w:t xml:space="preserve"> we assumed that there is no difference in either within-host viral replication fitness or between-host transmission advantage between the drug-sensitive and resistant virus. In turn, for individuals who are infected by the drug-resistant variant virus, their infectiousness profiles are similar computed by equation 11 for the untreated infectiousness profile. For individuals who are infected by the drug-sensitive virus but later developed treatment-emergent resistance, given that influenza virus transmission bottleneck is likely tight such that either one variant is transmitted upon an infectious contact</w:t>
      </w:r>
      <w:r w:rsidR="003A5FA7">
        <w:rPr>
          <w:lang w:val="en-US"/>
        </w:rPr>
        <w:t xml:space="preserve"> </w:t>
      </w:r>
      <w:r w:rsidRPr="00F04787">
        <w:rPr>
          <w:lang w:val="en-US"/>
        </w:rPr>
        <w:fldChar w:fldCharType="begin"/>
      </w:r>
      <w:r w:rsidR="006A263E">
        <w:rPr>
          <w:lang w:val="en-US"/>
        </w:rPr>
        <w:instrText xml:space="preserve"> ADDIN ZOTERO_ITEM CSL_CITATION {"citationID":"MSIjw8Ea","properties":{"formattedCitation":"(Morris et al., 2020)","plainCitation":"(Morris et al., 2020)","noteIndex":0},"citationItems":[{"id":54,"uris":["http://zotero.org/users/local/0pdZPGmr/items/ES3B3MLF","http://zotero.org/users/9596130/items/ES3B3MLF"],"itemData":{"id":54,"type":"article-journal","abstract":"Seasonal influenza viruses create a persistent global disease burden by evolving to escape immunity induced by prior infections and vaccinations. New antigenic variants have a substantial selective advantage at the population level, but these variants are rarely selected within-host, even in previously immune individuals. Using a mathematical model, we show that the temporal asynchrony between within-host virus exponential growth and antibody-mediated selection could limit within-host antigenic evolution. If selection for new antigenic variants acts principally at the point of initial virus inoculation, where small virus populations encounter well-matched mucosal antibodies in previously-infected individuals, there can exist protection against reinfection that does not regularly produce observable new antigenic variants within individual infected hosts. Our results provide a theoretical explanation for how virus antigenic evolution can be highly selective at the global level but nearly neutral within-host. They also suggest new avenues for improving influenza control.","container-title":"eLife","DOI":"10.7554/eLife.62105","ISSN":"2050-084X","note":"publisher: eLife Sciences Publications, Ltd","page":"e62105","title":"Asynchrony between virus diversity and antibody selection limits influenza virus evolution","volume":"9","author":[{"family":"Morris","given":"Dylan H"},{"family":"Petrova","given":"Velislava N"},{"family":"Rossine","given":"Fernando W"},{"family":"Parker","given":"Edyth"},{"family":"Grenfell","given":"Bryan T"},{"family":"Neher","given":"Richard A"},{"family":"Levin","given":"Simon A"},{"family":"Russell","given":"Colin A"}],"editor":[{"family":"Walczak","given":"Aleksandra M"},{"family":"Nourmohammad","given":"Armita"},{"family":"Weissman","given":"Daniel B"},{"family":"Illingworth","given":"Christopher JR"}],"issued":{"date-parts":[["2020",11,11]]}}}],"schema":"https://github.com/citation-style-language/schema/raw/master/csl-citation.json"} </w:instrText>
      </w:r>
      <w:r w:rsidRPr="00F04787">
        <w:rPr>
          <w:lang w:val="en-US"/>
        </w:rPr>
        <w:fldChar w:fldCharType="separate"/>
      </w:r>
      <w:r w:rsidR="006A263E">
        <w:rPr>
          <w:lang w:val="en-US"/>
        </w:rPr>
        <w:t>(Morris et al., 2020)</w:t>
      </w:r>
      <w:r w:rsidRPr="00F04787">
        <w:rPr>
          <w:lang w:val="en-US"/>
        </w:rPr>
        <w:fldChar w:fldCharType="end"/>
      </w:r>
      <w:r w:rsidR="003A5FA7">
        <w:rPr>
          <w:lang w:val="en-US"/>
        </w:rPr>
        <w:t>,</w:t>
      </w:r>
      <w:r w:rsidRPr="00F04787">
        <w:rPr>
          <w:lang w:val="en-US"/>
        </w:rPr>
        <w:t xml:space="preserve"> we adjusted the infectiousness profiles of the drug-sensitive (</w:t>
      </w:r>
      <m:oMath>
        <m:sSub>
          <m:sSubPr>
            <m:ctrlPr>
              <w:rPr>
                <w:rFonts w:ascii="Cambria Math" w:eastAsiaTheme="minorEastAsia" w:hAnsi="Cambria Math"/>
                <w:i/>
                <w:lang w:val="en-US" w:eastAsia="zh-CN"/>
              </w:rPr>
            </m:ctrlPr>
          </m:sSubPr>
          <m:e>
            <m:r>
              <m:rPr>
                <m:scr m:val="script"/>
              </m:rPr>
              <w:rPr>
                <w:rFonts w:ascii="Cambria Math" w:hAnsi="Cambria Math"/>
                <w:lang w:val="en-US"/>
              </w:rPr>
              <m:t>V</m:t>
            </m:r>
          </m:e>
          <m:sub>
            <m:r>
              <w:rPr>
                <w:rFonts w:ascii="Cambria Math" w:hAnsi="Cambria Math"/>
                <w:lang w:val="en-US"/>
              </w:rPr>
              <m:t>1</m:t>
            </m:r>
          </m:sub>
        </m:sSub>
      </m:oMath>
      <w:r w:rsidRPr="00F04787">
        <w:rPr>
          <w:rFonts w:eastAsiaTheme="minorEastAsia"/>
          <w:lang w:val="en-US" w:eastAsia="zh-CN"/>
        </w:rPr>
        <w:t>)</w:t>
      </w:r>
      <w:r w:rsidRPr="00F04787">
        <w:rPr>
          <w:lang w:val="en-US"/>
        </w:rPr>
        <w:t xml:space="preserve"> and resistant (</w:t>
      </w:r>
      <m:oMath>
        <m:sSub>
          <m:sSubPr>
            <m:ctrlPr>
              <w:rPr>
                <w:rFonts w:ascii="Cambria Math" w:eastAsiaTheme="minorEastAsia" w:hAnsi="Cambria Math"/>
                <w:i/>
                <w:lang w:val="en-US" w:eastAsia="zh-CN"/>
              </w:rPr>
            </m:ctrlPr>
          </m:sSubPr>
          <m:e>
            <m:r>
              <m:rPr>
                <m:scr m:val="script"/>
              </m:rPr>
              <w:rPr>
                <w:rFonts w:ascii="Cambria Math" w:hAnsi="Cambria Math"/>
                <w:lang w:val="en-US"/>
              </w:rPr>
              <m:t>V</m:t>
            </m:r>
          </m:e>
          <m:sub>
            <m:r>
              <w:rPr>
                <w:rFonts w:ascii="Cambria Math" w:hAnsi="Cambria Math"/>
                <w:lang w:val="en-US"/>
              </w:rPr>
              <m:t>2</m:t>
            </m:r>
          </m:sub>
        </m:sSub>
      </m:oMath>
      <w:r w:rsidRPr="00F04787">
        <w:rPr>
          <w:rFonts w:eastAsiaTheme="minorEastAsia"/>
          <w:lang w:val="en-US" w:eastAsia="zh-CN"/>
        </w:rPr>
        <w:t>)</w:t>
      </w:r>
      <w:r w:rsidRPr="00F04787">
        <w:rPr>
          <w:lang w:val="en-US"/>
        </w:rPr>
        <w:t xml:space="preserve"> viruses such that: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5D4FCC" w:rsidRPr="00F04787" w14:paraId="5FFB5A07" w14:textId="77777777" w:rsidTr="004D4519">
        <w:tc>
          <w:tcPr>
            <w:tcW w:w="8075" w:type="dxa"/>
            <w:vAlign w:val="center"/>
          </w:tcPr>
          <w:p w14:paraId="399BAB50" w14:textId="69A4CC17" w:rsidR="005D4FCC" w:rsidRPr="00F04787" w:rsidRDefault="005D4FCC" w:rsidP="005D4FCC">
            <w:pPr>
              <w:jc w:val="center"/>
              <w:rPr>
                <w:lang w:val="en-US"/>
              </w:rPr>
            </w:pPr>
            <m:oMathPara>
              <m:oMath>
                <m:sSubSup>
                  <m:sSubSupPr>
                    <m:ctrlPr>
                      <w:rPr>
                        <w:rFonts w:ascii="Cambria Math" w:hAnsi="Cambria Math"/>
                        <w:i/>
                        <w:lang w:val="en-US"/>
                      </w:rPr>
                    </m:ctrlPr>
                  </m:sSubSupPr>
                  <m:e>
                    <m:acc>
                      <m:accPr>
                        <m:ctrlPr>
                          <w:rPr>
                            <w:rFonts w:ascii="Cambria Math" w:hAnsi="Cambria Math"/>
                            <w:i/>
                            <w:lang w:val="en-US"/>
                          </w:rPr>
                        </m:ctrlPr>
                      </m:accPr>
                      <m:e>
                        <m:r>
                          <w:rPr>
                            <w:rFonts w:ascii="Cambria Math" w:hAnsi="Cambria Math"/>
                            <w:lang w:val="en-US"/>
                          </w:rPr>
                          <m:t>ω</m:t>
                        </m:r>
                      </m:e>
                    </m:acc>
                  </m:e>
                  <m:sub>
                    <m:r>
                      <w:rPr>
                        <w:rFonts w:ascii="Cambria Math" w:hAnsi="Cambria Math"/>
                        <w:lang w:val="en-US"/>
                      </w:rPr>
                      <m:t>τ</m:t>
                    </m:r>
                    <m:r>
                      <m:rPr>
                        <m:sty m:val="p"/>
                      </m:rPr>
                      <w:rPr>
                        <w:rFonts w:ascii="Cambria Math" w:hAnsi="Cambria Math"/>
                        <w:lang w:val="en-US"/>
                      </w:rPr>
                      <m:t xml:space="preserve">, </m:t>
                    </m:r>
                    <m:r>
                      <w:rPr>
                        <w:rFonts w:ascii="Cambria Math" w:hAnsi="Cambria Math"/>
                        <w:lang w:val="en-US"/>
                      </w:rPr>
                      <m:t>y,</m:t>
                    </m:r>
                    <m:sSub>
                      <m:sSubPr>
                        <m:ctrlPr>
                          <w:rPr>
                            <w:rFonts w:ascii="Cambria Math" w:hAnsi="Cambria Math"/>
                            <w:i/>
                            <w:lang w:val="en-US"/>
                          </w:rPr>
                        </m:ctrlPr>
                      </m:sSubPr>
                      <m:e>
                        <m:r>
                          <m:rPr>
                            <m:scr m:val="script"/>
                          </m:rPr>
                          <w:rPr>
                            <w:rFonts w:ascii="Cambria Math" w:hAnsi="Cambria Math"/>
                            <w:lang w:val="en-US"/>
                          </w:rPr>
                          <m:t>V</m:t>
                        </m:r>
                      </m:e>
                      <m:sub>
                        <m:r>
                          <w:rPr>
                            <w:rFonts w:ascii="Cambria Math" w:hAnsi="Cambria Math"/>
                            <w:lang w:val="en-US"/>
                          </w:rPr>
                          <m:t>1</m:t>
                        </m:r>
                      </m:sub>
                    </m:sSub>
                  </m:sub>
                  <m:sup>
                    <m:r>
                      <w:rPr>
                        <w:rFonts w:ascii="Cambria Math" w:hAnsi="Cambria Math"/>
                        <w:lang w:val="en-US"/>
                      </w:rPr>
                      <m:t>'</m:t>
                    </m:r>
                  </m:sup>
                </m:sSubSup>
                <m:r>
                  <w:rPr>
                    <w:rFonts w:ascii="Cambria Math" w:hAnsi="Cambria Math"/>
                    <w:lang w:val="en-US"/>
                  </w:rPr>
                  <m:t>=</m:t>
                </m:r>
                <m:sSub>
                  <m:sSubPr>
                    <m:ctrlPr>
                      <w:rPr>
                        <w:rFonts w:ascii="Cambria Math" w:hAnsi="Cambria Math"/>
                        <w:lang w:val="en-US"/>
                      </w:rPr>
                    </m:ctrlPr>
                  </m:sSubPr>
                  <m:e>
                    <m:acc>
                      <m:accPr>
                        <m:ctrlPr>
                          <w:rPr>
                            <w:rFonts w:ascii="Cambria Math" w:hAnsi="Cambria Math"/>
                            <w:i/>
                            <w:lang w:val="en-US"/>
                          </w:rPr>
                        </m:ctrlPr>
                      </m:accPr>
                      <m:e>
                        <m:r>
                          <w:rPr>
                            <w:rFonts w:ascii="Cambria Math" w:hAnsi="Cambria Math"/>
                            <w:lang w:val="en-US"/>
                          </w:rPr>
                          <m:t>ω</m:t>
                        </m:r>
                      </m:e>
                    </m:acc>
                  </m:e>
                  <m:sub>
                    <m:r>
                      <w:rPr>
                        <w:rFonts w:ascii="Cambria Math" w:hAnsi="Cambria Math"/>
                        <w:lang w:val="en-US"/>
                      </w:rPr>
                      <m:t>τ</m:t>
                    </m:r>
                    <m:r>
                      <m:rPr>
                        <m:sty m:val="p"/>
                      </m:rPr>
                      <w:rPr>
                        <w:rFonts w:ascii="Cambria Math" w:hAnsi="Cambria Math"/>
                        <w:lang w:val="en-US"/>
                      </w:rPr>
                      <m:t xml:space="preserve">, </m:t>
                    </m:r>
                    <m:r>
                      <w:rPr>
                        <w:rFonts w:ascii="Cambria Math" w:hAnsi="Cambria Math"/>
                        <w:lang w:val="en-US"/>
                      </w:rPr>
                      <m:t>y,</m:t>
                    </m:r>
                    <m:sSub>
                      <m:sSubPr>
                        <m:ctrlPr>
                          <w:rPr>
                            <w:rFonts w:ascii="Cambria Math" w:hAnsi="Cambria Math"/>
                            <w:i/>
                            <w:lang w:val="en-US"/>
                          </w:rPr>
                        </m:ctrlPr>
                      </m:sSubPr>
                      <m:e>
                        <m:r>
                          <m:rPr>
                            <m:scr m:val="script"/>
                          </m:rPr>
                          <w:rPr>
                            <w:rFonts w:ascii="Cambria Math" w:hAnsi="Cambria Math"/>
                            <w:lang w:val="en-US"/>
                          </w:rPr>
                          <m:t>V</m:t>
                        </m:r>
                      </m:e>
                      <m:sub>
                        <m:r>
                          <w:rPr>
                            <w:rFonts w:ascii="Cambria Math" w:hAnsi="Cambria Math"/>
                            <w:lang w:val="en-US"/>
                          </w:rPr>
                          <m:t>1</m:t>
                        </m:r>
                      </m:sub>
                    </m:sSub>
                  </m:sub>
                </m:sSub>
                <m:d>
                  <m:dPr>
                    <m:ctrlPr>
                      <w:rPr>
                        <w:rFonts w:ascii="Cambria Math" w:hAnsi="Cambria Math"/>
                        <w:i/>
                        <w:lang w:val="en-US"/>
                      </w:rPr>
                    </m:ctrlPr>
                  </m:dPr>
                  <m:e>
                    <m:r>
                      <w:rPr>
                        <w:rFonts w:ascii="Cambria Math" w:hAnsi="Cambria Math"/>
                        <w:lang w:val="en-US"/>
                      </w:rPr>
                      <m:t>1-</m:t>
                    </m:r>
                    <m:sSub>
                      <m:sSubPr>
                        <m:ctrlPr>
                          <w:rPr>
                            <w:rFonts w:ascii="Cambria Math" w:hAnsi="Cambria Math"/>
                            <w:lang w:val="en-US"/>
                          </w:rPr>
                        </m:ctrlPr>
                      </m:sSubPr>
                      <m:e>
                        <m:acc>
                          <m:accPr>
                            <m:ctrlPr>
                              <w:rPr>
                                <w:rFonts w:ascii="Cambria Math" w:hAnsi="Cambria Math"/>
                                <w:i/>
                                <w:lang w:val="en-US"/>
                              </w:rPr>
                            </m:ctrlPr>
                          </m:accPr>
                          <m:e>
                            <m:r>
                              <w:rPr>
                                <w:rFonts w:ascii="Cambria Math" w:hAnsi="Cambria Math"/>
                                <w:lang w:val="en-US"/>
                              </w:rPr>
                              <m:t>ω</m:t>
                            </m:r>
                          </m:e>
                        </m:acc>
                      </m:e>
                      <m:sub>
                        <m:r>
                          <w:rPr>
                            <w:rFonts w:ascii="Cambria Math" w:hAnsi="Cambria Math"/>
                            <w:lang w:val="en-US"/>
                          </w:rPr>
                          <m:t>τ</m:t>
                        </m:r>
                        <m:r>
                          <m:rPr>
                            <m:sty m:val="p"/>
                          </m:rPr>
                          <w:rPr>
                            <w:rFonts w:ascii="Cambria Math" w:hAnsi="Cambria Math"/>
                            <w:lang w:val="en-US"/>
                          </w:rPr>
                          <m:t xml:space="preserve">, </m:t>
                        </m:r>
                        <m:r>
                          <w:rPr>
                            <w:rFonts w:ascii="Cambria Math" w:hAnsi="Cambria Math"/>
                            <w:lang w:val="en-US"/>
                          </w:rPr>
                          <m:t>y,</m:t>
                        </m:r>
                        <m:sSub>
                          <m:sSubPr>
                            <m:ctrlPr>
                              <w:rPr>
                                <w:rFonts w:ascii="Cambria Math" w:hAnsi="Cambria Math"/>
                                <w:i/>
                                <w:lang w:val="en-US"/>
                              </w:rPr>
                            </m:ctrlPr>
                          </m:sSubPr>
                          <m:e>
                            <m:r>
                              <m:rPr>
                                <m:scr m:val="script"/>
                              </m:rPr>
                              <w:rPr>
                                <w:rFonts w:ascii="Cambria Math" w:hAnsi="Cambria Math"/>
                                <w:lang w:val="en-US"/>
                              </w:rPr>
                              <m:t>V</m:t>
                            </m:r>
                          </m:e>
                          <m:sub>
                            <m:r>
                              <w:rPr>
                                <w:rFonts w:ascii="Cambria Math" w:hAnsi="Cambria Math"/>
                                <w:lang w:val="en-US"/>
                              </w:rPr>
                              <m:t>2</m:t>
                            </m:r>
                          </m:sub>
                        </m:sSub>
                      </m:sub>
                    </m:sSub>
                  </m:e>
                </m:d>
              </m:oMath>
            </m:oMathPara>
          </w:p>
          <w:p w14:paraId="2407DEC0" w14:textId="77777777" w:rsidR="005D4FCC" w:rsidRPr="00F04787" w:rsidRDefault="005D4FCC" w:rsidP="004D4519">
            <w:pPr>
              <w:jc w:val="center"/>
              <w:rPr>
                <w:lang w:val="en-US"/>
              </w:rPr>
            </w:pPr>
            <m:oMathPara>
              <m:oMath>
                <m:sSubSup>
                  <m:sSubSupPr>
                    <m:ctrlPr>
                      <w:rPr>
                        <w:rFonts w:ascii="Cambria Math" w:hAnsi="Cambria Math"/>
                        <w:i/>
                        <w:lang w:val="en-US"/>
                      </w:rPr>
                    </m:ctrlPr>
                  </m:sSubSupPr>
                  <m:e>
                    <m:acc>
                      <m:accPr>
                        <m:ctrlPr>
                          <w:rPr>
                            <w:rFonts w:ascii="Cambria Math" w:hAnsi="Cambria Math"/>
                            <w:i/>
                            <w:lang w:val="en-US"/>
                          </w:rPr>
                        </m:ctrlPr>
                      </m:accPr>
                      <m:e>
                        <m:r>
                          <w:rPr>
                            <w:rFonts w:ascii="Cambria Math" w:hAnsi="Cambria Math"/>
                            <w:lang w:val="en-US"/>
                          </w:rPr>
                          <m:t>ω</m:t>
                        </m:r>
                      </m:e>
                    </m:acc>
                  </m:e>
                  <m:sub>
                    <m:r>
                      <w:rPr>
                        <w:rFonts w:ascii="Cambria Math" w:hAnsi="Cambria Math"/>
                        <w:lang w:val="en-US"/>
                      </w:rPr>
                      <m:t>τ</m:t>
                    </m:r>
                    <m:r>
                      <m:rPr>
                        <m:sty m:val="p"/>
                      </m:rPr>
                      <w:rPr>
                        <w:rFonts w:ascii="Cambria Math" w:hAnsi="Cambria Math"/>
                        <w:lang w:val="en-US"/>
                      </w:rPr>
                      <m:t xml:space="preserve">, </m:t>
                    </m:r>
                    <m:r>
                      <w:rPr>
                        <w:rFonts w:ascii="Cambria Math" w:hAnsi="Cambria Math"/>
                        <w:lang w:val="en-US"/>
                      </w:rPr>
                      <m:t>y,</m:t>
                    </m:r>
                    <m:sSub>
                      <m:sSubPr>
                        <m:ctrlPr>
                          <w:rPr>
                            <w:rFonts w:ascii="Cambria Math" w:hAnsi="Cambria Math"/>
                            <w:i/>
                            <w:lang w:val="en-US"/>
                          </w:rPr>
                        </m:ctrlPr>
                      </m:sSubPr>
                      <m:e>
                        <m:r>
                          <m:rPr>
                            <m:scr m:val="script"/>
                          </m:rPr>
                          <w:rPr>
                            <w:rFonts w:ascii="Cambria Math" w:hAnsi="Cambria Math"/>
                            <w:lang w:val="en-US"/>
                          </w:rPr>
                          <m:t>V</m:t>
                        </m:r>
                      </m:e>
                      <m:sub>
                        <m:r>
                          <w:rPr>
                            <w:rFonts w:ascii="Cambria Math" w:hAnsi="Cambria Math"/>
                            <w:lang w:val="en-US"/>
                          </w:rPr>
                          <m:t>2</m:t>
                        </m:r>
                      </m:sub>
                    </m:sSub>
                  </m:sub>
                  <m:sup>
                    <m:r>
                      <w:rPr>
                        <w:rFonts w:ascii="Cambria Math" w:hAnsi="Cambria Math"/>
                        <w:lang w:val="en-US"/>
                      </w:rPr>
                      <m:t>'</m:t>
                    </m:r>
                  </m:sup>
                </m:sSubSup>
                <m:r>
                  <w:rPr>
                    <w:rFonts w:ascii="Cambria Math" w:hAnsi="Cambria Math"/>
                    <w:lang w:val="en-US"/>
                  </w:rPr>
                  <m:t>=</m:t>
                </m:r>
                <m:sSub>
                  <m:sSubPr>
                    <m:ctrlPr>
                      <w:rPr>
                        <w:rFonts w:ascii="Cambria Math" w:hAnsi="Cambria Math"/>
                        <w:lang w:val="en-US"/>
                      </w:rPr>
                    </m:ctrlPr>
                  </m:sSubPr>
                  <m:e>
                    <m:acc>
                      <m:accPr>
                        <m:ctrlPr>
                          <w:rPr>
                            <w:rFonts w:ascii="Cambria Math" w:hAnsi="Cambria Math"/>
                            <w:i/>
                            <w:lang w:val="en-US"/>
                          </w:rPr>
                        </m:ctrlPr>
                      </m:accPr>
                      <m:e>
                        <m:r>
                          <w:rPr>
                            <w:rFonts w:ascii="Cambria Math" w:hAnsi="Cambria Math"/>
                            <w:lang w:val="en-US"/>
                          </w:rPr>
                          <m:t>ω</m:t>
                        </m:r>
                      </m:e>
                    </m:acc>
                  </m:e>
                  <m:sub>
                    <m:r>
                      <w:rPr>
                        <w:rFonts w:ascii="Cambria Math" w:hAnsi="Cambria Math"/>
                        <w:lang w:val="en-US"/>
                      </w:rPr>
                      <m:t>τ</m:t>
                    </m:r>
                    <m:r>
                      <m:rPr>
                        <m:sty m:val="p"/>
                      </m:rPr>
                      <w:rPr>
                        <w:rFonts w:ascii="Cambria Math" w:hAnsi="Cambria Math"/>
                        <w:lang w:val="en-US"/>
                      </w:rPr>
                      <m:t xml:space="preserve">, </m:t>
                    </m:r>
                    <m:r>
                      <w:rPr>
                        <w:rFonts w:ascii="Cambria Math" w:hAnsi="Cambria Math"/>
                        <w:lang w:val="en-US"/>
                      </w:rPr>
                      <m:t>y,</m:t>
                    </m:r>
                    <m:sSub>
                      <m:sSubPr>
                        <m:ctrlPr>
                          <w:rPr>
                            <w:rFonts w:ascii="Cambria Math" w:hAnsi="Cambria Math"/>
                            <w:i/>
                            <w:lang w:val="en-US"/>
                          </w:rPr>
                        </m:ctrlPr>
                      </m:sSubPr>
                      <m:e>
                        <m:r>
                          <m:rPr>
                            <m:scr m:val="script"/>
                          </m:rPr>
                          <w:rPr>
                            <w:rFonts w:ascii="Cambria Math" w:hAnsi="Cambria Math"/>
                            <w:lang w:val="en-US"/>
                          </w:rPr>
                          <m:t>V</m:t>
                        </m:r>
                      </m:e>
                      <m:sub>
                        <m:r>
                          <w:rPr>
                            <w:rFonts w:ascii="Cambria Math" w:hAnsi="Cambria Math"/>
                            <w:lang w:val="en-US"/>
                          </w:rPr>
                          <m:t>2</m:t>
                        </m:r>
                      </m:sub>
                    </m:sSub>
                  </m:sub>
                </m:sSub>
                <m:r>
                  <w:rPr>
                    <w:rFonts w:ascii="Cambria Math" w:hAnsi="Cambria Math"/>
                    <w:lang w:val="en-US"/>
                  </w:rPr>
                  <m:t>(1-</m:t>
                </m:r>
                <m:sSub>
                  <m:sSubPr>
                    <m:ctrlPr>
                      <w:rPr>
                        <w:rFonts w:ascii="Cambria Math" w:hAnsi="Cambria Math"/>
                        <w:lang w:val="en-US"/>
                      </w:rPr>
                    </m:ctrlPr>
                  </m:sSubPr>
                  <m:e>
                    <m:acc>
                      <m:accPr>
                        <m:ctrlPr>
                          <w:rPr>
                            <w:rFonts w:ascii="Cambria Math" w:hAnsi="Cambria Math"/>
                            <w:i/>
                            <w:lang w:val="en-US"/>
                          </w:rPr>
                        </m:ctrlPr>
                      </m:accPr>
                      <m:e>
                        <m:r>
                          <w:rPr>
                            <w:rFonts w:ascii="Cambria Math" w:hAnsi="Cambria Math"/>
                            <w:lang w:val="en-US"/>
                          </w:rPr>
                          <m:t>ω</m:t>
                        </m:r>
                      </m:e>
                    </m:acc>
                  </m:e>
                  <m:sub>
                    <m:r>
                      <w:rPr>
                        <w:rFonts w:ascii="Cambria Math" w:hAnsi="Cambria Math"/>
                        <w:lang w:val="en-US"/>
                      </w:rPr>
                      <m:t>τ</m:t>
                    </m:r>
                    <m:r>
                      <m:rPr>
                        <m:sty m:val="p"/>
                      </m:rPr>
                      <w:rPr>
                        <w:rFonts w:ascii="Cambria Math" w:hAnsi="Cambria Math"/>
                        <w:lang w:val="en-US"/>
                      </w:rPr>
                      <m:t xml:space="preserve">, </m:t>
                    </m:r>
                    <m:r>
                      <w:rPr>
                        <w:rFonts w:ascii="Cambria Math" w:hAnsi="Cambria Math"/>
                        <w:lang w:val="en-US"/>
                      </w:rPr>
                      <m:t>y,</m:t>
                    </m:r>
                    <m:sSub>
                      <m:sSubPr>
                        <m:ctrlPr>
                          <w:rPr>
                            <w:rFonts w:ascii="Cambria Math" w:hAnsi="Cambria Math"/>
                            <w:i/>
                            <w:lang w:val="en-US"/>
                          </w:rPr>
                        </m:ctrlPr>
                      </m:sSubPr>
                      <m:e>
                        <m:r>
                          <m:rPr>
                            <m:scr m:val="script"/>
                          </m:rPr>
                          <w:rPr>
                            <w:rFonts w:ascii="Cambria Math" w:hAnsi="Cambria Math"/>
                            <w:lang w:val="en-US"/>
                          </w:rPr>
                          <m:t>V</m:t>
                        </m:r>
                      </m:e>
                      <m:sub>
                        <m:r>
                          <w:rPr>
                            <w:rFonts w:ascii="Cambria Math" w:hAnsi="Cambria Math"/>
                            <w:lang w:val="en-US"/>
                          </w:rPr>
                          <m:t>1</m:t>
                        </m:r>
                      </m:sub>
                    </m:sSub>
                  </m:sub>
                </m:sSub>
                <m:r>
                  <w:rPr>
                    <w:rFonts w:ascii="Cambria Math" w:hAnsi="Cambria Math"/>
                    <w:lang w:val="en-US"/>
                  </w:rPr>
                  <m:t>)</m:t>
                </m:r>
              </m:oMath>
            </m:oMathPara>
          </w:p>
        </w:tc>
        <w:tc>
          <w:tcPr>
            <w:tcW w:w="935" w:type="dxa"/>
            <w:vAlign w:val="center"/>
          </w:tcPr>
          <w:p w14:paraId="5CF9388D" w14:textId="77777777" w:rsidR="005D4FCC" w:rsidRPr="00F04787" w:rsidRDefault="005D4FCC" w:rsidP="004D4519">
            <w:pPr>
              <w:jc w:val="center"/>
              <w:rPr>
                <w:lang w:val="en-US"/>
              </w:rPr>
            </w:pPr>
          </w:p>
        </w:tc>
      </w:tr>
    </w:tbl>
    <w:p w14:paraId="77E37DC4" w14:textId="63F304C0" w:rsidR="005D4FCC" w:rsidRPr="00F04787" w:rsidRDefault="005D4FCC" w:rsidP="005D4FCC">
      <w:pPr>
        <w:rPr>
          <w:lang w:val="en-US"/>
        </w:rPr>
      </w:pP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t,y,α→a</m:t>
            </m:r>
          </m:sub>
        </m:sSub>
      </m:oMath>
      <w:r w:rsidRPr="00F04787">
        <w:rPr>
          <w:lang w:val="en-US"/>
        </w:rPr>
        <w:t xml:space="preserve"> depends on the remaining number of susceptible individuals in age group </w:t>
      </w:r>
      <m:oMath>
        <m:r>
          <w:rPr>
            <w:rFonts w:ascii="Cambria Math" w:hAnsi="Cambria Math"/>
            <w:lang w:val="en-US"/>
          </w:rPr>
          <m:t>a</m:t>
        </m:r>
      </m:oMath>
      <w:r w:rsidRPr="00F04787">
        <w:rPr>
          <w:lang w:val="en-US"/>
        </w:rPr>
        <w:t xml:space="preserve"> on day </w:t>
      </w:r>
      <m:oMath>
        <m:r>
          <w:rPr>
            <w:rFonts w:ascii="Cambria Math" w:hAnsi="Cambria Math"/>
            <w:lang w:val="en-US"/>
          </w:rPr>
          <m:t>t</m:t>
        </m:r>
      </m:oMath>
      <w:r w:rsidRPr="00F04787">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t,a</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a</m:t>
            </m:r>
          </m:sub>
        </m:sSub>
        <m:r>
          <w:rPr>
            <w:rFonts w:ascii="Cambria Math" w:hAnsi="Cambria Math"/>
            <w:lang w:val="en-US"/>
          </w:rPr>
          <m:t>-</m:t>
        </m:r>
        <m:nary>
          <m:naryPr>
            <m:chr m:val="∑"/>
            <m:supHide m:val="1"/>
            <m:ctrlPr>
              <w:rPr>
                <w:rFonts w:ascii="Cambria Math" w:hAnsi="Cambria Math"/>
                <w:i/>
                <w:lang w:val="en-US"/>
              </w:rPr>
            </m:ctrlPr>
          </m:naryPr>
          <m:sub>
            <m:r>
              <w:rPr>
                <w:rFonts w:ascii="Cambria Math" w:hAnsi="Cambria Math"/>
                <w:lang w:val="en-US"/>
              </w:rPr>
              <m:t>t</m:t>
            </m:r>
          </m:sub>
          <m:sup/>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t,a</m:t>
                </m:r>
              </m:sub>
            </m:sSub>
          </m:e>
        </m:nary>
      </m:oMath>
      <w:r w:rsidRPr="00F04787">
        <w:rPr>
          <w:rFonts w:eastAsiaTheme="minorEastAsia"/>
          <w:lang w:val="en-US"/>
        </w:rPr>
        <w:t xml:space="preserve"> where </w:t>
      </w: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a</m:t>
            </m:r>
          </m:sub>
        </m:sSub>
      </m:oMath>
      <w:r w:rsidRPr="00F04787">
        <w:rPr>
          <w:rFonts w:eastAsiaTheme="minorEastAsia"/>
          <w:lang w:val="en-US"/>
        </w:rPr>
        <w:t xml:space="preserve"> is the number of individuals of age group </w:t>
      </w:r>
      <m:oMath>
        <m:r>
          <w:rPr>
            <w:rFonts w:ascii="Cambria Math" w:hAnsi="Cambria Math"/>
            <w:lang w:val="en-US"/>
          </w:rPr>
          <m:t>a</m:t>
        </m:r>
      </m:oMath>
      <w:r w:rsidRPr="00F04787">
        <w:rPr>
          <w:rFonts w:eastAsiaTheme="minorEastAsia"/>
          <w:lang w:val="en-US"/>
        </w:rPr>
        <w:t xml:space="preserve"> in the simulated population)</w:t>
      </w:r>
      <w:r w:rsidRPr="00F04787">
        <w:rPr>
          <w:lang w:val="en-US"/>
        </w:rPr>
        <w:t xml:space="preserve">, the number of susceptible individuals in age group </w:t>
      </w:r>
      <m:oMath>
        <m:r>
          <w:rPr>
            <w:rFonts w:ascii="Cambria Math" w:hAnsi="Cambria Math"/>
            <w:lang w:val="en-US"/>
          </w:rPr>
          <m:t>a</m:t>
        </m:r>
      </m:oMath>
      <w:r w:rsidRPr="00F04787">
        <w:rPr>
          <w:lang w:val="en-US"/>
        </w:rPr>
        <w:t xml:space="preserve"> who were administered antivirals as post-exposure prophylaxis </w:t>
      </w:r>
      <m:oMath>
        <m:r>
          <w:rPr>
            <w:rFonts w:ascii="Cambria Math" w:hAnsi="Cambria Math"/>
            <w:lang w:val="en-US"/>
          </w:rPr>
          <m:t>ρ</m:t>
        </m:r>
      </m:oMath>
      <w:r w:rsidRPr="00F04787">
        <w:rPr>
          <w:rFonts w:eastAsiaTheme="minorEastAsia"/>
          <w:lang w:val="en-US"/>
        </w:rPr>
        <w:t xml:space="preserve"> days ago</w:t>
      </w:r>
      <w:r w:rsidRPr="00F04787">
        <w:rPr>
          <w:lang w:val="en-US"/>
        </w:rPr>
        <w:t xml:space="preserve"> (</w:t>
      </w:r>
      <m:oMath>
        <m:sSubSup>
          <m:sSubSupPr>
            <m:ctrlPr>
              <w:rPr>
                <w:rFonts w:ascii="Cambria Math" w:eastAsiaTheme="minorEastAsia" w:hAnsi="Cambria Math"/>
                <w:i/>
                <w:lang w:val="en-US" w:eastAsia="zh-CN"/>
              </w:rPr>
            </m:ctrlPr>
          </m:sSubSupPr>
          <m:e>
            <m:r>
              <w:rPr>
                <w:rFonts w:ascii="Cambria Math" w:hAnsi="Cambria Math"/>
                <w:lang w:val="en-US"/>
              </w:rPr>
              <m:t>S</m:t>
            </m:r>
          </m:e>
          <m:sub>
            <m:r>
              <w:rPr>
                <w:rFonts w:ascii="Cambria Math" w:hAnsi="Cambria Math"/>
                <w:lang w:val="en-US"/>
              </w:rPr>
              <m:t>ρ,a</m:t>
            </m:r>
          </m:sub>
          <m:sup>
            <m:r>
              <w:rPr>
                <w:rFonts w:ascii="Cambria Math" w:hAnsi="Cambria Math"/>
                <w:lang w:val="en-US"/>
              </w:rPr>
              <m:t>PEP</m:t>
            </m:r>
          </m:sup>
        </m:sSubSup>
      </m:oMath>
      <w:r w:rsidRPr="00F04787">
        <w:rPr>
          <w:rFonts w:eastAsiaTheme="minorEastAsia"/>
          <w:lang w:val="en-US" w:eastAsia="zh-CN"/>
        </w:rPr>
        <w:t>)</w:t>
      </w:r>
      <w:r w:rsidRPr="00F04787">
        <w:rPr>
          <w:lang w:val="en-US"/>
        </w:rPr>
        <w:t xml:space="preserve"> that reduces the likelihood of infection by </w:t>
      </w:r>
      <m:oMath>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PEP</m:t>
            </m:r>
          </m:sub>
        </m:sSub>
      </m:oMath>
      <w:r w:rsidRPr="00F04787">
        <w:rPr>
          <w:lang w:val="en-US"/>
        </w:rPr>
        <w:t xml:space="preserve"> over a time period of </w:t>
      </w:r>
      <m:oMath>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PEP</m:t>
            </m:r>
          </m:sub>
        </m:sSub>
      </m:oMath>
      <w:r w:rsidRPr="00F04787">
        <w:rPr>
          <w:rFonts w:eastAsiaTheme="minorEastAsia"/>
          <w:lang w:val="en-US"/>
        </w:rPr>
        <w:t xml:space="preserve"> days (i.e. </w:t>
      </w:r>
      <m:oMath>
        <m:r>
          <w:rPr>
            <w:rFonts w:ascii="Cambria Math" w:hAnsi="Cambria Math"/>
            <w:lang w:val="en-US"/>
          </w:rPr>
          <m:t>ρ&lt;</m:t>
        </m:r>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PEP</m:t>
            </m:r>
          </m:sub>
        </m:sSub>
      </m:oMath>
      <w:r w:rsidRPr="00F04787">
        <w:rPr>
          <w:rFonts w:eastAsiaTheme="minorEastAsia"/>
          <w:lang w:val="en-US"/>
        </w:rPr>
        <w:t>),</w:t>
      </w:r>
      <w:r w:rsidRPr="00F04787">
        <w:rPr>
          <w:lang w:val="en-US"/>
        </w:rPr>
        <w:t xml:space="preserve"> the relative risk of infection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α→a</m:t>
            </m:r>
          </m:sub>
        </m:sSub>
      </m:oMath>
      <w:r w:rsidRPr="00F04787">
        <w:rPr>
          <w:lang w:val="en-US"/>
        </w:rPr>
        <w:t xml:space="preserve"> of susceptible individuals in age group </w:t>
      </w:r>
      <m:oMath>
        <m:r>
          <w:rPr>
            <w:rFonts w:ascii="Cambria Math" w:hAnsi="Cambria Math"/>
            <w:lang w:val="en-US"/>
          </w:rPr>
          <m:t>a</m:t>
        </m:r>
      </m:oMath>
      <w:r w:rsidRPr="00F04787">
        <w:rPr>
          <w:lang w:val="en-US"/>
        </w:rPr>
        <w:t xml:space="preserve"> by infected individuals belonging to age group </w:t>
      </w:r>
      <m:oMath>
        <m:r>
          <w:rPr>
            <w:rFonts w:ascii="Cambria Math" w:hAnsi="Cambria Math"/>
            <w:lang w:val="en-US"/>
          </w:rPr>
          <m:t>α</m:t>
        </m:r>
      </m:oMath>
      <w:r w:rsidRPr="00F04787">
        <w:rPr>
          <w:lang w:val="en-US"/>
        </w:rPr>
        <w:t xml:space="preserve"> (assumed to be constant over time) and the impact of infectiousness profile </w:t>
      </w:r>
      <m:oMath>
        <m:r>
          <w:rPr>
            <w:rFonts w:ascii="Cambria Math" w:hAnsi="Cambria Math"/>
            <w:lang w:val="en-US"/>
          </w:rPr>
          <m:t>y</m:t>
        </m:r>
      </m:oMath>
      <w:r w:rsidRPr="00F04787">
        <w:rPr>
          <w:lang w:val="en-US"/>
        </w:rPr>
        <w:t xml:space="preserve"> on </w:t>
      </w:r>
      <w:r>
        <w:rPr>
          <w:lang w:val="en-US"/>
        </w:rPr>
        <w:t>mean</w:t>
      </w:r>
      <w:r w:rsidRPr="00F04787">
        <w:rPr>
          <w:lang w:val="en-US"/>
        </w:rPr>
        <w:t xml:space="preserve"> infectious period: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5D4FCC" w:rsidRPr="00F04787" w14:paraId="5CB4F33F" w14:textId="77777777" w:rsidTr="004D4519">
        <w:tc>
          <w:tcPr>
            <w:tcW w:w="8075" w:type="dxa"/>
            <w:vAlign w:val="center"/>
          </w:tcPr>
          <w:p w14:paraId="6D5CCC13" w14:textId="77777777" w:rsidR="005D4FCC" w:rsidRPr="00F04787" w:rsidRDefault="005D4FCC" w:rsidP="004D4519">
            <w:pPr>
              <w:jc w:val="center"/>
              <w:rPr>
                <w:lang w:val="en-US"/>
              </w:rPr>
            </w:pPr>
            <m:oMathPara>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t,y,α→a</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t,a</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PEP</m:t>
                        </m:r>
                      </m:sub>
                    </m:sSub>
                    <m:nary>
                      <m:naryPr>
                        <m:chr m:val="∑"/>
                        <m:limLoc m:val="undOvr"/>
                        <m:ctrlPr>
                          <w:rPr>
                            <w:rFonts w:ascii="Cambria Math" w:hAnsi="Cambria Math"/>
                            <w:i/>
                            <w:lang w:val="en-US"/>
                          </w:rPr>
                        </m:ctrlPr>
                      </m:naryPr>
                      <m:sub>
                        <m:r>
                          <w:rPr>
                            <w:rFonts w:ascii="Cambria Math" w:hAnsi="Cambria Math"/>
                            <w:lang w:val="en-US"/>
                          </w:rPr>
                          <m:t>t-</m:t>
                        </m:r>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PEP</m:t>
                            </m:r>
                          </m:sub>
                        </m:sSub>
                      </m:sub>
                      <m:sup>
                        <m:r>
                          <w:rPr>
                            <w:rFonts w:ascii="Cambria Math" w:hAnsi="Cambria Math"/>
                            <w:lang w:val="en-US"/>
                          </w:rPr>
                          <m:t>t-1</m:t>
                        </m:r>
                      </m:sup>
                      <m:e>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t,a</m:t>
                            </m:r>
                          </m:sub>
                          <m:sup>
                            <m:r>
                              <w:rPr>
                                <w:rFonts w:ascii="Cambria Math" w:hAnsi="Cambria Math"/>
                                <w:lang w:val="en-US"/>
                              </w:rPr>
                              <m:t>PEP</m:t>
                            </m:r>
                          </m:sup>
                        </m:sSubSup>
                      </m:e>
                    </m:nary>
                  </m:num>
                  <m:den>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a</m:t>
                        </m:r>
                      </m:sub>
                    </m:sSub>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α→a</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y</m:t>
                        </m:r>
                      </m:sub>
                    </m:sSub>
                  </m:e>
                </m:d>
                <m:r>
                  <w:rPr>
                    <w:rFonts w:ascii="Cambria Math" w:hAnsi="Cambria Math"/>
                    <w:lang w:val="en-US"/>
                  </w:rPr>
                  <m:t>⋅R</m:t>
                </m:r>
              </m:oMath>
            </m:oMathPara>
          </w:p>
        </w:tc>
        <w:tc>
          <w:tcPr>
            <w:tcW w:w="935" w:type="dxa"/>
            <w:vAlign w:val="center"/>
          </w:tcPr>
          <w:p w14:paraId="1C0DE91E" w14:textId="77777777" w:rsidR="005D4FCC" w:rsidRPr="00F04787" w:rsidRDefault="005D4FCC" w:rsidP="004D4519">
            <w:pPr>
              <w:jc w:val="center"/>
              <w:rPr>
                <w:lang w:val="en-US"/>
              </w:rPr>
            </w:pPr>
            <m:oMathPara>
              <m:oMath>
                <m:r>
                  <w:rPr>
                    <w:rFonts w:ascii="Cambria Math" w:hAnsi="Cambria Math"/>
                    <w:lang w:val="en-US"/>
                  </w:rPr>
                  <m:t>(12)</m:t>
                </m:r>
              </m:oMath>
            </m:oMathPara>
          </w:p>
        </w:tc>
      </w:tr>
    </w:tbl>
    <w:p w14:paraId="3CFCFBE8" w14:textId="1C416119" w:rsidR="005D4FCC" w:rsidRPr="005D4FCC" w:rsidRDefault="005D4FCC" w:rsidP="005D4FCC">
      <w:pPr>
        <w:rPr>
          <w:rFonts w:eastAsiaTheme="minorEastAsia"/>
          <w:lang w:val="en-US" w:eastAsia="zh-CN"/>
        </w:rPr>
      </w:pPr>
      <w:r w:rsidRPr="00F04787">
        <w:rPr>
          <w:lang w:val="en-US"/>
        </w:rPr>
        <w:t xml:space="preserve">where </w:t>
      </w:r>
      <m:oMath>
        <m:r>
          <w:rPr>
            <w:rFonts w:ascii="Cambria Math" w:hAnsi="Cambria Math"/>
            <w:lang w:val="en-US"/>
          </w:rPr>
          <m:t>R</m:t>
        </m:r>
      </m:oMath>
      <w:r w:rsidRPr="00F04787">
        <w:rPr>
          <w:lang w:val="en-US"/>
        </w:rPr>
        <w:t xml:space="preserve"> is the basic reproduction number of the simulated pandemic scenario</w:t>
      </w:r>
      <w:r w:rsidRPr="00F04787">
        <w:rPr>
          <w:rFonts w:eastAsiaTheme="minorEastAsia"/>
          <w:lang w:val="en-US" w:eastAsia="zh-CN"/>
        </w:rPr>
        <w:t xml:space="preserve">. </w:t>
      </w:r>
    </w:p>
    <w:p w14:paraId="76CB1213" w14:textId="6EA223D3" w:rsidR="005D4FCC" w:rsidRPr="00F04787" w:rsidRDefault="005D4FCC" w:rsidP="005D4FCC">
      <w:pPr>
        <w:rPr>
          <w:lang w:val="en-US"/>
        </w:rPr>
      </w:pPr>
      <w:r w:rsidRPr="00F04787">
        <w:rPr>
          <w:lang w:val="en-US"/>
        </w:rPr>
        <w:t xml:space="preserve">Infected individuals with different infectiousness profile </w:t>
      </w:r>
      <m:oMath>
        <m:r>
          <w:rPr>
            <w:rFonts w:ascii="Cambria Math" w:hAnsi="Cambria Math"/>
            <w:lang w:val="en-US"/>
          </w:rPr>
          <m:t>y</m:t>
        </m:r>
      </m:oMath>
      <w:r w:rsidRPr="00F04787">
        <w:rPr>
          <w:lang w:val="en-US"/>
        </w:rPr>
        <w:t xml:space="preserve"> change their </w:t>
      </w:r>
      <w:r>
        <w:rPr>
          <w:lang w:val="en-US"/>
        </w:rPr>
        <w:t>mean</w:t>
      </w:r>
      <w:r w:rsidRPr="00F04787">
        <w:rPr>
          <w:lang w:val="en-US"/>
        </w:rPr>
        <w:t xml:space="preserve"> infectiousness by a factor </w:t>
      </w:r>
      <m:oMath>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y</m:t>
            </m:r>
          </m:sub>
        </m:sSub>
      </m:oMath>
      <w:r w:rsidRPr="00F04787">
        <w:rPr>
          <w:lang w:val="en-US"/>
        </w:rPr>
        <w:t xml:space="preserve"> given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5D4FCC" w:rsidRPr="00F04787" w14:paraId="38E00477" w14:textId="77777777" w:rsidTr="004D4519">
        <w:tc>
          <w:tcPr>
            <w:tcW w:w="8075" w:type="dxa"/>
            <w:vAlign w:val="center"/>
          </w:tcPr>
          <w:p w14:paraId="67814A14" w14:textId="77777777" w:rsidR="005D4FCC" w:rsidRPr="00F04787" w:rsidRDefault="005D4FCC" w:rsidP="004D4519">
            <w:pPr>
              <w:jc w:val="center"/>
              <w:rPr>
                <w:lang w:val="en-US"/>
              </w:rPr>
            </w:pPr>
            <m:oMathPara>
              <m:oMath>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y</m:t>
                    </m:r>
                  </m:sub>
                </m:sSub>
                <m:r>
                  <w:rPr>
                    <w:rFonts w:ascii="Cambria Math" w:hAnsi="Cambria Math"/>
                    <w:lang w:val="en-US"/>
                  </w:rPr>
                  <m:t>=</m:t>
                </m:r>
                <m:f>
                  <m:fPr>
                    <m:ctrlPr>
                      <w:rPr>
                        <w:rFonts w:ascii="Cambria Math" w:hAnsi="Cambria Math"/>
                        <w:i/>
                        <w:lang w:val="en-US"/>
                      </w:rPr>
                    </m:ctrlPr>
                  </m:fPr>
                  <m:num>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m:t>
                        </m:r>
                      </m:sup>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y</m:t>
                            </m:r>
                          </m:sub>
                        </m:sSub>
                        <m:d>
                          <m:dPr>
                            <m:ctrlPr>
                              <w:rPr>
                                <w:rFonts w:ascii="Cambria Math" w:hAnsi="Cambria Math"/>
                                <w:i/>
                                <w:lang w:val="en-US"/>
                              </w:rPr>
                            </m:ctrlPr>
                          </m:dPr>
                          <m:e>
                            <m:r>
                              <w:rPr>
                                <w:rFonts w:ascii="Cambria Math" w:hAnsi="Cambria Math"/>
                                <w:lang w:val="en-US"/>
                              </w:rPr>
                              <m:t>τ</m:t>
                            </m:r>
                          </m:e>
                        </m:d>
                        <m:r>
                          <w:rPr>
                            <w:rFonts w:ascii="Cambria Math" w:hAnsi="Cambria Math"/>
                            <w:lang w:val="en-US"/>
                          </w:rPr>
                          <m:t>dτ</m:t>
                        </m:r>
                      </m:e>
                    </m:nary>
                  </m:num>
                  <m:den>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m:t>
                        </m:r>
                      </m:sup>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y=</m:t>
                            </m:r>
                            <m:r>
                              <m:rPr>
                                <m:nor/>
                              </m:rPr>
                              <w:rPr>
                                <w:rFonts w:ascii="Cambria Math" w:hAnsi="Cambria Math"/>
                                <w:lang w:val="en-US"/>
                              </w:rPr>
                              <m:t>untreated</m:t>
                            </m:r>
                          </m:sub>
                        </m:sSub>
                        <m:d>
                          <m:dPr>
                            <m:ctrlPr>
                              <w:rPr>
                                <w:rFonts w:ascii="Cambria Math" w:hAnsi="Cambria Math"/>
                                <w:i/>
                                <w:lang w:val="en-US"/>
                              </w:rPr>
                            </m:ctrlPr>
                          </m:dPr>
                          <m:e>
                            <m:r>
                              <w:rPr>
                                <w:rFonts w:ascii="Cambria Math" w:hAnsi="Cambria Math"/>
                                <w:lang w:val="en-US"/>
                              </w:rPr>
                              <m:t>τ</m:t>
                            </m:r>
                          </m:e>
                        </m:d>
                        <m:r>
                          <w:rPr>
                            <w:rFonts w:ascii="Cambria Math" w:hAnsi="Cambria Math"/>
                            <w:lang w:val="en-US"/>
                          </w:rPr>
                          <m:t>dτ</m:t>
                        </m:r>
                      </m:e>
                    </m:nary>
                  </m:den>
                </m:f>
                <m:r>
                  <w:rPr>
                    <w:rFonts w:ascii="Cambria Math" w:hAnsi="Cambria Math"/>
                    <w:lang w:val="en-US"/>
                  </w:rPr>
                  <m:t>-1</m:t>
                </m:r>
              </m:oMath>
            </m:oMathPara>
          </w:p>
        </w:tc>
        <w:tc>
          <w:tcPr>
            <w:tcW w:w="935" w:type="dxa"/>
            <w:vAlign w:val="center"/>
          </w:tcPr>
          <w:p w14:paraId="6603BFC0" w14:textId="77777777" w:rsidR="005D4FCC" w:rsidRPr="00F04787" w:rsidRDefault="005D4FCC" w:rsidP="004D4519">
            <w:pPr>
              <w:jc w:val="center"/>
              <w:rPr>
                <w:lang w:val="en-US"/>
              </w:rPr>
            </w:pPr>
            <m:oMathPara>
              <m:oMath>
                <m:r>
                  <w:rPr>
                    <w:rFonts w:ascii="Cambria Math" w:hAnsi="Cambria Math"/>
                    <w:lang w:val="en-US"/>
                  </w:rPr>
                  <m:t>(13)</m:t>
                </m:r>
              </m:oMath>
            </m:oMathPara>
          </w:p>
        </w:tc>
      </w:tr>
    </w:tbl>
    <w:p w14:paraId="7D7C159D" w14:textId="189697CC" w:rsidR="005D4FCC" w:rsidRPr="00F04787" w:rsidRDefault="005D4FCC" w:rsidP="005D4FCC">
      <w:pPr>
        <w:rPr>
          <w:lang w:val="en-US"/>
        </w:rPr>
      </w:pPr>
      <w:r w:rsidRPr="00F04787">
        <w:rPr>
          <w:lang w:val="en-US"/>
        </w:rPr>
        <w:t xml:space="preserve">where </w:t>
      </w:r>
      <m:oMath>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y</m:t>
            </m:r>
          </m:sub>
        </m:sSub>
      </m:oMath>
      <w:r w:rsidRPr="00F04787">
        <w:rPr>
          <w:lang w:val="en-US"/>
        </w:rPr>
        <w:t xml:space="preserve"> is the unnormal</w:t>
      </w:r>
      <w:r>
        <w:rPr>
          <w:lang w:val="en-US"/>
        </w:rPr>
        <w:t>ise</w:t>
      </w:r>
      <w:r w:rsidRPr="00F04787">
        <w:rPr>
          <w:lang w:val="en-US"/>
        </w:rPr>
        <w:t xml:space="preserve">d infectiousness of profile </w:t>
      </w:r>
      <m:oMath>
        <m:r>
          <w:rPr>
            <w:rFonts w:ascii="Cambria Math" w:hAnsi="Cambria Math"/>
            <w:lang w:val="en-US"/>
          </w:rPr>
          <m:t>y</m:t>
        </m:r>
      </m:oMath>
      <w:r w:rsidRPr="00F04787">
        <w:rPr>
          <w:lang w:val="en-US"/>
        </w:rPr>
        <w:t xml:space="preserve"> that was computed by either one of the viral load-to-infectiousness models (i.e. equations (7) – (9)). </w:t>
      </w:r>
    </w:p>
    <w:p w14:paraId="3243C776" w14:textId="38C3F2CB" w:rsidR="005D4FCC" w:rsidRPr="00F04787" w:rsidRDefault="005D4FCC" w:rsidP="005D4FCC">
      <w:pPr>
        <w:rPr>
          <w:lang w:val="en-US"/>
        </w:rPr>
      </w:pPr>
      <m:oMath>
        <m:r>
          <m:rPr>
            <m:sty m:val="b"/>
          </m:rPr>
          <w:rPr>
            <w:rFonts w:ascii="Cambria Math" w:hAnsi="Cambria Math"/>
            <w:lang w:val="en-US"/>
          </w:rPr>
          <m:t>Μ</m:t>
        </m:r>
      </m:oMath>
      <w:r w:rsidRPr="00F04787">
        <w:rPr>
          <w:lang w:val="en-US"/>
        </w:rPr>
        <w:t xml:space="preserve"> is the normal</w:t>
      </w:r>
      <w:r>
        <w:rPr>
          <w:lang w:val="en-US"/>
        </w:rPr>
        <w:t>ise</w:t>
      </w:r>
      <w:r w:rsidRPr="00F04787">
        <w:rPr>
          <w:lang w:val="en-US"/>
        </w:rPr>
        <w:t xml:space="preserve">d relative risk matrix given by: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5D4FCC" w:rsidRPr="00F04787" w14:paraId="45AD3E69" w14:textId="77777777" w:rsidTr="004D4519">
        <w:tc>
          <w:tcPr>
            <w:tcW w:w="8075" w:type="dxa"/>
            <w:vAlign w:val="center"/>
          </w:tcPr>
          <w:p w14:paraId="6D47BCDA" w14:textId="77777777" w:rsidR="005D4FCC" w:rsidRPr="00F04787" w:rsidRDefault="005D4FCC" w:rsidP="004D4519">
            <w:pPr>
              <w:jc w:val="center"/>
              <w:rPr>
                <w:lang w:val="en-US"/>
              </w:rPr>
            </w:pPr>
            <m:oMathPara>
              <m:oMath>
                <m:r>
                  <m:rPr>
                    <m:sty m:val="b"/>
                  </m:rPr>
                  <w:rPr>
                    <w:rFonts w:ascii="Cambria Math" w:hAnsi="Cambria Math"/>
                    <w:lang w:val="en-US"/>
                  </w:rPr>
                  <m:t>Μ</m:t>
                </m:r>
                <m:r>
                  <w:rPr>
                    <w:rFonts w:ascii="Cambria Math" w:hAnsi="Cambria Math"/>
                    <w:lang w:val="en-US"/>
                  </w:rPr>
                  <m:t>=</m:t>
                </m:r>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1→1</m:t>
                              </m:r>
                            </m:sub>
                          </m:sSub>
                        </m:e>
                        <m:e>
                          <m:r>
                            <w:rPr>
                              <w:rFonts w:ascii="Cambria Math" w:hAnsi="Cambria Math"/>
                              <w:lang w:val="en-US"/>
                            </w:rPr>
                            <m:t>⋯</m:t>
                          </m:r>
                        </m:e>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α→1</m:t>
                              </m:r>
                            </m:sub>
                          </m:sSub>
                        </m:e>
                      </m:mr>
                      <m:mr>
                        <m:e>
                          <m:r>
                            <w:rPr>
                              <w:rFonts w:ascii="Cambria Math" w:hAnsi="Cambria Math"/>
                              <w:lang w:val="en-US"/>
                            </w:rPr>
                            <m:t>⋮</m:t>
                          </m:r>
                        </m:e>
                        <m:e>
                          <m:r>
                            <w:rPr>
                              <w:rFonts w:ascii="Cambria Math" w:hAnsi="Cambria Math"/>
                              <w:lang w:val="en-US"/>
                            </w:rPr>
                            <m:t>⋱</m:t>
                          </m:r>
                        </m:e>
                        <m:e>
                          <m:r>
                            <w:rPr>
                              <w:rFonts w:ascii="Cambria Math" w:hAnsi="Cambria Math"/>
                              <w:lang w:val="en-US"/>
                            </w:rPr>
                            <m:t>⋮</m:t>
                          </m:r>
                        </m:e>
                      </m:mr>
                      <m:mr>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1→a</m:t>
                              </m:r>
                            </m:sub>
                          </m:sSub>
                        </m:e>
                        <m:e>
                          <m:r>
                            <w:rPr>
                              <w:rFonts w:ascii="Cambria Math" w:hAnsi="Cambria Math"/>
                              <w:lang w:val="en-US"/>
                            </w:rPr>
                            <m:t>⋯</m:t>
                          </m:r>
                        </m:e>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α→a</m:t>
                              </m:r>
                            </m:sub>
                          </m:sSub>
                        </m:e>
                      </m:mr>
                    </m:m>
                  </m:e>
                </m:d>
                <m:r>
                  <w:rPr>
                    <w:rFonts w:ascii="Cambria Math" w:hAnsi="Cambria Math"/>
                    <w:lang w:val="en-US"/>
                  </w:rPr>
                  <m:t>=</m:t>
                </m:r>
                <m:f>
                  <m:fPr>
                    <m:ctrlPr>
                      <w:rPr>
                        <w:rFonts w:ascii="Cambria Math" w:hAnsi="Cambria Math"/>
                        <w:i/>
                        <w:lang w:val="en-US"/>
                      </w:rPr>
                    </m:ctrlPr>
                  </m:fPr>
                  <m:num>
                    <m:r>
                      <m:rPr>
                        <m:sty m:val="b"/>
                      </m:rPr>
                      <w:rPr>
                        <w:rFonts w:ascii="Cambria Math" w:hAnsi="Cambria Math"/>
                        <w:lang w:val="en-US"/>
                      </w:rPr>
                      <m:t>C</m:t>
                    </m:r>
                    <m:sSup>
                      <m:sSupPr>
                        <m:ctrlPr>
                          <w:rPr>
                            <w:rFonts w:ascii="Cambria Math" w:hAnsi="Cambria Math"/>
                            <w:i/>
                            <w:lang w:val="en-US"/>
                          </w:rPr>
                        </m:ctrlPr>
                      </m:sSupPr>
                      <m:e>
                        <m:r>
                          <m:rPr>
                            <m:sty m:val="bi"/>
                          </m:rPr>
                          <w:rPr>
                            <w:rFonts w:ascii="Cambria Math" w:hAnsi="Cambria Math"/>
                            <w:lang w:val="en-US"/>
                          </w:rPr>
                          <m:t>η</m:t>
                        </m:r>
                      </m:e>
                      <m:sup>
                        <m:r>
                          <w:rPr>
                            <w:rFonts w:ascii="Cambria Math" w:hAnsi="Cambria Math"/>
                            <w:lang w:val="en-US"/>
                          </w:rPr>
                          <m:t>T</m:t>
                        </m:r>
                      </m:sup>
                    </m:sSup>
                  </m:num>
                  <m:den>
                    <m:r>
                      <w:rPr>
                        <w:rFonts w:ascii="Cambria Math" w:hAnsi="Cambria Math"/>
                        <w:lang w:val="en-US"/>
                      </w:rPr>
                      <m:t>ρ</m:t>
                    </m:r>
                    <m:d>
                      <m:dPr>
                        <m:ctrlPr>
                          <w:rPr>
                            <w:rFonts w:ascii="Cambria Math" w:hAnsi="Cambria Math"/>
                            <w:i/>
                            <w:lang w:val="en-US"/>
                          </w:rPr>
                        </m:ctrlPr>
                      </m:dPr>
                      <m:e>
                        <m:r>
                          <m:rPr>
                            <m:sty m:val="b"/>
                          </m:rPr>
                          <w:rPr>
                            <w:rFonts w:ascii="Cambria Math" w:hAnsi="Cambria Math"/>
                            <w:lang w:val="en-US"/>
                          </w:rPr>
                          <m:t>C</m:t>
                        </m:r>
                        <m:sSup>
                          <m:sSupPr>
                            <m:ctrlPr>
                              <w:rPr>
                                <w:rFonts w:ascii="Cambria Math" w:hAnsi="Cambria Math"/>
                                <w:i/>
                                <w:lang w:val="en-US"/>
                              </w:rPr>
                            </m:ctrlPr>
                          </m:sSupPr>
                          <m:e>
                            <m:r>
                              <m:rPr>
                                <m:sty m:val="bi"/>
                              </m:rPr>
                              <w:rPr>
                                <w:rFonts w:ascii="Cambria Math" w:hAnsi="Cambria Math"/>
                                <w:lang w:val="en-US"/>
                              </w:rPr>
                              <m:t>η</m:t>
                            </m:r>
                          </m:e>
                          <m:sup>
                            <m:r>
                              <w:rPr>
                                <w:rFonts w:ascii="Cambria Math" w:hAnsi="Cambria Math"/>
                                <w:lang w:val="en-US"/>
                              </w:rPr>
                              <m:t>T</m:t>
                            </m:r>
                          </m:sup>
                        </m:sSup>
                      </m:e>
                    </m:d>
                  </m:den>
                </m:f>
              </m:oMath>
            </m:oMathPara>
          </w:p>
        </w:tc>
        <w:tc>
          <w:tcPr>
            <w:tcW w:w="935" w:type="dxa"/>
            <w:vAlign w:val="center"/>
          </w:tcPr>
          <w:p w14:paraId="7424DFDE" w14:textId="77777777" w:rsidR="005D4FCC" w:rsidRPr="00F04787" w:rsidRDefault="005D4FCC" w:rsidP="004D4519">
            <w:pPr>
              <w:jc w:val="center"/>
              <w:rPr>
                <w:lang w:val="en-US"/>
              </w:rPr>
            </w:pPr>
            <m:oMathPara>
              <m:oMath>
                <m:r>
                  <w:rPr>
                    <w:rFonts w:ascii="Cambria Math" w:hAnsi="Cambria Math"/>
                    <w:lang w:val="en-US"/>
                  </w:rPr>
                  <m:t>(14)</m:t>
                </m:r>
              </m:oMath>
            </m:oMathPara>
          </w:p>
        </w:tc>
      </w:tr>
    </w:tbl>
    <w:p w14:paraId="0FEEAAB0" w14:textId="037262B2" w:rsidR="005D4FCC" w:rsidRPr="00F04787" w:rsidRDefault="005D4FCC" w:rsidP="005D4FCC">
      <w:pPr>
        <w:rPr>
          <w:lang w:val="en-US"/>
        </w:rPr>
      </w:pPr>
      <w:r w:rsidRPr="00F04787">
        <w:rPr>
          <w:lang w:val="en-US"/>
        </w:rPr>
        <w:t xml:space="preserve">where </w:t>
      </w:r>
      <m:oMath>
        <m:r>
          <m:rPr>
            <m:sty m:val="b"/>
          </m:rPr>
          <w:rPr>
            <w:rFonts w:ascii="Cambria Math" w:hAnsi="Cambria Math"/>
            <w:lang w:val="en-US"/>
          </w:rPr>
          <m:t>C</m:t>
        </m:r>
        <m:r>
          <m:rPr>
            <m:sty m:val="p"/>
          </m:rPr>
          <w:rPr>
            <w:rFonts w:ascii="Cambria Math" w:hAnsi="Cambria Math"/>
            <w:lang w:val="en-US"/>
          </w:rPr>
          <m:t>=</m:t>
        </m:r>
        <m:d>
          <m:dPr>
            <m:begChr m:val="{"/>
            <m:endChr m:val="}"/>
            <m:ctrlPr>
              <w:rPr>
                <w:rFonts w:ascii="Cambria Math" w:hAnsi="Cambria Math"/>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α→a</m:t>
                </m:r>
              </m:sub>
            </m:sSub>
          </m:e>
        </m:d>
      </m:oMath>
      <w:r w:rsidRPr="00F04787">
        <w:rPr>
          <w:lang w:val="en-US"/>
        </w:rPr>
        <w:t xml:space="preserve"> is the </w:t>
      </w:r>
      <w:r>
        <w:rPr>
          <w:lang w:val="en-US"/>
        </w:rPr>
        <w:t>mean</w:t>
      </w:r>
      <w:r w:rsidRPr="00F04787">
        <w:rPr>
          <w:lang w:val="en-US"/>
        </w:rPr>
        <w:t xml:space="preserve"> contact rate matrix between individuals in age group </w:t>
      </w:r>
      <m:oMath>
        <m:r>
          <w:rPr>
            <w:rFonts w:ascii="Cambria Math" w:hAnsi="Cambria Math"/>
            <w:lang w:val="en-US"/>
          </w:rPr>
          <m:t>α</m:t>
        </m:r>
      </m:oMath>
      <w:r w:rsidRPr="00F04787">
        <w:rPr>
          <w:lang w:val="en-US"/>
        </w:rPr>
        <w:t xml:space="preserve"> and individuals in age group </w:t>
      </w:r>
      <m:oMath>
        <m:r>
          <w:rPr>
            <w:rFonts w:ascii="Cambria Math" w:hAnsi="Cambria Math"/>
            <w:lang w:val="en-US"/>
          </w:rPr>
          <m:t>a</m:t>
        </m:r>
      </m:oMath>
      <w:r w:rsidRPr="00F04787">
        <w:rPr>
          <w:lang w:val="en-US"/>
        </w:rPr>
        <w:t xml:space="preserve">, </w:t>
      </w:r>
      <m:oMath>
        <m:r>
          <m:rPr>
            <m:sty m:val="bi"/>
          </m:rPr>
          <w:rPr>
            <w:rFonts w:ascii="Cambria Math" w:hAnsi="Cambria Math"/>
            <w:lang w:val="en-US"/>
          </w:rPr>
          <m:t>η</m:t>
        </m:r>
        <m:r>
          <w:rPr>
            <w:rFonts w:ascii="Cambria Math" w:hAnsi="Cambria Math"/>
            <w:lang w:val="en-US"/>
          </w:rPr>
          <m:t>=</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η</m:t>
                </m:r>
              </m:e>
              <m:sub>
                <m:r>
                  <w:rPr>
                    <w:rFonts w:ascii="Cambria Math" w:hAnsi="Cambria Math"/>
                    <w:lang w:val="en-US"/>
                  </w:rPr>
                  <m:t>a</m:t>
                </m:r>
              </m:sub>
            </m:sSub>
          </m:e>
        </m:d>
      </m:oMath>
      <w:r w:rsidRPr="00F04787">
        <w:rPr>
          <w:lang w:val="en-US"/>
        </w:rPr>
        <w:t xml:space="preserve"> is the relative susceptibility of individuals in age group </w:t>
      </w:r>
      <m:oMath>
        <m:r>
          <w:rPr>
            <w:rFonts w:ascii="Cambria Math" w:hAnsi="Cambria Math"/>
            <w:lang w:val="en-US"/>
          </w:rPr>
          <m:t>a</m:t>
        </m:r>
      </m:oMath>
      <w:r w:rsidRPr="00F04787">
        <w:rPr>
          <w:lang w:val="en-US"/>
        </w:rPr>
        <w:t xml:space="preserve">, with the most susceptible group having a value of 1 and </w:t>
      </w:r>
      <m:oMath>
        <m:r>
          <w:rPr>
            <w:rFonts w:ascii="Cambria Math" w:hAnsi="Cambria Math"/>
            <w:lang w:val="en-US"/>
          </w:rPr>
          <m:t>ρ</m:t>
        </m:r>
        <m:d>
          <m:dPr>
            <m:ctrlPr>
              <w:rPr>
                <w:rFonts w:ascii="Cambria Math" w:hAnsi="Cambria Math"/>
                <w:i/>
                <w:lang w:val="en-US"/>
              </w:rPr>
            </m:ctrlPr>
          </m:dPr>
          <m:e>
            <m:r>
              <m:rPr>
                <m:sty m:val="b"/>
              </m:rPr>
              <w:rPr>
                <w:rFonts w:ascii="Cambria Math" w:hAnsi="Cambria Math"/>
                <w:lang w:val="en-US"/>
              </w:rPr>
              <m:t>C</m:t>
            </m:r>
            <m:sSup>
              <m:sSupPr>
                <m:ctrlPr>
                  <w:rPr>
                    <w:rFonts w:ascii="Cambria Math" w:hAnsi="Cambria Math"/>
                    <w:i/>
                    <w:lang w:val="en-US"/>
                  </w:rPr>
                </m:ctrlPr>
              </m:sSupPr>
              <m:e>
                <m:r>
                  <m:rPr>
                    <m:sty m:val="bi"/>
                  </m:rPr>
                  <w:rPr>
                    <w:rFonts w:ascii="Cambria Math" w:hAnsi="Cambria Math"/>
                    <w:lang w:val="en-US"/>
                  </w:rPr>
                  <m:t>η</m:t>
                </m:r>
              </m:e>
              <m:sup>
                <m:r>
                  <w:rPr>
                    <w:rFonts w:ascii="Cambria Math" w:hAnsi="Cambria Math"/>
                    <w:lang w:val="en-US"/>
                  </w:rPr>
                  <m:t>T</m:t>
                </m:r>
              </m:sup>
            </m:sSup>
          </m:e>
        </m:d>
      </m:oMath>
      <w:r w:rsidRPr="00F04787">
        <w:rPr>
          <w:lang w:val="en-US"/>
        </w:rPr>
        <w:t xml:space="preserve"> is the spectral radius of </w:t>
      </w:r>
      <m:oMath>
        <m:r>
          <m:rPr>
            <m:sty m:val="b"/>
          </m:rPr>
          <w:rPr>
            <w:rFonts w:ascii="Cambria Math" w:hAnsi="Cambria Math"/>
            <w:lang w:val="en-US"/>
          </w:rPr>
          <m:t>C</m:t>
        </m:r>
        <m:sSup>
          <m:sSupPr>
            <m:ctrlPr>
              <w:rPr>
                <w:rFonts w:ascii="Cambria Math" w:hAnsi="Cambria Math"/>
                <w:i/>
                <w:lang w:val="en-US"/>
              </w:rPr>
            </m:ctrlPr>
          </m:sSupPr>
          <m:e>
            <m:r>
              <m:rPr>
                <m:sty m:val="bi"/>
              </m:rPr>
              <w:rPr>
                <w:rFonts w:ascii="Cambria Math" w:hAnsi="Cambria Math"/>
                <w:lang w:val="en-US"/>
              </w:rPr>
              <m:t>η</m:t>
            </m:r>
          </m:e>
          <m:sup>
            <m:r>
              <w:rPr>
                <w:rFonts w:ascii="Cambria Math" w:hAnsi="Cambria Math"/>
                <w:lang w:val="en-US"/>
              </w:rPr>
              <m:t>T</m:t>
            </m:r>
          </m:sup>
        </m:sSup>
      </m:oMath>
      <w:r w:rsidRPr="00F04787">
        <w:rPr>
          <w:lang w:val="en-US"/>
        </w:rPr>
        <w:t xml:space="preserve">. We used country-specific estimates of </w:t>
      </w:r>
      <m:oMath>
        <m:r>
          <m:rPr>
            <m:sty m:val="b"/>
          </m:rPr>
          <w:rPr>
            <w:rFonts w:ascii="Cambria Math" w:hAnsi="Cambria Math"/>
            <w:lang w:val="en-US"/>
          </w:rPr>
          <m:t>C</m:t>
        </m:r>
      </m:oMath>
      <w:r w:rsidRPr="00F04787">
        <w:rPr>
          <w:rFonts w:eastAsiaTheme="minorEastAsia"/>
          <w:lang w:val="en-US"/>
        </w:rPr>
        <w:t xml:space="preserve"> from </w:t>
      </w:r>
      <w:r w:rsidRPr="00F04787">
        <w:rPr>
          <w:rFonts w:eastAsiaTheme="minorEastAsia"/>
          <w:lang w:val="en-US"/>
        </w:rPr>
        <w:fldChar w:fldCharType="begin"/>
      </w:r>
      <w:r w:rsidR="006A263E">
        <w:rPr>
          <w:rFonts w:eastAsiaTheme="minorEastAsia"/>
          <w:lang w:val="en-US"/>
        </w:rPr>
        <w:instrText xml:space="preserve"> ADDIN ZOTERO_ITEM CSL_CITATION {"citationID":"hP58NNIg","properties":{"formattedCitation":"(Prem et al., 2021, 2017)","plainCitation":"(Prem et al., 2021, 2017)","noteIndex":0},"citationItems":[{"id":102,"uris":["http://zotero.org/users/local/0pdZPGmr/items/QTYWCC5P","http://zotero.org/users/9596130/items/QTYWCC5P"],"itemData":{"id":102,"type":"article-journal","abstract":"Author summary The risk of infectious disease transmission varies in different settings, for instance at home, at work or in the community, as a result of the different social structures and mixing patterns in those locations. These social structures vary across countries in different stages of development and with different demographics. Social contact patterns have been measured in a small number of countries, but in large swathes of the world, contact patterns are unmeasured, which makes it challenging to build mathematical or computer models of disease spread and control. In this work, we developed a modelling framework to combine social contact data from the past studies of contact patterns within eight countries in the EU with data from multiple data sources including the Demographic Household Surveys, World Bank and UN Statistics Division, to provide validated approximations to age-and-location-specific contact rates for 152 countries covering 95.9% of the world’s population.","container-title":"PLOS Computational Biology","DOI":"10.1371/journal.pcbi.1005697","issue":"9","journalAbbreviation":"PLOS Computational Biology","note":"publisher: Public Library of Science","page":"e1005697","title":"Projecting social contact matrices in 152 countries using contact surveys and demographic data","volume":"13","author":[{"family":"Prem","given":"Kiesha"},{"family":"Cook","given":"Alex R."},{"family":"Jit","given":"Mark"}],"issued":{"date-parts":[["2017",9,12]]}}},{"id":41,"uris":["http://zotero.org/users/local/0pdZPGmr/items/Y9EYKFFU","http://zotero.org/users/9596130/items/Y9EYKFFU"],"itemData":{"id":41,"type":"article-journal","abstract":"Author summary The risk of contracting a directly transmitted infectious disease such as the Coronavirus Disease 2019 (COVID-19) depends on who interacts with whom. Such person-to-person interactions vary by age and locations—e.g., at home, at work, at school, or in the community—due to the different social structures. These social structures, and thus contact patterns, vary across and within countries. Although social contact patterns can be measured using contact surveys, the majority of countries around the world, particularly low- and middle-income countries, lack nationally representative contact surveys. A simple way to present contact data is to use matrices where the elements represent the rate of contact between subgroups such as age groups represented by the columns and rows. In 2017, we generated age- and location-specific synthetic contact matrices for 152 geographical regions by adapting contact pattern data from eight European countries using country-specific data on household size, school and workplace composition. We have now updated these matrices with the most recent data (Demographic Household Surveys, World Bank, UN Population Division) extending the coverage to 177 geographical locations, covering 97.2% of the world’s population. We also quantified contact patterns in rural and urban settings. When compared to out-of-sample empirically-measured contact patterns, we found that the synthetic matrices reproduce the main features of these contact patterns.","container-title":"PLOS Computational Biology","DOI":"10.1371/journal.pcbi.1009098","issue":"7","journalAbbreviation":"PLOS Computational Biology","note":"publisher: Public Library of Science","page":"e1009098","title":"Projecting contact matrices in 177 geographical regions: An update and comparison with empirical data for the COVID-19 era","volume":"17","author":[{"family":"Prem","given":"Kiesha"},{"family":"Zandvoort","given":"Kevin","dropping-particle":"van"},{"family":"Klepac","given":"Petra"},{"family":"Eggo","given":"Rosalind M."},{"family":"Davies","given":"Nicholas G."},{"literal":"Centre for the Mathematical Modelling of Infectious Diseases COVID-19 Working Group"},{"family":"Cook","given":"Alex R."},{"family":"Jit","given":"Mark"}],"issued":{"date-parts":[["2021",7,26]]}}}],"schema":"https://github.com/citation-style-language/schema/raw/master/csl-citation.json"} </w:instrText>
      </w:r>
      <w:r w:rsidRPr="00F04787">
        <w:rPr>
          <w:rFonts w:eastAsiaTheme="minorEastAsia"/>
          <w:lang w:val="en-US"/>
        </w:rPr>
        <w:fldChar w:fldCharType="separate"/>
      </w:r>
      <w:r w:rsidR="006A263E">
        <w:rPr>
          <w:lang w:val="en-US"/>
        </w:rPr>
        <w:t>(Prem et al., 2021, 2017)</w:t>
      </w:r>
      <w:r w:rsidRPr="00F04787">
        <w:rPr>
          <w:rFonts w:eastAsiaTheme="minorEastAsia"/>
          <w:lang w:val="en-US"/>
        </w:rPr>
        <w:fldChar w:fldCharType="end"/>
      </w:r>
      <w:r w:rsidRPr="00F04787">
        <w:rPr>
          <w:rFonts w:eastAsiaTheme="minorEastAsia"/>
          <w:lang w:val="en-US"/>
        </w:rPr>
        <w:t xml:space="preserve"> and estimates of </w:t>
      </w:r>
      <m:oMath>
        <m:r>
          <m:rPr>
            <m:sty m:val="bi"/>
          </m:rPr>
          <w:rPr>
            <w:rFonts w:ascii="Cambria Math" w:hAnsi="Cambria Math"/>
            <w:lang w:val="en-US"/>
          </w:rPr>
          <m:t>η</m:t>
        </m:r>
      </m:oMath>
      <w:r w:rsidRPr="00F04787">
        <w:rPr>
          <w:rFonts w:eastAsiaTheme="minorEastAsia"/>
          <w:lang w:val="en-US"/>
        </w:rPr>
        <w:t xml:space="preserve"> for seasonal influenza</w:t>
      </w:r>
      <w:r w:rsidR="00681DF1">
        <w:rPr>
          <w:rFonts w:eastAsiaTheme="minorEastAsia"/>
          <w:lang w:val="en-US"/>
        </w:rPr>
        <w:t xml:space="preserve"> </w:t>
      </w:r>
      <w:r w:rsidRPr="00F04787">
        <w:rPr>
          <w:rFonts w:eastAsiaTheme="minorEastAsia"/>
          <w:lang w:val="en-US"/>
        </w:rPr>
        <w:fldChar w:fldCharType="begin"/>
      </w:r>
      <w:r w:rsidR="006A263E">
        <w:rPr>
          <w:rFonts w:eastAsiaTheme="minorEastAsia"/>
          <w:lang w:val="en-US"/>
        </w:rPr>
        <w:instrText xml:space="preserve"> ADDIN ZOTERO_ITEM CSL_CITATION {"citationID":"oOYDyjXT","properties":{"formattedCitation":"(Brugger and Althaus, 2020)","plainCitation":"(Brugger and Althaus, 2020)","noteIndex":0},"citationItems":[{"id":103,"uris":["http://zotero.org/users/local/0pdZPGmr/items/ETJ2898P","http://zotero.org/users/9596130/items/ETJ2898P"],"itemData":{"id":103,"type":"article-journal","abstract":"Understanding the seasonal patterns of influenza transmission is critical to help plan public health measures for the management and control of epidemics. Mathematical models of infectious disease transmission have been widely used to quantify the transmissibility of and susceptibility to past influenza seasons in many countries. The objective of this study was to obtain a detailed picture of the transmission dynamics of seasonal influenza in Switzerland from 2003 to 2015. To this end, we developed a compartmental influenza transmission model taking into account social mixing between different age groups and seasonal forcing. We applied a Bayesian approach using Markov chain Monte Carlo (MCMC) methods to fit the model to the reported incidence of influenza-like-illness (ILI) and virological data from Sentinella, the Swiss Sentinel Surveillance Network. The maximal basic reproduction number, R0, ranged from 1.46 to 1.81 (median). Median estimates of susceptibility to influenza ranged from 29% to 98% for different age groups, and typically decreased with age. We also found a decline in ascertainability of influenza cases with age. Our study illustrates how influenza surveillance data from Switzerland can be integrated into a Bayesian modeling framework in order to assess age-specific transmission of and susceptibility to influenza.","container-title":"Epidemics","DOI":"10.1016/j.epidem.2019.100373","ISSN":"1755-4365","journalAbbreviation":"Epidemics","page":"100373","title":"Transmission of and susceptibility to seasonal influenza in Switzerland from 2003 to 2015","volume":"30","author":[{"family":"Brugger","given":"Jon"},{"family":"Althaus","given":"Christian L."}],"issued":{"date-parts":[["2020",3,1]]}}}],"schema":"https://github.com/citation-style-language/schema/raw/master/csl-citation.json"} </w:instrText>
      </w:r>
      <w:r w:rsidRPr="00F04787">
        <w:rPr>
          <w:rFonts w:eastAsiaTheme="minorEastAsia"/>
          <w:lang w:val="en-US"/>
        </w:rPr>
        <w:fldChar w:fldCharType="separate"/>
      </w:r>
      <w:r w:rsidR="006A263E">
        <w:rPr>
          <w:lang w:val="en-US"/>
        </w:rPr>
        <w:t>(Brugger and Althaus, 2020)</w:t>
      </w:r>
      <w:r w:rsidRPr="00F04787">
        <w:rPr>
          <w:rFonts w:eastAsiaTheme="minorEastAsia"/>
          <w:lang w:val="en-US"/>
        </w:rPr>
        <w:fldChar w:fldCharType="end"/>
      </w:r>
      <w:r w:rsidR="00681DF1">
        <w:rPr>
          <w:rFonts w:eastAsiaTheme="minorEastAsia"/>
          <w:lang w:val="en-US"/>
        </w:rPr>
        <w:t>,</w:t>
      </w:r>
      <w:r w:rsidRPr="00F04787">
        <w:rPr>
          <w:rFonts w:eastAsiaTheme="minorEastAsia"/>
          <w:lang w:val="en-US"/>
        </w:rPr>
        <w:t xml:space="preserve"> 2009 A/H1N1 pandemic</w:t>
      </w:r>
      <w:r w:rsidR="00457CFF">
        <w:rPr>
          <w:rFonts w:eastAsiaTheme="minorEastAsia"/>
          <w:lang w:val="en-US"/>
        </w:rPr>
        <w:t xml:space="preserve"> </w:t>
      </w:r>
      <w:r w:rsidRPr="00F04787">
        <w:rPr>
          <w:rFonts w:eastAsiaTheme="minorEastAsia"/>
          <w:lang w:val="en-US"/>
        </w:rPr>
        <w:fldChar w:fldCharType="begin"/>
      </w:r>
      <w:r w:rsidR="006A263E">
        <w:rPr>
          <w:rFonts w:eastAsiaTheme="minorEastAsia"/>
          <w:lang w:val="en-US"/>
        </w:rPr>
        <w:instrText xml:space="preserve"> ADDIN ZOTERO_ITEM CSL_CITATION {"citationID":"Il2tTfH0","properties":{"formattedCitation":"(Cauchemez Simon et al., 2009)","plainCitation":"(Cauchemez Simon et al., 2009)","noteIndex":0},"citationItems":[{"id":104,"uris":["http://zotero.org/users/local/0pdZPGmr/items/S2ALJ8LS","http://zotero.org/users/9596130/items/S2ALJ8LS"],"itemData":{"id":104,"type":"article-journal","container-title":"New England Journal of Medicine","DOI":"10.1056/NEJMoa0905498","issue":"27","journalAbbreviation":"New England Journal of Medicine","note":"publisher: Massachusetts Medical Society","page":"2619-2627","title":"Household Transmission of 2009 Pandemic Influenza A (H1N1) Virus in the United States","volume":"361","author":[{"literal":"Cauchemez Simon"},{"literal":"Donnelly Christl A."},{"literal":"Reed Carrie"},{"literal":"Ghani Azra C."},{"literal":"Fraser Christophe"},{"literal":"Kent Charlotte K."},{"literal":"Finelli Lyn"},{"literal":"Ferguson Neil M."}],"issued":{"date-parts":[["2009"]]}}}],"schema":"https://github.com/citation-style-language/schema/raw/master/csl-citation.json"} </w:instrText>
      </w:r>
      <w:r w:rsidRPr="00F04787">
        <w:rPr>
          <w:rFonts w:eastAsiaTheme="minorEastAsia"/>
          <w:lang w:val="en-US"/>
        </w:rPr>
        <w:fldChar w:fldCharType="separate"/>
      </w:r>
      <w:r w:rsidR="006A263E">
        <w:rPr>
          <w:lang w:val="en-US"/>
        </w:rPr>
        <w:t>(Cauchemez Simon et al., 2009)</w:t>
      </w:r>
      <w:r w:rsidRPr="00F04787">
        <w:rPr>
          <w:rFonts w:eastAsiaTheme="minorEastAsia"/>
          <w:lang w:val="en-US"/>
        </w:rPr>
        <w:fldChar w:fldCharType="end"/>
      </w:r>
      <w:r w:rsidRPr="00F04787">
        <w:rPr>
          <w:rFonts w:eastAsiaTheme="minorEastAsia"/>
          <w:lang w:val="en-US"/>
        </w:rPr>
        <w:t xml:space="preserve"> and COVID-19 pandemic</w:t>
      </w:r>
      <w:r w:rsidR="00457CFF">
        <w:rPr>
          <w:rFonts w:eastAsiaTheme="minorEastAsia"/>
          <w:lang w:val="en-US"/>
        </w:rPr>
        <w:t xml:space="preserve"> </w:t>
      </w:r>
      <w:r w:rsidRPr="00F04787">
        <w:rPr>
          <w:rFonts w:eastAsiaTheme="minorEastAsia"/>
          <w:lang w:val="en-US"/>
        </w:rPr>
        <w:fldChar w:fldCharType="begin"/>
      </w:r>
      <w:r w:rsidR="006A263E">
        <w:rPr>
          <w:rFonts w:eastAsiaTheme="minorEastAsia"/>
          <w:lang w:val="en-US"/>
        </w:rPr>
        <w:instrText xml:space="preserve"> ADDIN ZOTERO_ITEM CSL_CITATION {"citationID":"V0FoHJaV","properties":{"formattedCitation":"(Zhang et al., 2020)","plainCitation":"(Zhang et al., 2020)","noteIndex":0},"citationItems":[{"id":106,"uris":["http://zotero.org/users/local/0pdZPGmr/items/TC6DZ35V","http://zotero.org/users/9596130/items/TC6DZ35V"],"itemData":{"id":106,"type":"article-journal","abstract":"The coronavirus 2019 (COVID-19) pandemic has brought tighter restrictions on the daily lives of millions of people, but we do not yet understand what measures are the most effective. Zhang et al. modeled virus transmission in Wuhan, China, in February 2020, investigating the effects of interventions ranging from patient management to social isolation. Age-mixing patterns were estimated by contact surveys conducted in Wuhan and Shanghai at the beginning of February 2020. Once people reduced their average daily contacts from 14 to 20 down to 2, transmission rapidly fell below the epidemic threshold. The model also showed that preemptive school closures helped to reduce transmission, although alone they would not prevent a COVID-19 outbreak. Limiting human mixing to within households appeared to be the most effective measure. Science, this issue p. 1481 Reducing social contacts on the scale achieved in Wuhan and Shanghai in early 2020 could be sufficient to bring a COVID-19 outbreak under control. Intense nonpharmaceutical interventions were put in place in China to stop transmission of the novel coronavirus disease 2019 (COVID-19). As transmission intensifies in other countries, the interplay between age, contact patterns, social distancing, susceptibility to infection, and COVID-19 dynamics remains unclear. To answer these questions, we analyze contact survey data for Wuhan and Shanghai before and during the outbreak and contact-tracing information from Hunan province. Daily contacts were reduced seven- to eightfold during the COVID-19 social distancing period, with most interactions restricted to the household. We find that children 0 to 14 years of age are less susceptible to severe acute respiratory syndrome coronavirus 2 (SARS-CoV-2) infection than adults 15 to 64 years of age (odds ratio 0.34, 95% confidence interval 0.24 to 0.49), whereas individuals more than 65 years of age are more susceptible to infection (odds ratio 1.47, 95% confidence interval 1.12 to 1.92). Based on these data, we built a transmission model to study the impact of social distancing and school closure on transmission. We find that social distancing alone, as implemented in China during the outbreak, is sufficient to control COVID-19. Although proactive school closures cannot interrupt transmission on their own, they can reduce peak incidence by 40 to 60% and delay the epidemic.","container-title":"Science","DOI":"10.1126/science.abb8001","issue":"6498","journalAbbreviation":"Science","note":"publisher: American Association for the Advancement of Science","page":"1481-1486","title":"Changes in contact patterns shape the dynamics of the COVID-19 outbreak in China","volume":"368","author":[{"family":"Zhang","given":"Juanjuan"},{"family":"Litvinova","given":"Maria"},{"family":"Liang","given":"Yuxia"},{"family":"Wang","given":"Yan"},{"family":"Wang","given":"Wei"},{"family":"Zhao","given":"Shanlu"},{"family":"Wu","given":"Qianhui"},{"family":"Merler","given":"Stefano"},{"family":"Viboud","given":"Cécile"},{"family":"Vespignani","given":"Alessandro"},{"family":"Ajelli","given":"Marco"},{"family":"Yu","given":"Hongjie"}],"issued":{"date-parts":[["2020",6,26]]}}}],"schema":"https://github.com/citation-style-language/schema/raw/master/csl-citation.json"} </w:instrText>
      </w:r>
      <w:r w:rsidRPr="00F04787">
        <w:rPr>
          <w:rFonts w:eastAsiaTheme="minorEastAsia"/>
          <w:lang w:val="en-US"/>
        </w:rPr>
        <w:fldChar w:fldCharType="separate"/>
      </w:r>
      <w:r w:rsidR="006A263E">
        <w:rPr>
          <w:lang w:val="en-US"/>
        </w:rPr>
        <w:t>(Zhang et al., 2020)</w:t>
      </w:r>
      <w:r w:rsidRPr="00F04787">
        <w:rPr>
          <w:rFonts w:eastAsiaTheme="minorEastAsia"/>
          <w:lang w:val="en-US"/>
        </w:rPr>
        <w:fldChar w:fldCharType="end"/>
      </w:r>
      <w:r w:rsidRPr="00F04787">
        <w:rPr>
          <w:rFonts w:eastAsiaTheme="minorEastAsia"/>
          <w:lang w:val="en-US"/>
        </w:rPr>
        <w:t xml:space="preserve"> from various sources. For the 1918 A/H1N1 and 1968 A/H3N2 pandemics, we assumed </w:t>
      </w:r>
      <m:oMath>
        <m:r>
          <m:rPr>
            <m:sty m:val="bi"/>
          </m:rPr>
          <w:rPr>
            <w:rFonts w:ascii="Cambria Math" w:hAnsi="Cambria Math"/>
            <w:lang w:val="en-US"/>
          </w:rPr>
          <m:t>η</m:t>
        </m:r>
        <m:r>
          <w:rPr>
            <w:rFonts w:ascii="Cambria Math" w:eastAsiaTheme="minorEastAsia" w:hAnsi="Cambria Math"/>
            <w:lang w:val="en-US"/>
          </w:rPr>
          <m:t>=1</m:t>
        </m:r>
      </m:oMath>
      <w:r w:rsidRPr="00F04787">
        <w:rPr>
          <w:rFonts w:eastAsiaTheme="minorEastAsia"/>
          <w:lang w:val="en-US"/>
        </w:rPr>
        <w:t xml:space="preserve"> for all age groups. </w:t>
      </w:r>
    </w:p>
    <w:p w14:paraId="5216E333" w14:textId="77777777" w:rsidR="005D4FCC" w:rsidRPr="00F04787" w:rsidRDefault="005D4FCC" w:rsidP="005D4FCC">
      <w:pPr>
        <w:rPr>
          <w:lang w:val="en-US"/>
        </w:rPr>
      </w:pPr>
    </w:p>
    <w:p w14:paraId="5316FD62" w14:textId="77777777" w:rsidR="005D4FCC" w:rsidRPr="00F04787" w:rsidRDefault="005D4FCC" w:rsidP="005D4FCC">
      <w:pPr>
        <w:pStyle w:val="Heading2"/>
      </w:pPr>
      <w:bookmarkStart w:id="4" w:name="_Toc192246974"/>
      <w:r w:rsidRPr="00F04787">
        <w:t>Test and treat</w:t>
      </w:r>
      <w:bookmarkEnd w:id="4"/>
      <w:r w:rsidRPr="00F04787">
        <w:t xml:space="preserve">  </w:t>
      </w:r>
    </w:p>
    <w:p w14:paraId="0491DBFC" w14:textId="085CE7A9" w:rsidR="005D4FCC" w:rsidRPr="00F04787" w:rsidRDefault="005D4FCC" w:rsidP="005D4FCC">
      <w:pPr>
        <w:rPr>
          <w:lang w:val="en-US"/>
        </w:rPr>
      </w:pPr>
      <w:r w:rsidRPr="00F04787">
        <w:rPr>
          <w:lang w:val="en-US"/>
        </w:rPr>
        <w:t xml:space="preserve">The probability that an infected individual is tested at time </w:t>
      </w:r>
      <m:oMath>
        <m:r>
          <w:rPr>
            <w:rFonts w:ascii="Cambria Math" w:hAnsi="Cambria Math"/>
            <w:lang w:val="en-US"/>
          </w:rPr>
          <m:t>τ</m:t>
        </m:r>
      </m:oMath>
      <w:r w:rsidRPr="00F04787">
        <w:rPr>
          <w:lang w:val="en-US"/>
        </w:rPr>
        <w:t xml:space="preserve"> since infection can be formulated as</w:t>
      </w:r>
      <w:r w:rsidR="007652CC">
        <w:rPr>
          <w:lang w:val="en-US"/>
        </w:rPr>
        <w:t xml:space="preserve"> </w:t>
      </w:r>
      <w:r w:rsidRPr="00F04787">
        <w:rPr>
          <w:lang w:val="en-US"/>
        </w:rPr>
        <w:fldChar w:fldCharType="begin"/>
      </w:r>
      <w:r w:rsidR="006A263E">
        <w:rPr>
          <w:lang w:val="en-US"/>
        </w:rPr>
        <w:instrText xml:space="preserve"> ADDIN ZOTERO_ITEM CSL_CITATION {"citationID":"DpsTqb1O","properties":{"formattedCitation":"(Oliver Eales et al., 2023)","plainCitation":"(Oliver Eales et al., 2023)","noteIndex":0},"citationItems":[{"id":2,"uris":["http://zotero.org/users/local/0pdZPGmr/items/4AHIDXEA","http://zotero.org/users/9596130/items/4AHIDXEA"],"itemData":{"id":2,"type":"article-journal","abstract":"To effectively inform infectious disease control strategies, accurate knowledge of the pathogen’s transmission dynamics is required. The infection incidence, which describes the number of new infections in a given time interval (e.g., per day or per week), is fundamental to understanding transmission dynamics, and can be used to estimate the time-varying reproduction number and the severity (e.g., the infection fatality ratio) of a disease. The timings of infections are rarely known and so estimates of the infection incidence often rely on measurements of other quantities amenable to surveillance. Case-based surveillance, in which infected individuals are identified by a positive test, is the pre-dominant form of surveillance for many pathogens, and was used extensively during the COVID-19 pandemic. However, there can be many biases present in case-based surveillance indicators due to, for example, test sensitivity and specificity, changing testing behaviours, and the co-circulation of pathogens with similar symptom profiles. Without a full understanding of the process by which surveillance systems generate data, robust estimates of the infection incidence, time-varying reproduction number, and severity based on these data cannot be made. Here we develop a mathematical description of case-based surveillance of infectious diseases. By considering realistic epidemiological parameters and situations, we demonstrate potential biases in common surveillance indicators based on case-based surveillance data. The description is highly general and could be applied to a diverse set of pathogens and situations. The mathematical description could be used to inform inference of infection incidence using existing data, with a full understanding of where bias and uncertainty will be present in any such analysis. Future surveillance strategies could be designed to minimise these sources of bias and uncertainty, providing more accurate estimates of a pathogen’s transmission dynamics and, ultimately, more targeted application of public health measures.Competing Interest StatementThe authors have declared no competing interest.Funding StatementThis study did not receive any fundingAuthor DeclarationsI confirm all relevant ethical guidelines have been followed, and any necessary IRB and/or ethics committee approvals have been obtained.YesI confirm that all necessary patient/participant consent has been obtained and the appropriate institutional forms have been archived, and that any patient/participant/sample identifiers included were not known to anyone (e.g., hospital staff, patients or participants themselves) outside the research group so cannot be used to identify individuals.YesI understand that all clinical trials and any other prospective interventional studies must be registered with an ICMJE-approved registry, such as ClinicalTrials.gov. I confirm that any such study reported in the manuscript has been registered and the trial registration ID is provided (note: if posting a prospective study registered retrospectively, please provide a statement in the trial ID field explaining why the study was not registered in advance).YesI have followed all appropriate research reporting guidelines, such as any relevant EQUATOR Network research reporting checklist(s) and other pertinent material, if applicable.YesThis is a simulation study and so there is no data.","container-title":"medRxiv","DOI":"10.1101/2023.12.19.23300224","page":"2023.12.19.23300224","title":"Challenges in the case-based surveillance of infectious diseases","author":[{"literal":"Oliver Eales"},{"literal":"James M. McCaw"},{"literal":"Freya M. Shearer"}],"issued":{"date-parts":[["2023",1,1]]}}}],"schema":"https://github.com/citation-style-language/schema/raw/master/csl-citation.json"} </w:instrText>
      </w:r>
      <w:r w:rsidRPr="00F04787">
        <w:rPr>
          <w:lang w:val="en-US"/>
        </w:rPr>
        <w:fldChar w:fldCharType="separate"/>
      </w:r>
      <w:r w:rsidR="006A263E">
        <w:rPr>
          <w:lang w:val="en-US"/>
        </w:rPr>
        <w:t>(Oliver Eales et al., 2023)</w:t>
      </w:r>
      <w:r w:rsidRPr="00F04787">
        <w:rPr>
          <w:lang w:val="en-US"/>
        </w:rPr>
        <w:fldChar w:fldCharType="end"/>
      </w:r>
      <w:r w:rsidR="007652CC">
        <w:rPr>
          <w:lang w:val="en-US"/>
        </w:rPr>
        <w:t>:</w:t>
      </w:r>
      <w:r w:rsidRPr="00F04787">
        <w:rPr>
          <w:lang w:val="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5D4FCC" w:rsidRPr="00F04787" w14:paraId="0C701C05" w14:textId="77777777" w:rsidTr="004D4519">
        <w:tc>
          <w:tcPr>
            <w:tcW w:w="8075" w:type="dxa"/>
            <w:vAlign w:val="center"/>
          </w:tcPr>
          <w:p w14:paraId="6AB0FC21" w14:textId="77777777" w:rsidR="005D4FCC" w:rsidRPr="00F04787" w:rsidRDefault="005D4FCC" w:rsidP="004D4519">
            <w:pPr>
              <w:jc w:val="center"/>
              <w:rPr>
                <w:lang w:val="en-US"/>
              </w:rPr>
            </w:pPr>
            <m:oMathPara>
              <m:oMath>
                <m:r>
                  <w:rPr>
                    <w:rFonts w:ascii="Cambria Math" w:hAnsi="Cambria Math"/>
                    <w:lang w:val="en-US"/>
                  </w:rPr>
                  <m:t>d</m:t>
                </m:r>
                <m:d>
                  <m:dPr>
                    <m:ctrlPr>
                      <w:rPr>
                        <w:rFonts w:ascii="Cambria Math" w:hAnsi="Cambria Math"/>
                        <w:i/>
                        <w:lang w:val="en-US"/>
                      </w:rPr>
                    </m:ctrlPr>
                  </m:dPr>
                  <m:e>
                    <m:r>
                      <w:rPr>
                        <w:rFonts w:ascii="Cambria Math" w:hAnsi="Cambria Math"/>
                        <w:lang w:val="en-US"/>
                      </w:rPr>
                      <m:t>τ</m:t>
                    </m:r>
                  </m:e>
                </m:d>
                <m:r>
                  <w:rPr>
                    <w:rFonts w:ascii="Cambria Math" w:hAnsi="Cambria Math"/>
                    <w:lang w:val="en-US"/>
                  </w:rPr>
                  <m:t>=</m:t>
                </m:r>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τ</m:t>
                    </m:r>
                  </m:sup>
                  <m:e>
                    <m:r>
                      <w:rPr>
                        <w:rFonts w:ascii="Cambria Math" w:hAnsi="Cambria Math"/>
                        <w:lang w:val="en-US"/>
                      </w:rPr>
                      <m:t>σ</m:t>
                    </m:r>
                    <m:d>
                      <m:dPr>
                        <m:ctrlPr>
                          <w:rPr>
                            <w:rFonts w:ascii="Cambria Math" w:hAnsi="Cambria Math"/>
                            <w:i/>
                            <w:lang w:val="en-US"/>
                          </w:rPr>
                        </m:ctrlPr>
                      </m:dPr>
                      <m:e>
                        <m:r>
                          <w:rPr>
                            <w:rFonts w:ascii="Cambria Math" w:hAnsi="Cambria Math"/>
                            <w:lang w:val="en-US"/>
                          </w:rPr>
                          <m:t>ξ</m:t>
                        </m:r>
                      </m:e>
                    </m:d>
                    <m:r>
                      <w:rPr>
                        <w:rFonts w:ascii="Cambria Math" w:hAnsi="Cambria Math"/>
                        <w:lang w:val="en-US"/>
                      </w:rPr>
                      <m:t>λ</m:t>
                    </m:r>
                    <m:d>
                      <m:dPr>
                        <m:ctrlPr>
                          <w:rPr>
                            <w:rFonts w:ascii="Cambria Math" w:hAnsi="Cambria Math"/>
                            <w:i/>
                            <w:lang w:val="en-US"/>
                          </w:rPr>
                        </m:ctrlPr>
                      </m:dPr>
                      <m:e>
                        <m:r>
                          <w:rPr>
                            <w:rFonts w:ascii="Cambria Math" w:hAnsi="Cambria Math"/>
                            <w:lang w:val="en-US"/>
                          </w:rPr>
                          <m:t>τ-ξ</m:t>
                        </m:r>
                      </m:e>
                    </m:d>
                    <m:r>
                      <w:rPr>
                        <w:rFonts w:ascii="Cambria Math" w:hAnsi="Cambria Math"/>
                        <w:lang w:val="en-US"/>
                      </w:rPr>
                      <m:t>dξ</m:t>
                    </m:r>
                  </m:e>
                </m:nary>
              </m:oMath>
            </m:oMathPara>
          </w:p>
        </w:tc>
        <w:tc>
          <w:tcPr>
            <w:tcW w:w="935" w:type="dxa"/>
            <w:vAlign w:val="center"/>
          </w:tcPr>
          <w:p w14:paraId="22C576ED" w14:textId="77777777" w:rsidR="005D4FCC" w:rsidRPr="00F04787" w:rsidRDefault="005D4FCC" w:rsidP="004D4519">
            <w:pPr>
              <w:jc w:val="center"/>
              <w:rPr>
                <w:lang w:val="en-US"/>
              </w:rPr>
            </w:pPr>
            <m:oMathPara>
              <m:oMath>
                <m:r>
                  <w:rPr>
                    <w:rFonts w:ascii="Cambria Math" w:hAnsi="Cambria Math"/>
                    <w:lang w:val="en-US"/>
                  </w:rPr>
                  <m:t>(15)</m:t>
                </m:r>
              </m:oMath>
            </m:oMathPara>
          </w:p>
        </w:tc>
      </w:tr>
    </w:tbl>
    <w:p w14:paraId="6D0470E8" w14:textId="4A815695" w:rsidR="005D4FCC" w:rsidRPr="00F04787" w:rsidRDefault="005D4FCC" w:rsidP="005D4FCC">
      <w:pPr>
        <w:rPr>
          <w:lang w:val="en-US"/>
        </w:rPr>
      </w:pPr>
      <w:r w:rsidRPr="00F04787">
        <w:rPr>
          <w:lang w:val="en-US"/>
        </w:rPr>
        <w:t xml:space="preserve">where </w:t>
      </w:r>
      <m:oMath>
        <m:r>
          <w:rPr>
            <w:rFonts w:ascii="Cambria Math" w:hAnsi="Cambria Math"/>
            <w:lang w:val="en-US"/>
          </w:rPr>
          <m:t>σ</m:t>
        </m:r>
        <m:d>
          <m:dPr>
            <m:ctrlPr>
              <w:rPr>
                <w:rFonts w:ascii="Cambria Math" w:hAnsi="Cambria Math"/>
                <w:i/>
                <w:lang w:val="en-US"/>
              </w:rPr>
            </m:ctrlPr>
          </m:dPr>
          <m:e>
            <m:r>
              <w:rPr>
                <w:rFonts w:ascii="Cambria Math" w:hAnsi="Cambria Math"/>
                <w:lang w:val="en-US"/>
              </w:rPr>
              <m:t>τ</m:t>
            </m:r>
          </m:e>
        </m:d>
      </m:oMath>
      <w:r w:rsidRPr="00F04787">
        <w:rPr>
          <w:lang w:val="en-US"/>
        </w:rPr>
        <w:t xml:space="preserve"> is the probability of symptom onset on day </w:t>
      </w:r>
      <m:oMath>
        <m:r>
          <w:rPr>
            <w:rFonts w:ascii="Cambria Math" w:hAnsi="Cambria Math"/>
            <w:lang w:val="en-US"/>
          </w:rPr>
          <m:t>τ</m:t>
        </m:r>
      </m:oMath>
      <w:r w:rsidRPr="00F04787">
        <w:rPr>
          <w:lang w:val="en-US"/>
        </w:rPr>
        <w:t xml:space="preserve"> since infection and </w:t>
      </w:r>
      <m:oMath>
        <m:r>
          <w:rPr>
            <w:rFonts w:ascii="Cambria Math" w:hAnsi="Cambria Math"/>
            <w:lang w:val="en-US"/>
          </w:rPr>
          <m:t>λ</m:t>
        </m:r>
        <m:d>
          <m:dPr>
            <m:ctrlPr>
              <w:rPr>
                <w:rFonts w:ascii="Cambria Math" w:hAnsi="Cambria Math"/>
                <w:i/>
                <w:lang w:val="en-US"/>
              </w:rPr>
            </m:ctrlPr>
          </m:dPr>
          <m:e>
            <m:r>
              <w:rPr>
                <w:rFonts w:ascii="Cambria Math" w:hAnsi="Cambria Math"/>
                <w:lang w:val="en-US"/>
              </w:rPr>
              <m:t>ν</m:t>
            </m:r>
          </m:e>
        </m:d>
      </m:oMath>
      <w:r w:rsidRPr="00F04787">
        <w:rPr>
          <w:lang w:val="en-US"/>
        </w:rPr>
        <w:t xml:space="preserve"> is probability of symptomatic testing on day </w:t>
      </w:r>
      <m:oMath>
        <m:r>
          <w:rPr>
            <w:rFonts w:ascii="Cambria Math" w:hAnsi="Cambria Math"/>
            <w:lang w:val="en-US"/>
          </w:rPr>
          <m:t>ν</m:t>
        </m:r>
      </m:oMath>
      <w:r w:rsidRPr="00F04787">
        <w:rPr>
          <w:lang w:val="en-US"/>
        </w:rPr>
        <w:t xml:space="preserve"> since symptom onset. </w:t>
      </w:r>
      <m:oMath>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m:t>
            </m:r>
          </m:sup>
          <m:e>
            <m:r>
              <w:rPr>
                <w:rFonts w:ascii="Cambria Math" w:hAnsi="Cambria Math"/>
                <w:lang w:val="en-US"/>
              </w:rPr>
              <m:t>σ</m:t>
            </m:r>
            <m:d>
              <m:dPr>
                <m:ctrlPr>
                  <w:rPr>
                    <w:rFonts w:ascii="Cambria Math" w:hAnsi="Cambria Math"/>
                    <w:i/>
                    <w:lang w:val="en-US"/>
                  </w:rPr>
                </m:ctrlPr>
              </m:dPr>
              <m:e>
                <m:r>
                  <w:rPr>
                    <w:rFonts w:ascii="Cambria Math" w:hAnsi="Cambria Math"/>
                    <w:lang w:val="en-US"/>
                  </w:rPr>
                  <m:t>τ</m:t>
                </m:r>
              </m:e>
            </m:d>
            <m:r>
              <w:rPr>
                <w:rFonts w:ascii="Cambria Math" w:hAnsi="Cambria Math"/>
                <w:lang w:val="en-US"/>
              </w:rPr>
              <m:t>dτ</m:t>
            </m:r>
          </m:e>
        </m:nary>
      </m:oMath>
      <w:r w:rsidRPr="00F04787">
        <w:rPr>
          <w:lang w:val="en-US"/>
        </w:rPr>
        <w:t xml:space="preserve"> can be less than one and is equal to the probability of a symptomatic infection: </w:t>
      </w:r>
      <m:oMath>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m:t>
            </m:r>
          </m:sup>
          <m:e>
            <m:r>
              <w:rPr>
                <w:rFonts w:ascii="Cambria Math" w:hAnsi="Cambria Math"/>
                <w:lang w:val="en-US"/>
              </w:rPr>
              <m:t>σ</m:t>
            </m:r>
            <m:d>
              <m:dPr>
                <m:ctrlPr>
                  <w:rPr>
                    <w:rFonts w:ascii="Cambria Math" w:hAnsi="Cambria Math"/>
                    <w:i/>
                    <w:lang w:val="en-US"/>
                  </w:rPr>
                </m:ctrlPr>
              </m:dPr>
              <m:e>
                <m:r>
                  <w:rPr>
                    <w:rFonts w:ascii="Cambria Math" w:hAnsi="Cambria Math"/>
                    <w:lang w:val="en-US"/>
                  </w:rPr>
                  <m:t>τ</m:t>
                </m:r>
              </m:e>
            </m:d>
            <m:r>
              <w:rPr>
                <w:rFonts w:ascii="Cambria Math" w:hAnsi="Cambria Math"/>
                <w:lang w:val="en-US"/>
              </w:rPr>
              <m:t>dτ</m:t>
            </m:r>
          </m:e>
        </m:nary>
        <m:r>
          <w:rPr>
            <w:rFonts w:ascii="Cambria Math" w:hAnsi="Cambria Math"/>
            <w:lang w:val="en-US"/>
          </w:rPr>
          <m:t>=1-</m:t>
        </m:r>
        <m:sSub>
          <m:sSubPr>
            <m:ctrlPr>
              <w:rPr>
                <w:rFonts w:ascii="Cambria Math" w:hAnsi="Cambria Math"/>
                <w:i/>
                <w:lang w:val="en-US"/>
              </w:rPr>
            </m:ctrlPr>
          </m:sSubPr>
          <m:e>
            <m:r>
              <w:rPr>
                <w:rFonts w:ascii="Cambria Math" w:hAnsi="Cambria Math"/>
                <w:lang w:val="en-US"/>
              </w:rPr>
              <m:t>p</m:t>
            </m:r>
          </m:e>
          <m:sub>
            <m:r>
              <m:rPr>
                <m:nor/>
              </m:rPr>
              <w:rPr>
                <w:rFonts w:ascii="Cambria Math" w:hAnsi="Cambria Math"/>
                <w:lang w:val="en-US"/>
              </w:rPr>
              <m:t>asymptomatic</m:t>
            </m:r>
          </m:sub>
        </m:sSub>
      </m:oMath>
      <w:r w:rsidRPr="00F04787">
        <w:rPr>
          <w:rFonts w:eastAsiaTheme="minorEastAsia"/>
          <w:lang w:val="en-US"/>
        </w:rPr>
        <w:t xml:space="preserve"> where </w:t>
      </w:r>
      <m:oMath>
        <m:sSub>
          <m:sSubPr>
            <m:ctrlPr>
              <w:rPr>
                <w:rFonts w:ascii="Cambria Math" w:hAnsi="Cambria Math"/>
                <w:i/>
                <w:lang w:val="en-US"/>
              </w:rPr>
            </m:ctrlPr>
          </m:sSubPr>
          <m:e>
            <m:r>
              <w:rPr>
                <w:rFonts w:ascii="Cambria Math" w:hAnsi="Cambria Math"/>
                <w:lang w:val="en-US"/>
              </w:rPr>
              <m:t>p</m:t>
            </m:r>
          </m:e>
          <m:sub>
            <m:r>
              <m:rPr>
                <m:nor/>
              </m:rPr>
              <w:rPr>
                <w:rFonts w:ascii="Cambria Math" w:hAnsi="Cambria Math"/>
                <w:lang w:val="en-US"/>
              </w:rPr>
              <m:t>asymptomatic</m:t>
            </m:r>
          </m:sub>
        </m:sSub>
      </m:oMath>
      <w:r w:rsidRPr="00F04787">
        <w:rPr>
          <w:rFonts w:eastAsiaTheme="minorEastAsia"/>
          <w:lang w:val="en-US"/>
        </w:rPr>
        <w:t xml:space="preserve"> is expected probability of asymptomatic infection which we </w:t>
      </w:r>
      <w:r w:rsidRPr="00F04787">
        <w:rPr>
          <w:rFonts w:eastAsiaTheme="minorEastAsia"/>
          <w:lang w:val="en-US"/>
        </w:rPr>
        <w:lastRenderedPageBreak/>
        <w:t>assumed to 16% for influenza infections</w:t>
      </w:r>
      <w:r w:rsidRPr="00F04787">
        <w:rPr>
          <w:lang w:val="en-US"/>
        </w:rPr>
        <w:t>.</w:t>
      </w:r>
      <w:r w:rsidRPr="00F04787">
        <w:rPr>
          <w:lang w:val="en-US"/>
        </w:rPr>
        <w:fldChar w:fldCharType="begin"/>
      </w:r>
      <w:r w:rsidR="006A263E">
        <w:rPr>
          <w:lang w:val="en-US"/>
        </w:rPr>
        <w:instrText xml:space="preserve"> ADDIN ZOTERO_ITEM CSL_CITATION {"citationID":"JTgFijBL","properties":{"formattedCitation":"(Leung et al., 2015)","plainCitation":"(Leung et al., 2015)","noteIndex":0},"citationItems":[{"id":110,"uris":["http://zotero.org/users/local/0pdZPGmr/items/5PRSKE77","http://zotero.org/users/9596130/items/5PRSKE77"],"itemData":{"id":110,"type":"article-journal","abstract":"Background: \n\nThe fraction of persons with influenza virus infection, who do not report any signs or symptoms throughout the course of infection is referred to as the asymptomatic fraction.\n\nMethods:\n\nWe conducted a systematic review and meta-analysis of published estimates of the asymptomatic fraction of influenza virus infections. We found that estimates of the asymptomatic fraction were reported from two different types of studies: first, outbreak investigations with short-term follow-up of potentially exposed persons and virologic confirmation of infections; second, studies conducted across epidemics typically evaluating rates of acute respiratory illness among persons with serologic evidence of infection, in some cases adjusting for background rates of illness from other causes.\n\nResults:\n\nMost point estimates from studies of outbreak investigations fell in the range 4%–28% with low heterogeneity (I2 = 0%) with a pooled mean of 16% (95% confidence interval = 13%, 19%). Estimates from the studies conducted across epidemics without adjustment were very heterogeneous (point estimates 0%–100%; I 2 = 97%), while estimates from studies that adjusted for background illnesses were more consistent with point estimates in the range 65%–85% and moderate heterogeneity (I2 = 58%). Variation in estimates could be partially explained by differences in study design and analysis, and inclusion of mild symptomatic illnesses as asymptomatic in some studies.\n\nConclusions:\n\nEstimates of the asymptomatic fraction are affected by the study design, and the definitions of infection and symptomatic illness. Considerable differences between the asymptomatic fraction of infections confirmed by virologic versus serologic testing may indicate fundamental differences in the interpretation of these two indicators.","container-title":"Epidemiology","ISSN":"1044-3983","issue":"6","title":"Review Article: The Fraction of Influenza Virus Infections That Are Asymptomatic: A Systematic Review and Meta-analysis","URL":"https://journals.lww.com/epidem/fulltext/2015/11000/review_article__the_fraction_of_influenza_virus.13.aspx","volume":"26","author":[{"family":"Leung","given":"Nancy H. L."},{"family":"Xu","given":"Cuiling"},{"family":"Ip","given":"Dennis K. M."},{"family":"Cowling","given":"Benjamin J."}],"issued":{"date-parts":[["2015"]]}}}],"schema":"https://github.com/citation-style-language/schema/raw/master/csl-citation.json"} </w:instrText>
      </w:r>
      <w:r w:rsidRPr="00F04787">
        <w:rPr>
          <w:lang w:val="en-US"/>
        </w:rPr>
        <w:fldChar w:fldCharType="separate"/>
      </w:r>
      <w:r w:rsidR="006A263E">
        <w:rPr>
          <w:lang w:val="en-US"/>
        </w:rPr>
        <w:t>(Leung et al., 2015)</w:t>
      </w:r>
      <w:r w:rsidRPr="00F04787">
        <w:rPr>
          <w:lang w:val="en-US"/>
        </w:rPr>
        <w:fldChar w:fldCharType="end"/>
      </w:r>
      <w:r w:rsidRPr="00F04787">
        <w:rPr>
          <w:lang w:val="en-US"/>
        </w:rPr>
        <w:t xml:space="preserve"> On the other hand, </w:t>
      </w:r>
      <m:oMath>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m:t>
            </m:r>
          </m:sup>
          <m:e>
            <m:r>
              <w:rPr>
                <w:rFonts w:ascii="Cambria Math" w:hAnsi="Cambria Math"/>
                <w:lang w:val="en-US"/>
              </w:rPr>
              <m:t>λ</m:t>
            </m:r>
            <m:d>
              <m:dPr>
                <m:ctrlPr>
                  <w:rPr>
                    <w:rFonts w:ascii="Cambria Math" w:hAnsi="Cambria Math"/>
                    <w:i/>
                    <w:lang w:val="en-US"/>
                  </w:rPr>
                </m:ctrlPr>
              </m:dPr>
              <m:e>
                <m:r>
                  <w:rPr>
                    <w:rFonts w:ascii="Cambria Math" w:hAnsi="Cambria Math"/>
                    <w:lang w:val="en-US"/>
                  </w:rPr>
                  <m:t>θ</m:t>
                </m:r>
              </m:e>
            </m:d>
            <m:r>
              <w:rPr>
                <w:rFonts w:ascii="Cambria Math" w:hAnsi="Cambria Math"/>
                <w:lang w:val="en-US"/>
              </w:rPr>
              <m:t>dθ</m:t>
            </m:r>
          </m:e>
        </m:nary>
      </m:oMath>
      <w:r w:rsidRPr="00F04787">
        <w:rPr>
          <w:lang w:val="en-US"/>
        </w:rPr>
        <w:t xml:space="preserve"> is equal to the willingness of testing provided that all individuals who seek testing will be tested which can also be less than one. In turn, the expected number of infected individuals </w:t>
      </w:r>
      <m:oMath>
        <m:r>
          <w:rPr>
            <w:rFonts w:ascii="Cambria Math" w:hAnsi="Cambria Math"/>
            <w:lang w:val="en-US"/>
          </w:rPr>
          <m:t>T</m:t>
        </m:r>
        <m:d>
          <m:dPr>
            <m:ctrlPr>
              <w:rPr>
                <w:rFonts w:ascii="Cambria Math" w:hAnsi="Cambria Math"/>
                <w:i/>
                <w:lang w:val="en-US"/>
              </w:rPr>
            </m:ctrlPr>
          </m:dPr>
          <m:e>
            <m:r>
              <w:rPr>
                <w:rFonts w:ascii="Cambria Math" w:hAnsi="Cambria Math"/>
                <w:lang w:val="en-US"/>
              </w:rPr>
              <m:t>t</m:t>
            </m:r>
          </m:e>
        </m:d>
      </m:oMath>
      <w:r w:rsidRPr="00F04787">
        <w:rPr>
          <w:lang w:val="en-US"/>
        </w:rPr>
        <w:t xml:space="preserve"> that are positively diagnosed at time </w:t>
      </w:r>
      <m:oMath>
        <m:r>
          <w:rPr>
            <w:rFonts w:ascii="Cambria Math" w:hAnsi="Cambria Math"/>
            <w:lang w:val="en-US"/>
          </w:rPr>
          <m:t>t</m:t>
        </m:r>
      </m:oMath>
      <w:r w:rsidRPr="00F04787">
        <w:rPr>
          <w:lang w:val="en-US"/>
        </w:rPr>
        <w:t xml:space="preserve"> is: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5D4FCC" w:rsidRPr="00F04787" w14:paraId="26A700C2" w14:textId="77777777" w:rsidTr="004D4519">
        <w:tc>
          <w:tcPr>
            <w:tcW w:w="8075" w:type="dxa"/>
            <w:vAlign w:val="center"/>
          </w:tcPr>
          <w:p w14:paraId="5E6C6A71" w14:textId="77777777" w:rsidR="005D4FCC" w:rsidRPr="00F04787" w:rsidRDefault="005D4FCC" w:rsidP="004D4519">
            <w:pPr>
              <w:jc w:val="center"/>
              <w:rPr>
                <w:lang w:val="en-US"/>
              </w:rPr>
            </w:pPr>
            <m:oMathPara>
              <m:oMath>
                <m:r>
                  <w:rPr>
                    <w:rFonts w:ascii="Cambria Math" w:hAnsi="Cambria Math"/>
                    <w:lang w:val="en-US"/>
                  </w:rPr>
                  <m:t>T</m:t>
                </m:r>
                <m:d>
                  <m:dPr>
                    <m:ctrlPr>
                      <w:rPr>
                        <w:rFonts w:ascii="Cambria Math" w:hAnsi="Cambria Math"/>
                        <w:i/>
                        <w:lang w:val="en-US"/>
                      </w:rPr>
                    </m:ctrlPr>
                  </m:dPr>
                  <m:e>
                    <m:r>
                      <w:rPr>
                        <w:rFonts w:ascii="Cambria Math" w:hAnsi="Cambria Math"/>
                        <w:lang w:val="en-US"/>
                      </w:rPr>
                      <m:t>t</m:t>
                    </m:r>
                  </m:e>
                </m:d>
                <m:r>
                  <w:rPr>
                    <w:rFonts w:ascii="Cambria Math" w:hAnsi="Cambria Math"/>
                    <w:lang w:val="en-US"/>
                  </w:rPr>
                  <m:t>=ψ</m:t>
                </m:r>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m:t>
                    </m:r>
                  </m:sup>
                  <m:e>
                    <m:r>
                      <w:rPr>
                        <w:rFonts w:ascii="Cambria Math" w:hAnsi="Cambria Math"/>
                        <w:lang w:val="en-US"/>
                      </w:rPr>
                      <m:t>d</m:t>
                    </m:r>
                    <m:d>
                      <m:dPr>
                        <m:ctrlPr>
                          <w:rPr>
                            <w:rFonts w:ascii="Cambria Math" w:hAnsi="Cambria Math"/>
                            <w:i/>
                            <w:lang w:val="en-US"/>
                          </w:rPr>
                        </m:ctrlPr>
                      </m:dPr>
                      <m:e>
                        <m:r>
                          <w:rPr>
                            <w:rFonts w:ascii="Cambria Math" w:hAnsi="Cambria Math"/>
                            <w:lang w:val="en-US"/>
                          </w:rPr>
                          <m:t>τ</m:t>
                        </m:r>
                      </m:e>
                    </m:d>
                    <m:r>
                      <w:rPr>
                        <w:rFonts w:ascii="Cambria Math" w:hAnsi="Cambria Math"/>
                        <w:lang w:val="en-US"/>
                      </w:rPr>
                      <m:t>I</m:t>
                    </m:r>
                    <m:d>
                      <m:dPr>
                        <m:ctrlPr>
                          <w:rPr>
                            <w:rFonts w:ascii="Cambria Math" w:hAnsi="Cambria Math"/>
                            <w:i/>
                            <w:lang w:val="en-US"/>
                          </w:rPr>
                        </m:ctrlPr>
                      </m:dPr>
                      <m:e>
                        <m:r>
                          <w:rPr>
                            <w:rFonts w:ascii="Cambria Math" w:hAnsi="Cambria Math"/>
                            <w:lang w:val="en-US"/>
                          </w:rPr>
                          <m:t>t-τ</m:t>
                        </m:r>
                      </m:e>
                    </m:d>
                    <m:r>
                      <w:rPr>
                        <w:rFonts w:ascii="Cambria Math" w:hAnsi="Cambria Math"/>
                        <w:lang w:val="en-US"/>
                      </w:rPr>
                      <m:t>dτ</m:t>
                    </m:r>
                  </m:e>
                </m:nary>
              </m:oMath>
            </m:oMathPara>
          </w:p>
        </w:tc>
        <w:tc>
          <w:tcPr>
            <w:tcW w:w="935" w:type="dxa"/>
            <w:vAlign w:val="center"/>
          </w:tcPr>
          <w:p w14:paraId="003C5C21" w14:textId="77777777" w:rsidR="005D4FCC" w:rsidRPr="00F04787" w:rsidRDefault="005D4FCC" w:rsidP="004D4519">
            <w:pPr>
              <w:jc w:val="center"/>
              <w:rPr>
                <w:lang w:val="en-US"/>
              </w:rPr>
            </w:pPr>
            <m:oMathPara>
              <m:oMath>
                <m:r>
                  <w:rPr>
                    <w:rFonts w:ascii="Cambria Math" w:hAnsi="Cambria Math"/>
                    <w:lang w:val="en-US"/>
                  </w:rPr>
                  <m:t>(16)</m:t>
                </m:r>
              </m:oMath>
            </m:oMathPara>
          </w:p>
        </w:tc>
      </w:tr>
    </w:tbl>
    <w:p w14:paraId="38D89507" w14:textId="48BCB7A1" w:rsidR="005D4FCC" w:rsidRPr="00F04787" w:rsidRDefault="005D4FCC" w:rsidP="005D4FCC">
      <w:pPr>
        <w:rPr>
          <w:lang w:val="en-US"/>
        </w:rPr>
      </w:pPr>
      <w:r w:rsidRPr="00F04787">
        <w:rPr>
          <w:lang w:val="en-US"/>
        </w:rPr>
        <w:t xml:space="preserve">where </w:t>
      </w:r>
      <m:oMath>
        <m:r>
          <w:rPr>
            <w:rFonts w:ascii="Cambria Math" w:hAnsi="Cambria Math"/>
            <w:lang w:val="en-US"/>
          </w:rPr>
          <m:t>ψ</m:t>
        </m:r>
      </m:oMath>
      <w:r w:rsidRPr="00F04787">
        <w:rPr>
          <w:lang w:val="en-US"/>
        </w:rPr>
        <w:t xml:space="preserve"> is the sensitivity of the diagnostic test. </w:t>
      </w:r>
    </w:p>
    <w:p w14:paraId="317136C0" w14:textId="5BAF0476" w:rsidR="005D4FCC" w:rsidRPr="00F04787" w:rsidRDefault="005D4FCC" w:rsidP="005D4FCC">
      <w:pPr>
        <w:rPr>
          <w:lang w:val="en-US"/>
        </w:rPr>
      </w:pPr>
      <w:r w:rsidRPr="00F04787">
        <w:rPr>
          <w:lang w:val="en-US"/>
        </w:rPr>
        <w:t xml:space="preserve">In the discrete form, assuming that </w:t>
      </w:r>
      <m:oMath>
        <m:r>
          <w:rPr>
            <w:rFonts w:ascii="Cambria Math" w:hAnsi="Cambria Math"/>
            <w:lang w:val="en-US"/>
          </w:rPr>
          <m:t>d</m:t>
        </m:r>
        <m:d>
          <m:dPr>
            <m:ctrlPr>
              <w:rPr>
                <w:rFonts w:ascii="Cambria Math" w:hAnsi="Cambria Math"/>
                <w:i/>
                <w:lang w:val="en-US"/>
              </w:rPr>
            </m:ctrlPr>
          </m:dPr>
          <m:e>
            <m:r>
              <w:rPr>
                <w:rFonts w:ascii="Cambria Math" w:hAnsi="Cambria Math"/>
                <w:lang w:val="en-US"/>
              </w:rPr>
              <m:t>τ</m:t>
            </m:r>
          </m:e>
        </m:d>
      </m:oMath>
      <w:r w:rsidRPr="00F04787">
        <w:rPr>
          <w:lang w:val="en-US"/>
        </w:rPr>
        <w:t xml:space="preserve"> is the same for all age groups, the expected number of infected individuals of age group </w:t>
      </w:r>
      <m:oMath>
        <m:r>
          <w:rPr>
            <w:rFonts w:ascii="Cambria Math" w:hAnsi="Cambria Math"/>
            <w:lang w:val="en-US"/>
          </w:rPr>
          <m:t>a</m:t>
        </m:r>
      </m:oMath>
      <w:r w:rsidRPr="00F04787">
        <w:rPr>
          <w:rFonts w:eastAsiaTheme="minorEastAsia"/>
          <w:lang w:val="en-US"/>
        </w:rPr>
        <w:t xml:space="preserve"> with infection age of </w:t>
      </w:r>
      <m:oMath>
        <m:r>
          <w:rPr>
            <w:rFonts w:ascii="Cambria Math" w:hAnsi="Cambria Math"/>
            <w:lang w:val="en-US"/>
          </w:rPr>
          <m:t>τ</m:t>
        </m:r>
      </m:oMath>
      <w:r w:rsidRPr="00F04787">
        <w:rPr>
          <w:rFonts w:eastAsiaTheme="minorEastAsia"/>
          <w:lang w:val="en-US"/>
        </w:rPr>
        <w:t xml:space="preserve"> days</w:t>
      </w:r>
      <w:r w:rsidRPr="00F04787">
        <w:rPr>
          <w:lang w:val="en-US"/>
        </w:rPr>
        <w:t xml:space="preserve"> that are positively tested on day </w:t>
      </w:r>
      <m:oMath>
        <m:r>
          <w:rPr>
            <w:rFonts w:ascii="Cambria Math" w:hAnsi="Cambria Math"/>
            <w:lang w:val="en-US"/>
          </w:rPr>
          <m:t>t</m:t>
        </m:r>
      </m:oMath>
      <w:r w:rsidRPr="00F04787">
        <w:rPr>
          <w:lang w:val="en-US"/>
        </w:rPr>
        <w:t xml:space="preserve"> is therefore: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5D4FCC" w:rsidRPr="00F04787" w14:paraId="56A89ED1" w14:textId="77777777" w:rsidTr="004D4519">
        <w:tc>
          <w:tcPr>
            <w:tcW w:w="8075" w:type="dxa"/>
            <w:vAlign w:val="center"/>
          </w:tcPr>
          <w:p w14:paraId="5F4E31AD" w14:textId="77777777" w:rsidR="005D4FCC" w:rsidRPr="00F04787" w:rsidRDefault="005D4FCC" w:rsidP="004D4519">
            <w:pPr>
              <w:jc w:val="center"/>
              <w:rPr>
                <w:lang w:val="en-US"/>
              </w:rPr>
            </w:pPr>
            <m:oMathPara>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t,a</m:t>
                    </m:r>
                  </m:sub>
                </m:sSub>
                <m:r>
                  <m:rPr>
                    <m:aln/>
                  </m:rPr>
                  <w:rPr>
                    <w:rFonts w:ascii="Cambria Math" w:hAnsi="Cambria Math"/>
                    <w:lang w:val="en-US"/>
                  </w:rPr>
                  <m:t>=ψ</m:t>
                </m:r>
                <m:nary>
                  <m:naryPr>
                    <m:chr m:val="∑"/>
                    <m:limLoc m:val="undOvr"/>
                    <m:ctrlPr>
                      <w:rPr>
                        <w:rFonts w:ascii="Cambria Math" w:hAnsi="Cambria Math"/>
                        <w:i/>
                        <w:lang w:val="en-US"/>
                      </w:rPr>
                    </m:ctrlPr>
                  </m:naryPr>
                  <m:sub>
                    <m:r>
                      <w:rPr>
                        <w:rFonts w:ascii="Cambria Math" w:hAnsi="Cambria Math"/>
                        <w:lang w:val="en-US"/>
                      </w:rPr>
                      <m:t>τ=0</m:t>
                    </m:r>
                  </m:sub>
                  <m:sup>
                    <m:r>
                      <w:rPr>
                        <w:rFonts w:ascii="Cambria Math" w:hAnsi="Cambria Math"/>
                        <w:lang w:val="en-US"/>
                      </w:rPr>
                      <m:t>t-1</m:t>
                    </m:r>
                  </m:sup>
                  <m:e>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t-τ</m:t>
                        </m:r>
                      </m:sub>
                    </m:sSub>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τ</m:t>
                        </m:r>
                        <m:r>
                          <m:rPr>
                            <m:sty m:val="p"/>
                          </m:rPr>
                          <w:rPr>
                            <w:rFonts w:ascii="Cambria Math" w:hAnsi="Cambria Math"/>
                            <w:lang w:val="en-US"/>
                          </w:rPr>
                          <m:t>,</m:t>
                        </m:r>
                        <m:r>
                          <w:rPr>
                            <w:rFonts w:ascii="Cambria Math" w:hAnsi="Cambria Math"/>
                            <w:lang w:val="en-US"/>
                          </w:rPr>
                          <m:t>y=0,a,d=0</m:t>
                        </m:r>
                      </m:sub>
                    </m:sSub>
                  </m:e>
                </m:nary>
                <m:r>
                  <w:rPr>
                    <w:rFonts w:ascii="Cambria Math" w:hAnsi="Cambria Math"/>
                    <w:lang w:val="en-US"/>
                  </w:rPr>
                  <m:t>=ψ</m:t>
                </m:r>
                <m:nary>
                  <m:naryPr>
                    <m:chr m:val="∑"/>
                    <m:limLoc m:val="undOvr"/>
                    <m:ctrlPr>
                      <w:rPr>
                        <w:rFonts w:ascii="Cambria Math" w:hAnsi="Cambria Math"/>
                        <w:i/>
                        <w:lang w:val="en-US"/>
                      </w:rPr>
                    </m:ctrlPr>
                  </m:naryPr>
                  <m:sub>
                    <m:r>
                      <w:rPr>
                        <w:rFonts w:ascii="Cambria Math" w:hAnsi="Cambria Math"/>
                        <w:lang w:val="en-US"/>
                      </w:rPr>
                      <m:t>τ=0</m:t>
                    </m:r>
                  </m:sub>
                  <m:sup>
                    <m:r>
                      <w:rPr>
                        <w:rFonts w:ascii="Cambria Math" w:hAnsi="Cambria Math"/>
                        <w:lang w:val="en-US"/>
                      </w:rPr>
                      <m:t>t-1</m:t>
                    </m:r>
                  </m:sup>
                  <m:e>
                    <m:d>
                      <m:dPr>
                        <m:ctrlPr>
                          <w:rPr>
                            <w:rFonts w:ascii="Cambria Math" w:hAnsi="Cambria Math"/>
                            <w:i/>
                            <w:lang w:val="en-US"/>
                          </w:rPr>
                        </m:ctrlPr>
                      </m:dPr>
                      <m:e>
                        <m:nary>
                          <m:naryPr>
                            <m:chr m:val="∑"/>
                            <m:limLoc m:val="undOvr"/>
                            <m:ctrlPr>
                              <w:rPr>
                                <w:rFonts w:ascii="Cambria Math" w:hAnsi="Cambria Math"/>
                                <w:i/>
                                <w:lang w:val="en-US"/>
                              </w:rPr>
                            </m:ctrlPr>
                          </m:naryPr>
                          <m:sub>
                            <m:r>
                              <w:rPr>
                                <w:rFonts w:ascii="Cambria Math" w:hAnsi="Cambria Math"/>
                                <w:lang w:val="en-US"/>
                              </w:rPr>
                              <m:t xml:space="preserve">ξ=0 </m:t>
                            </m:r>
                          </m:sub>
                          <m:sup>
                            <m:r>
                              <w:rPr>
                                <w:rFonts w:ascii="Cambria Math" w:hAnsi="Cambria Math"/>
                                <w:lang w:val="en-US"/>
                              </w:rPr>
                              <m:t>t-τ</m:t>
                            </m:r>
                          </m:sup>
                          <m:e>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ξ</m:t>
                                </m:r>
                              </m:sub>
                            </m:sSub>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t-τ-ξ</m:t>
                                </m:r>
                              </m:sub>
                            </m:sSub>
                          </m:e>
                        </m:nary>
                      </m:e>
                    </m:d>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τ</m:t>
                        </m:r>
                        <m:r>
                          <m:rPr>
                            <m:sty m:val="p"/>
                          </m:rPr>
                          <w:rPr>
                            <w:rFonts w:ascii="Cambria Math" w:hAnsi="Cambria Math"/>
                            <w:lang w:val="en-US"/>
                          </w:rPr>
                          <m:t>,</m:t>
                        </m:r>
                        <m:r>
                          <w:rPr>
                            <w:rFonts w:ascii="Cambria Math" w:hAnsi="Cambria Math"/>
                            <w:lang w:val="en-US"/>
                          </w:rPr>
                          <m:t>y=0,a,d=0</m:t>
                        </m:r>
                      </m:sub>
                    </m:sSub>
                  </m:e>
                </m:nary>
              </m:oMath>
            </m:oMathPara>
          </w:p>
        </w:tc>
        <w:tc>
          <w:tcPr>
            <w:tcW w:w="935" w:type="dxa"/>
            <w:vAlign w:val="center"/>
          </w:tcPr>
          <w:p w14:paraId="55D49017" w14:textId="77777777" w:rsidR="005D4FCC" w:rsidRPr="00F04787" w:rsidRDefault="005D4FCC" w:rsidP="004D4519">
            <w:pPr>
              <w:jc w:val="center"/>
              <w:rPr>
                <w:lang w:val="en-US"/>
              </w:rPr>
            </w:pPr>
            <m:oMathPara>
              <m:oMath>
                <m:r>
                  <w:rPr>
                    <w:rFonts w:ascii="Cambria Math" w:hAnsi="Cambria Math"/>
                    <w:lang w:val="en-US"/>
                  </w:rPr>
                  <m:t>(17)</m:t>
                </m:r>
              </m:oMath>
            </m:oMathPara>
          </w:p>
        </w:tc>
      </w:tr>
    </w:tbl>
    <w:p w14:paraId="7276944D" w14:textId="77777777" w:rsidR="005D4FCC" w:rsidRPr="00F04787" w:rsidRDefault="005D4FCC" w:rsidP="005D4FCC">
      <w:r w:rsidRPr="00F04787">
        <w:t xml:space="preserve">We assumed the ideal scenario where rapid diagnostic tests are used, with no delay in obtaining results after testing, and are widely available and accessible to the whole population (i.e. no shortages). </w:t>
      </w:r>
    </w:p>
    <w:p w14:paraId="2C234CE4" w14:textId="7A8B7E16" w:rsidR="005D4FCC" w:rsidRPr="00F04787" w:rsidRDefault="005D4FCC" w:rsidP="005D4FCC">
      <w:r>
        <w:t>I</w:t>
      </w:r>
      <w:r w:rsidRPr="00F04787">
        <w:t>nfected individuals</w:t>
      </w:r>
      <w:r>
        <w:t xml:space="preserve"> that test positive</w:t>
      </w:r>
      <w:r w:rsidRPr="00F04787">
        <w:t xml:space="preserve"> may then be given antiviral that will change their infectiousness profile </w:t>
      </w:r>
      <m:oMath>
        <m:r>
          <w:rPr>
            <w:rFonts w:ascii="Cambria Math" w:hAnsi="Cambria Math"/>
          </w:rPr>
          <m:t>y</m:t>
        </m:r>
      </m:oMath>
      <w:r w:rsidRPr="00F04787">
        <w:rPr>
          <w:rFonts w:eastAsiaTheme="minorEastAsia"/>
        </w:rPr>
        <w:t xml:space="preserve"> depending on the infection age </w:t>
      </w:r>
      <m:oMath>
        <m:r>
          <w:rPr>
            <w:rFonts w:ascii="Cambria Math" w:hAnsi="Cambria Math"/>
            <w:lang w:val="en-US"/>
          </w:rPr>
          <m:t>τ</m:t>
        </m:r>
      </m:oMath>
      <w:r w:rsidRPr="00F04787">
        <w:rPr>
          <w:rFonts w:eastAsiaTheme="minorEastAsia"/>
          <w:lang w:val="en-US"/>
        </w:rPr>
        <w:t xml:space="preserve"> when the antiviral was administered</w:t>
      </w:r>
      <w:r w:rsidRPr="00F04787">
        <w:t xml:space="preserve"> and whether or not the individual adhered to the treatment regime. The number of test-and-treated individuals</w:t>
      </w:r>
      <w:r>
        <w:t xml:space="preserve"> (</w:t>
      </w:r>
      <m:oMath>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treatment,τ,a</m:t>
            </m:r>
          </m:sub>
        </m:sSub>
      </m:oMath>
      <w:r>
        <w:rPr>
          <w:rFonts w:eastAsiaTheme="minorEastAsia"/>
          <w:lang w:val="en-US"/>
        </w:rPr>
        <w:t>)</w:t>
      </w:r>
      <w:r w:rsidRPr="00F04787">
        <w:t xml:space="preserve"> </w:t>
      </w:r>
      <w:r w:rsidRPr="00F04787">
        <w:rPr>
          <w:lang w:val="en-US"/>
        </w:rPr>
        <w:t xml:space="preserve">of age group </w:t>
      </w:r>
      <m:oMath>
        <m:r>
          <w:rPr>
            <w:rFonts w:ascii="Cambria Math" w:hAnsi="Cambria Math"/>
            <w:lang w:val="en-US"/>
          </w:rPr>
          <m:t>a</m:t>
        </m:r>
      </m:oMath>
      <w:r w:rsidRPr="00F04787">
        <w:rPr>
          <w:rFonts w:eastAsiaTheme="minorEastAsia"/>
          <w:lang w:val="en-US"/>
        </w:rPr>
        <w:t xml:space="preserve"> with infection age of </w:t>
      </w:r>
      <m:oMath>
        <m:r>
          <w:rPr>
            <w:rFonts w:ascii="Cambria Math" w:hAnsi="Cambria Math"/>
            <w:lang w:val="en-US"/>
          </w:rPr>
          <m:t>τ</m:t>
        </m:r>
      </m:oMath>
      <w:r w:rsidRPr="00F04787">
        <w:rPr>
          <w:rFonts w:eastAsiaTheme="minorEastAsia"/>
          <w:lang w:val="en-US"/>
        </w:rPr>
        <w:t xml:space="preserve"> days</w:t>
      </w:r>
      <w:r w:rsidRPr="00F04787">
        <w:rPr>
          <w:lang w:val="en-US"/>
        </w:rPr>
        <w:t xml:space="preserve"> </w:t>
      </w:r>
      <w:r w:rsidRPr="00F04787">
        <w:t xml:space="preserve">who </w:t>
      </w:r>
      <w:r>
        <w:t>are treated is then:</w:t>
      </w:r>
      <w:r w:rsidRPr="00F04787">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5D4FCC" w:rsidRPr="00F04787" w14:paraId="452245F2" w14:textId="77777777" w:rsidTr="004D4519">
        <w:tc>
          <w:tcPr>
            <w:tcW w:w="8075" w:type="dxa"/>
            <w:vAlign w:val="center"/>
          </w:tcPr>
          <w:p w14:paraId="61499893" w14:textId="77777777" w:rsidR="005D4FCC" w:rsidRPr="00F04787" w:rsidRDefault="005D4FCC" w:rsidP="004D4519">
            <w:pPr>
              <w:jc w:val="center"/>
              <w:rPr>
                <w:lang w:val="en-US"/>
              </w:rPr>
            </w:pPr>
            <m:oMathPara>
              <m:oMath>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treatment,τ,a</m:t>
                    </m:r>
                  </m:sub>
                </m:sSub>
                <m:r>
                  <m:rPr>
                    <m:aln/>
                  </m:rPr>
                  <w:rPr>
                    <w:rFonts w:ascii="Cambria Math" w:hAnsi="Cambria Math"/>
                    <w:lang w:val="en-US"/>
                  </w:rPr>
                  <m:t>=ψ</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t-τ</m:t>
                    </m:r>
                  </m:sub>
                </m:sSub>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τ</m:t>
                    </m:r>
                    <m:r>
                      <m:rPr>
                        <m:sty m:val="p"/>
                      </m:rPr>
                      <w:rPr>
                        <w:rFonts w:ascii="Cambria Math" w:hAnsi="Cambria Math"/>
                        <w:lang w:val="en-US"/>
                      </w:rPr>
                      <m:t>,</m:t>
                    </m:r>
                    <m:r>
                      <w:rPr>
                        <w:rFonts w:ascii="Cambria Math" w:hAnsi="Cambria Math"/>
                        <w:lang w:val="en-US"/>
                      </w:rPr>
                      <m:t>y=0,a,d=0</m:t>
                    </m:r>
                  </m:sub>
                </m:sSub>
                <m:r>
                  <w:rPr>
                    <w:rFonts w:ascii="Cambria Math" w:hAnsi="Cambria Math"/>
                    <w:lang w:val="en-US"/>
                  </w:rPr>
                  <m:t xml:space="preserve">     ∀ τ≤t-1</m:t>
                </m:r>
              </m:oMath>
            </m:oMathPara>
          </w:p>
        </w:tc>
        <w:tc>
          <w:tcPr>
            <w:tcW w:w="935" w:type="dxa"/>
            <w:vAlign w:val="center"/>
          </w:tcPr>
          <w:p w14:paraId="5F6F1FC2" w14:textId="77777777" w:rsidR="005D4FCC" w:rsidRPr="00F04787" w:rsidRDefault="005D4FCC" w:rsidP="004D4519">
            <w:pPr>
              <w:jc w:val="center"/>
              <w:rPr>
                <w:lang w:val="en-US"/>
              </w:rPr>
            </w:pPr>
            <m:oMathPara>
              <m:oMath>
                <m:r>
                  <w:rPr>
                    <w:rFonts w:ascii="Cambria Math" w:hAnsi="Cambria Math"/>
                    <w:lang w:val="en-US"/>
                  </w:rPr>
                  <m:t>(18)</m:t>
                </m:r>
              </m:oMath>
            </m:oMathPara>
          </w:p>
        </w:tc>
      </w:tr>
    </w:tbl>
    <w:p w14:paraId="14990D6C" w14:textId="5E760E00" w:rsidR="005D4FCC" w:rsidRPr="00F04787" w:rsidRDefault="005D4FCC" w:rsidP="005D4FCC">
      <w:r w:rsidRPr="00F04787">
        <w:t xml:space="preserve">We also assumed that there is no delay in administration of antivirals upon receiving testing results (i.e. testing and drug administration occurs during the same clinical visit).  </w:t>
      </w:r>
    </w:p>
    <w:p w14:paraId="4EA49843" w14:textId="77777777" w:rsidR="005D4FCC" w:rsidRPr="00F04787" w:rsidRDefault="005D4FCC" w:rsidP="005D4FCC"/>
    <w:p w14:paraId="1B722CBE" w14:textId="77777777" w:rsidR="005D4FCC" w:rsidRPr="00F04787" w:rsidRDefault="005D4FCC" w:rsidP="005D4FCC">
      <w:pPr>
        <w:pStyle w:val="Heading2"/>
      </w:pPr>
      <w:bookmarkStart w:id="5" w:name="_Toc192246975"/>
      <w:r w:rsidRPr="00F04787">
        <w:t>Post-exposure prophylaxis</w:t>
      </w:r>
      <w:bookmarkEnd w:id="5"/>
    </w:p>
    <w:p w14:paraId="062B25CE" w14:textId="7B08F76C" w:rsidR="005D4FCC" w:rsidRPr="00F04787" w:rsidRDefault="005D4FCC" w:rsidP="005D4FCC">
      <w:pPr>
        <w:rPr>
          <w:lang w:val="en-US"/>
        </w:rPr>
      </w:pPr>
      <w:r w:rsidRPr="00F04787">
        <w:rPr>
          <w:lang w:val="en-US"/>
        </w:rPr>
        <w:t>Besides symptomatic testing, contacts of positively-tested individuals may be contact traced and be given antivirals as a post-exposure prophylaxis which has been shown to be effective at reducing transmission risk</w:t>
      </w:r>
      <w:r w:rsidR="00C4579B">
        <w:rPr>
          <w:lang w:val="en-US"/>
        </w:rPr>
        <w:t xml:space="preserve"> </w:t>
      </w:r>
      <w:r w:rsidRPr="00F04787">
        <w:rPr>
          <w:lang w:val="en-US"/>
        </w:rPr>
        <w:fldChar w:fldCharType="begin"/>
      </w:r>
      <w:r w:rsidR="006A263E">
        <w:rPr>
          <w:lang w:val="en-US"/>
        </w:rPr>
        <w:instrText xml:space="preserve"> ADDIN ZOTERO_ITEM CSL_CITATION {"citationID":"G5qcTqKZ","properties":{"formattedCitation":"(Ikematsu Hideyuki et al., 2020; Zhao et al., 2024)","plainCitation":"(Ikematsu Hideyuki et al., 2020; Zhao et al., 2024)","noteIndex":0},"citationItems":[{"id":100,"uris":["http://zotero.org/users/local/0pdZPGmr/items/XGBVRI4I","http://zotero.org/users/9596130/items/XGBVRI4I"],"itemData":{"id":100,"type":"article-journal","container-title":"New England Journal of Medicine","DOI":"10.1056/NEJMoa1915341","issue":"4","journalAbbreviation":"New England Journal of Medicine","note":"publisher: Massachusetts Medical Society","page":"309-320","title":"Baloxavir Marboxil for Prophylaxis against Influenza in Household Contacts","volume":"383","author":[{"literal":"Ikematsu Hideyuki"},{"literal":"Hayden Frederick G."},{"literal":"Kawaguchi Keiko"},{"literal":"Kinoshita Masahiro"},{"literal":"de Jong Menno D."},{"literal":"Lee Nelson"},{"literal":"Takashima Satoru"},{"literal":"Noshi Takeshi"},{"literal":"Tsuchiya Kenji"},{"literal":"Uehara Takeki"}],"issued":{"date-parts":[["2020",7,23]]}}},{"id":98,"uris":["http://zotero.org/users/local/0pdZPGmr/items/IGYA24Z2","http://zotero.org/users/9596130/items/IGYA24Z2"],"itemData":{"id":98,"type":"article-journal","container-title":"The Lancet","DOI":"10.1016/S0140-6736(24)01357-6","ISSN":"0140-6736","issue":"10454","note":"publisher: Elsevier","page":"764-772","title":"Antivirals for post-exposure prophylaxis of influenza: a systematic review and network meta-analysis","volume":"404","author":[{"family":"Zhao","given":"Yunli"},{"family":"Gao","given":"Ya"},{"family":"Guyatt","given":"Gordon"},{"family":"Uyeki","given":"Timothy M"},{"family":"Liu","given":"Ping"},{"family":"Liu","given":"Ming"},{"family":"Shen","given":"Yanjiao"},{"family":"Chen","given":"Xiaoyan"},{"family":"Luo","given":"Shuyue"},{"family":"Li","given":"Xingsheng"},{"family":"Huang","given":"Rongzhong"},{"family":"Hao","given":"Qiukui"}],"issued":{"date-parts":[["2024",8,24]]}}}],"schema":"https://github.com/citation-style-language/schema/raw/master/csl-citation.json"} </w:instrText>
      </w:r>
      <w:r w:rsidRPr="00F04787">
        <w:rPr>
          <w:lang w:val="en-US"/>
        </w:rPr>
        <w:fldChar w:fldCharType="separate"/>
      </w:r>
      <w:r w:rsidR="006A263E">
        <w:rPr>
          <w:lang w:val="en-US"/>
        </w:rPr>
        <w:t>(Ikematsu Hideyuki et al., 2020; Zhao et al., 2024)</w:t>
      </w:r>
      <w:r w:rsidRPr="00F04787">
        <w:rPr>
          <w:lang w:val="en-US"/>
        </w:rPr>
        <w:fldChar w:fldCharType="end"/>
      </w:r>
      <w:r w:rsidR="00C4579B">
        <w:rPr>
          <w:lang w:val="en-US"/>
        </w:rPr>
        <w:t>.</w:t>
      </w:r>
      <w:r w:rsidRPr="00F04787">
        <w:rPr>
          <w:lang w:val="en-US"/>
        </w:rPr>
        <w:t xml:space="preserve"> </w:t>
      </w:r>
    </w:p>
    <w:p w14:paraId="4036F54F" w14:textId="51ADC289" w:rsidR="005D4FCC" w:rsidRPr="005D4FCC" w:rsidRDefault="005D4FCC" w:rsidP="005D4FCC">
      <w:pPr>
        <w:rPr>
          <w:lang w:val="en-US"/>
        </w:rPr>
      </w:pPr>
      <w:r w:rsidRPr="00F04787">
        <w:rPr>
          <w:lang w:val="en-US"/>
        </w:rPr>
        <w:lastRenderedPageBreak/>
        <w:t>We focused on forward contact tracing: exposed contacts were identified by contact tracing after an index case was positively diagnosed</w:t>
      </w:r>
      <w:r w:rsidR="002452C4">
        <w:rPr>
          <w:lang w:val="en-US"/>
        </w:rPr>
        <w:t xml:space="preserve"> </w:t>
      </w:r>
      <w:r w:rsidRPr="00F04787">
        <w:rPr>
          <w:lang w:val="en-US"/>
        </w:rPr>
        <w:fldChar w:fldCharType="begin"/>
      </w:r>
      <w:r w:rsidR="006A263E">
        <w:rPr>
          <w:lang w:val="en-US"/>
        </w:rPr>
        <w:instrText xml:space="preserve"> ADDIN ZOTERO_ITEM CSL_CITATION {"citationID":"kCne8Bhh","properties":{"formattedCitation":"(Scarabel et al., 2021)","plainCitation":"(Scarabel et al., 2021)","noteIndex":0},"citationItems":[{"id":3,"uris":["http://zotero.org/users/local/0pdZPGmr/items/CKJ3PGKJ","http://zotero.org/users/9596130/items/CKJ3PGKJ"],"itemData":{"id":3,"type":"article-journal","container-title":"Royal Society Open Science","DOI":"10.1098/rsos.202091","issue":"4","journalAbbreviation":"Royal Society Open Science","note":"publisher: Royal Society","page":"202091","title":"A renewal equation model to assess roles and limitations of contact tracing for disease outbreak control","volume":"8","author":[{"family":"Scarabel","given":"Francesca"},{"family":"Pellis","given":"Lorenzo"},{"family":"Ogden","given":"Nicholas H."},{"family":"Wu","given":"Jianhong"}],"issued":{"date-parts":[["2021",4,7]]}}}],"schema":"https://github.com/citation-style-language/schema/raw/master/csl-citation.json"} </w:instrText>
      </w:r>
      <w:r w:rsidRPr="00F04787">
        <w:rPr>
          <w:lang w:val="en-US"/>
        </w:rPr>
        <w:fldChar w:fldCharType="separate"/>
      </w:r>
      <w:r w:rsidR="006A263E">
        <w:rPr>
          <w:lang w:val="en-US"/>
        </w:rPr>
        <w:t>(Scarabel et al., 2021)</w:t>
      </w:r>
      <w:r w:rsidRPr="00F04787">
        <w:rPr>
          <w:lang w:val="en-US"/>
        </w:rPr>
        <w:fldChar w:fldCharType="end"/>
      </w:r>
      <w:r w:rsidR="002452C4">
        <w:rPr>
          <w:lang w:val="en-US"/>
        </w:rPr>
        <w:t>.</w:t>
      </w:r>
      <w:r w:rsidRPr="00F04787">
        <w:rPr>
          <w:lang w:val="en-US"/>
        </w:rPr>
        <w:t xml:space="preserve"> </w:t>
      </w:r>
      <w:r w:rsidRPr="00F04787">
        <w:rPr>
          <w:rFonts w:eastAsiaTheme="minorEastAsia"/>
          <w:lang w:val="en-US" w:eastAsia="zh-CN"/>
        </w:rPr>
        <w:t xml:space="preserve">The number of individuals of age group </w:t>
      </w:r>
      <m:oMath>
        <m:r>
          <w:rPr>
            <w:rFonts w:ascii="Cambria Math" w:eastAsiaTheme="minorEastAsia" w:hAnsi="Cambria Math"/>
            <w:lang w:val="en-US" w:eastAsia="zh-CN"/>
          </w:rPr>
          <m:t>a</m:t>
        </m:r>
      </m:oMath>
      <w:r w:rsidRPr="00F04787">
        <w:rPr>
          <w:rFonts w:eastAsiaTheme="minorEastAsia"/>
          <w:lang w:val="en-US" w:eastAsia="zh-CN"/>
        </w:rPr>
        <w:t xml:space="preserve"> that are traced on day </w:t>
      </w:r>
      <m:oMath>
        <m:r>
          <w:rPr>
            <w:rFonts w:ascii="Cambria Math" w:eastAsiaTheme="minorEastAsia" w:hAnsi="Cambria Math"/>
            <w:lang w:val="en-US" w:eastAsia="zh-CN"/>
          </w:rPr>
          <m:t>t</m:t>
        </m:r>
      </m:oMath>
      <w:r w:rsidRPr="00F04787">
        <w:rPr>
          <w:rFonts w:eastAsiaTheme="minorEastAsia"/>
          <w:lang w:val="en-US" w:eastAsia="zh-CN"/>
        </w:rPr>
        <w:t xml:space="preserve">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t,a</m:t>
            </m:r>
          </m:sub>
        </m:sSub>
      </m:oMath>
      <w:r w:rsidRPr="00F04787">
        <w:rPr>
          <w:rFonts w:eastAsiaTheme="minorEastAsia"/>
          <w:lang w:val="en-US" w:eastAsia="zh-CN"/>
        </w:rPr>
        <w:t xml:space="preserve">) depends on the probability that an index case with infection age </w:t>
      </w:r>
      <m:oMath>
        <m:r>
          <w:rPr>
            <w:rFonts w:ascii="Cambria Math" w:eastAsiaTheme="minorEastAsia" w:hAnsi="Cambria Math"/>
            <w:lang w:val="en-US" w:eastAsia="zh-CN"/>
          </w:rPr>
          <m:t>τ</m:t>
        </m:r>
      </m:oMath>
      <w:r w:rsidRPr="00F04787">
        <w:rPr>
          <w:rFonts w:eastAsiaTheme="minorEastAsia"/>
          <w:lang w:val="en-US" w:eastAsia="zh-CN"/>
        </w:rPr>
        <w:t xml:space="preserve"> was tested positive (</w:t>
      </w:r>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τ</m:t>
            </m:r>
          </m:sub>
        </m:sSub>
        <m:r>
          <w:rPr>
            <w:rFonts w:ascii="Cambria Math" w:eastAsiaTheme="minorEastAsia" w:hAnsi="Cambria Math"/>
            <w:lang w:val="en-US"/>
          </w:rPr>
          <m:t>)</m:t>
        </m:r>
      </m:oMath>
      <w:r w:rsidRPr="00F04787">
        <w:rPr>
          <w:rFonts w:eastAsiaTheme="minorEastAsia"/>
          <w:lang w:val="en-US" w:eastAsia="zh-CN"/>
        </w:rPr>
        <w:t>, the number of infected individual</w:t>
      </w:r>
      <w:r>
        <w:rPr>
          <w:rFonts w:eastAsiaTheme="minorEastAsia"/>
          <w:lang w:val="en-US" w:eastAsia="zh-CN"/>
        </w:rPr>
        <w:t>s</w:t>
      </w:r>
      <w:r w:rsidRPr="00F04787">
        <w:rPr>
          <w:rFonts w:eastAsiaTheme="minorEastAsia"/>
          <w:lang w:val="en-US" w:eastAsia="zh-CN"/>
        </w:rPr>
        <w:t xml:space="preserve"> of age group </w:t>
      </w:r>
      <m:oMath>
        <m:r>
          <w:rPr>
            <w:rFonts w:ascii="Cambria Math" w:eastAsiaTheme="minorEastAsia" w:hAnsi="Cambria Math"/>
            <w:lang w:val="en-US" w:eastAsia="zh-CN"/>
          </w:rPr>
          <m:t>α</m:t>
        </m:r>
      </m:oMath>
      <w:r w:rsidRPr="00F04787">
        <w:rPr>
          <w:rFonts w:eastAsiaTheme="minorEastAsia"/>
          <w:lang w:val="en-US" w:eastAsia="zh-CN"/>
        </w:rPr>
        <w:t xml:space="preserve"> with infection age </w:t>
      </w:r>
      <m:oMath>
        <m:r>
          <w:rPr>
            <w:rFonts w:ascii="Cambria Math" w:eastAsiaTheme="minorEastAsia" w:hAnsi="Cambria Math"/>
            <w:lang w:val="en-US" w:eastAsia="zh-CN"/>
          </w:rPr>
          <m:t>τ</m:t>
        </m:r>
      </m:oMath>
      <w:r w:rsidRPr="00F04787">
        <w:rPr>
          <w:rFonts w:eastAsiaTheme="minorEastAsia"/>
          <w:lang w:val="en-US" w:eastAsia="zh-CN"/>
        </w:rPr>
        <w:t xml:space="preserve"> was undiagnosed before day </w:t>
      </w:r>
      <m:oMath>
        <m:r>
          <w:rPr>
            <w:rFonts w:ascii="Cambria Math" w:eastAsiaTheme="minorEastAsia" w:hAnsi="Cambria Math"/>
            <w:lang w:val="en-US" w:eastAsia="zh-CN"/>
          </w:rPr>
          <m:t>t</m:t>
        </m:r>
      </m:oMath>
      <w:r w:rsidRPr="00F04787">
        <w:rPr>
          <w:rFonts w:eastAsiaTheme="minorEastAsia"/>
          <w:lang w:val="en-US" w:eastAsia="zh-CN"/>
        </w:rPr>
        <w:t xml:space="preserve">, the expected number of contacts that could be traced and the relative fraction of contacts in age group </w:t>
      </w:r>
      <m:oMath>
        <m:r>
          <w:rPr>
            <w:rFonts w:ascii="Cambria Math" w:eastAsiaTheme="minorEastAsia" w:hAnsi="Cambria Math"/>
            <w:lang w:val="en-US" w:eastAsia="zh-CN"/>
          </w:rPr>
          <m:t>a</m:t>
        </m:r>
      </m:oMath>
      <w:r w:rsidRPr="00F04787">
        <w:rPr>
          <w:rFonts w:eastAsiaTheme="minorEastAsia"/>
          <w:lang w:val="en-US" w:eastAsia="zh-CN"/>
        </w:rPr>
        <w:t xml:space="preserve"> to index cases of age group </w:t>
      </w:r>
      <m:oMath>
        <m:r>
          <w:rPr>
            <w:rFonts w:ascii="Cambria Math" w:eastAsiaTheme="minorEastAsia" w:hAnsi="Cambria Math"/>
            <w:lang w:val="en-US" w:eastAsia="zh-CN"/>
          </w:rPr>
          <m:t>α</m:t>
        </m:r>
      </m:oMath>
      <w:r w:rsidRPr="00F04787">
        <w:rPr>
          <w:rFonts w:eastAsiaTheme="minorEastAsia"/>
          <w:lang w:val="en-US" w:eastAsia="zh-CN"/>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α→a</m:t>
            </m:r>
          </m:sub>
        </m:sSub>
      </m:oMath>
      <w:r w:rsidRPr="00F04787">
        <w:rPr>
          <w:rFonts w:eastAsiaTheme="minorEastAsia"/>
          <w:lang w:val="en-US"/>
        </w:rPr>
        <w:t>)</w:t>
      </w:r>
      <w:r w:rsidRPr="00F04787">
        <w:rPr>
          <w:rFonts w:eastAsiaTheme="minorEastAsia"/>
          <w:lang w:val="en-US" w:eastAsia="zh-CN"/>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5D4FCC" w:rsidRPr="00F04787" w14:paraId="1DAD0AE0" w14:textId="77777777" w:rsidTr="004D4519">
        <w:tc>
          <w:tcPr>
            <w:tcW w:w="8075" w:type="dxa"/>
            <w:vAlign w:val="center"/>
          </w:tcPr>
          <w:p w14:paraId="176DBECE" w14:textId="77777777" w:rsidR="005D4FCC" w:rsidRPr="00F04787" w:rsidRDefault="005D4FCC" w:rsidP="004D4519">
            <w:pPr>
              <w:rPr>
                <w:lang w:val="en-US"/>
              </w:rPr>
            </w:pPr>
            <m:oMathPara>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t,a</m:t>
                    </m:r>
                  </m:sub>
                </m:sSub>
                <m:r>
                  <w:rPr>
                    <w:rFonts w:ascii="Cambria Math" w:hAnsi="Cambria Math"/>
                    <w:lang w:val="en-US"/>
                  </w:rPr>
                  <m:t>=</m:t>
                </m:r>
                <m:nary>
                  <m:naryPr>
                    <m:chr m:val="∑"/>
                    <m:limLoc m:val="undOvr"/>
                    <m:ctrlPr>
                      <w:rPr>
                        <w:rFonts w:ascii="Cambria Math" w:hAnsi="Cambria Math"/>
                        <w:lang w:val="en-US"/>
                      </w:rPr>
                    </m:ctrlPr>
                  </m:naryPr>
                  <m:sub>
                    <m:r>
                      <w:rPr>
                        <w:rFonts w:ascii="Cambria Math" w:hAnsi="Cambria Math"/>
                        <w:lang w:val="en-US"/>
                      </w:rPr>
                      <m:t>α=1</m:t>
                    </m:r>
                  </m:sub>
                  <m:sup>
                    <m:r>
                      <w:rPr>
                        <w:rFonts w:ascii="Cambria Math" w:hAnsi="Cambria Math"/>
                        <w:lang w:val="en-US"/>
                      </w:rPr>
                      <m:t>n</m:t>
                    </m:r>
                  </m:sup>
                  <m:e>
                    <m:nary>
                      <m:naryPr>
                        <m:chr m:val="∑"/>
                        <m:limLoc m:val="undOvr"/>
                        <m:supHide m:val="1"/>
                        <m:ctrlPr>
                          <w:rPr>
                            <w:rFonts w:ascii="Cambria Math" w:hAnsi="Cambria Math"/>
                            <w:i/>
                            <w:lang w:val="en-US"/>
                          </w:rPr>
                        </m:ctrlPr>
                      </m:naryPr>
                      <m:sub>
                        <m:r>
                          <w:rPr>
                            <w:rFonts w:ascii="Cambria Math" w:hAnsi="Cambria Math"/>
                            <w:lang w:val="en-US"/>
                          </w:rPr>
                          <m:t>y</m:t>
                        </m:r>
                      </m:sub>
                      <m:sup/>
                      <m:e>
                        <m:nary>
                          <m:naryPr>
                            <m:chr m:val="∑"/>
                            <m:limLoc m:val="undOvr"/>
                            <m:ctrlPr>
                              <w:rPr>
                                <w:rFonts w:ascii="Cambria Math" w:hAnsi="Cambria Math"/>
                                <w:lang w:val="en-US"/>
                              </w:rPr>
                            </m:ctrlPr>
                          </m:naryPr>
                          <m:sub>
                            <m:r>
                              <w:rPr>
                                <w:rFonts w:ascii="Cambria Math" w:hAnsi="Cambria Math"/>
                                <w:lang w:val="en-US"/>
                              </w:rPr>
                              <m:t>τ</m:t>
                            </m:r>
                            <m:r>
                              <m:rPr>
                                <m:sty m:val="p"/>
                              </m:rPr>
                              <w:rPr>
                                <w:rFonts w:ascii="Cambria Math" w:hAnsi="Cambria Math"/>
                                <w:lang w:val="en-US"/>
                              </w:rPr>
                              <m:t>=0</m:t>
                            </m:r>
                          </m:sub>
                          <m:sup>
                            <m:r>
                              <w:rPr>
                                <w:rFonts w:ascii="Cambria Math" w:hAnsi="Cambria Math"/>
                                <w:lang w:val="en-US"/>
                              </w:rPr>
                              <m:t>t-1</m:t>
                            </m:r>
                          </m:sup>
                          <m:e>
                            <m:r>
                              <w:rPr>
                                <w:rFonts w:ascii="Cambria Math" w:hAnsi="Cambria Math"/>
                                <w:lang w:val="en-US"/>
                              </w:rPr>
                              <m:t>ψ</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t-τ</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τ</m:t>
                                </m:r>
                                <m:r>
                                  <m:rPr>
                                    <m:sty m:val="p"/>
                                  </m:rPr>
                                  <w:rPr>
                                    <w:rFonts w:ascii="Cambria Math" w:hAnsi="Cambria Math"/>
                                    <w:lang w:val="en-US"/>
                                  </w:rPr>
                                  <m:t>,</m:t>
                                </m:r>
                                <m:r>
                                  <w:rPr>
                                    <w:rFonts w:ascii="Cambria Math" w:hAnsi="Cambria Math"/>
                                    <w:lang w:val="en-US"/>
                                  </w:rPr>
                                  <m:t>y=0,α,d=0</m:t>
                                </m:r>
                              </m:sub>
                            </m:sSub>
                            <m:r>
                              <w:rPr>
                                <w:rFonts w:ascii="Cambria Math" w:hAnsi="Cambria Math"/>
                                <w:lang w:val="en-US"/>
                              </w:rPr>
                              <m:t>⋅ε</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α→a</m:t>
                                </m:r>
                              </m:sub>
                            </m:sSub>
                          </m:e>
                        </m:nary>
                      </m:e>
                    </m:nary>
                  </m:e>
                </m:nary>
              </m:oMath>
            </m:oMathPara>
          </w:p>
        </w:tc>
        <w:tc>
          <w:tcPr>
            <w:tcW w:w="935" w:type="dxa"/>
            <w:vAlign w:val="center"/>
          </w:tcPr>
          <w:p w14:paraId="683D95E9" w14:textId="77777777" w:rsidR="005D4FCC" w:rsidRPr="00F04787" w:rsidRDefault="005D4FCC" w:rsidP="004D4519">
            <w:pPr>
              <w:jc w:val="center"/>
              <w:rPr>
                <w:lang w:val="en-US"/>
              </w:rPr>
            </w:pPr>
            <m:oMathPara>
              <m:oMath>
                <m:r>
                  <w:rPr>
                    <w:rFonts w:ascii="Cambria Math" w:hAnsi="Cambria Math"/>
                    <w:lang w:val="en-US"/>
                  </w:rPr>
                  <m:t>(19)</m:t>
                </m:r>
              </m:oMath>
            </m:oMathPara>
          </w:p>
        </w:tc>
      </w:tr>
    </w:tbl>
    <w:p w14:paraId="63D45A0F" w14:textId="5B133779" w:rsidR="005D4FCC" w:rsidRPr="00F04787" w:rsidRDefault="005D4FCC" w:rsidP="005D4FCC">
      <w:pPr>
        <w:rPr>
          <w:rFonts w:eastAsiaTheme="minorEastAsia"/>
          <w:lang w:val="en-US" w:eastAsia="zh-CN"/>
        </w:rPr>
      </w:pPr>
      <w:r w:rsidRPr="00F04787">
        <w:rPr>
          <w:rFonts w:eastAsiaTheme="minorEastAsia"/>
          <w:lang w:val="en-US"/>
        </w:rPr>
        <w:t xml:space="preserve">Our mathematical framework does not explicitly model the underlying contact networks among individuals. However, assuming that household contacts are the most convenient individuals that can be traced and be given post-exposure prophylaxis, we could approximate the impact of distributing antivirals to exposed household contacts by assuming </w:t>
      </w:r>
      <m:oMath>
        <m:r>
          <w:rPr>
            <w:rFonts w:ascii="Cambria Math" w:hAnsi="Cambria Math"/>
            <w:lang w:val="en-US"/>
          </w:rPr>
          <m:t>ε</m:t>
        </m:r>
      </m:oMath>
      <w:r w:rsidRPr="00F04787">
        <w:rPr>
          <w:rFonts w:eastAsiaTheme="minorEastAsia"/>
          <w:lang w:val="en-US" w:eastAsia="zh-CN"/>
        </w:rPr>
        <w:t xml:space="preserve"> as the </w:t>
      </w:r>
      <w:r>
        <w:rPr>
          <w:rFonts w:eastAsiaTheme="minorEastAsia"/>
          <w:lang w:val="en-US" w:eastAsia="zh-CN"/>
        </w:rPr>
        <w:t>mean</w:t>
      </w:r>
      <w:r w:rsidRPr="00F04787">
        <w:rPr>
          <w:rFonts w:eastAsiaTheme="minorEastAsia"/>
          <w:lang w:val="en-US" w:eastAsia="zh-CN"/>
        </w:rPr>
        <w:t xml:space="preserve"> number of household contacts based on estimates from the most recent United Nations World Population Prospects for that country</w:t>
      </w:r>
      <w:r w:rsidR="00B53F85">
        <w:rPr>
          <w:rFonts w:eastAsiaTheme="minorEastAsia"/>
          <w:lang w:val="en-US" w:eastAsia="zh-CN"/>
        </w:rPr>
        <w:t xml:space="preserve"> </w:t>
      </w:r>
      <w:r w:rsidRPr="00F04787">
        <w:rPr>
          <w:rFonts w:eastAsiaTheme="minorEastAsia"/>
          <w:lang w:val="en-US" w:eastAsia="zh-CN"/>
        </w:rPr>
        <w:fldChar w:fldCharType="begin"/>
      </w:r>
      <w:r w:rsidR="006A263E">
        <w:rPr>
          <w:rFonts w:eastAsiaTheme="minorEastAsia"/>
          <w:lang w:val="en-US" w:eastAsia="zh-CN"/>
        </w:rPr>
        <w:instrText xml:space="preserve"> ADDIN ZOTERO_ITEM CSL_CITATION {"citationID":"dPv2PI4r","properties":{"formattedCitation":"(United Nations, 2024)","plainCitation":"(United Nations, 2024)","noteIndex":0},"citationItems":[{"id":175,"uris":["http://zotero.org/users/local/0pdZPGmr/items/UW6QBSYW","http://zotero.org/users/9596130/items/UW6QBSYW"],"itemData":{"id":175,"type":"webpage","title":"World Population Prospects","URL":"https://population.un.org/wpp/","author":[{"literal":"United Nations"}],"accessed":{"date-parts":[["2025",1,6]]},"issued":{"date-parts":[["2024"]]}}}],"schema":"https://github.com/citation-style-language/schema/raw/master/csl-citation.json"} </w:instrText>
      </w:r>
      <w:r w:rsidRPr="00F04787">
        <w:rPr>
          <w:rFonts w:eastAsiaTheme="minorEastAsia"/>
          <w:lang w:val="en-US" w:eastAsia="zh-CN"/>
        </w:rPr>
        <w:fldChar w:fldCharType="separate"/>
      </w:r>
      <w:r w:rsidR="006A263E">
        <w:rPr>
          <w:lang w:val="en-US"/>
        </w:rPr>
        <w:t>(United Nations, 2024)</w:t>
      </w:r>
      <w:r w:rsidRPr="00F04787">
        <w:rPr>
          <w:rFonts w:eastAsiaTheme="minorEastAsia"/>
          <w:lang w:val="en-US" w:eastAsia="zh-CN"/>
        </w:rPr>
        <w:fldChar w:fldCharType="end"/>
      </w:r>
      <w:r w:rsidR="00B53F85">
        <w:rPr>
          <w:rFonts w:eastAsiaTheme="minorEastAsia"/>
          <w:lang w:val="en-US" w:eastAsia="zh-CN"/>
        </w:rPr>
        <w:t>.</w:t>
      </w:r>
      <w:r w:rsidRPr="00F04787">
        <w:rPr>
          <w:rFonts w:eastAsiaTheme="minorEastAsia"/>
          <w:lang w:val="en-US" w:eastAsia="zh-CN"/>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α→a</m:t>
            </m:r>
          </m:sub>
        </m:sSub>
      </m:oMath>
      <w:r w:rsidRPr="00F04787">
        <w:rPr>
          <w:rFonts w:eastAsiaTheme="minorEastAsia"/>
          <w:lang w:val="en-US"/>
        </w:rPr>
        <w:t xml:space="preserve"> is inferred from </w:t>
      </w:r>
      <w:r w:rsidRPr="00F04787">
        <w:rPr>
          <w:lang w:val="en-US"/>
        </w:rPr>
        <w:t xml:space="preserve">country-specific estimates of </w:t>
      </w:r>
      <w:r>
        <w:rPr>
          <w:lang w:val="en-US"/>
        </w:rPr>
        <w:t>mean</w:t>
      </w:r>
      <w:r w:rsidRPr="00F04787">
        <w:rPr>
          <w:lang w:val="en-US"/>
        </w:rPr>
        <w:t xml:space="preserve"> contact rate matrix in households </w:t>
      </w:r>
      <w:r w:rsidRPr="00F04787">
        <w:rPr>
          <w:rFonts w:eastAsiaTheme="minorEastAsia"/>
          <w:lang w:val="en-US" w:eastAsia="zh-CN"/>
        </w:rPr>
        <w:t xml:space="preserve">from </w:t>
      </w:r>
      <w:r w:rsidRPr="00F04787">
        <w:rPr>
          <w:rFonts w:eastAsiaTheme="minorEastAsia"/>
          <w:lang w:val="en-US" w:eastAsia="zh-CN"/>
        </w:rPr>
        <w:fldChar w:fldCharType="begin"/>
      </w:r>
      <w:r w:rsidR="006A263E">
        <w:rPr>
          <w:rFonts w:eastAsiaTheme="minorEastAsia"/>
          <w:lang w:val="en-US" w:eastAsia="zh-CN"/>
        </w:rPr>
        <w:instrText xml:space="preserve"> ADDIN ZOTERO_ITEM CSL_CITATION {"citationID":"CLroednE","properties":{"formattedCitation":"(Prem et al., 2021, 2017)","plainCitation":"(Prem et al., 2021, 2017)","noteIndex":0},"citationItems":[{"id":102,"uris":["http://zotero.org/users/local/0pdZPGmr/items/QTYWCC5P","http://zotero.org/users/9596130/items/QTYWCC5P"],"itemData":{"id":102,"type":"article-journal","abstract":"Author summary The risk of infectious disease transmission varies in different settings, for instance at home, at work or in the community, as a result of the different social structures and mixing patterns in those locations. These social structures vary across countries in different stages of development and with different demographics. Social contact patterns have been measured in a small number of countries, but in large swathes of the world, contact patterns are unmeasured, which makes it challenging to build mathematical or computer models of disease spread and control. In this work, we developed a modelling framework to combine social contact data from the past studies of contact patterns within eight countries in the EU with data from multiple data sources including the Demographic Household Surveys, World Bank and UN Statistics Division, to provide validated approximations to age-and-location-specific contact rates for 152 countries covering 95.9% of the world’s population.","container-title":"PLOS Computational Biology","DOI":"10.1371/journal.pcbi.1005697","issue":"9","journalAbbreviation":"PLOS Computational Biology","note":"publisher: Public Library of Science","page":"e1005697","title":"Projecting social contact matrices in 152 countries using contact surveys and demographic data","volume":"13","author":[{"family":"Prem","given":"Kiesha"},{"family":"Cook","given":"Alex R."},{"family":"Jit","given":"Mark"}],"issued":{"date-parts":[["2017",9,12]]}}},{"id":41,"uris":["http://zotero.org/users/local/0pdZPGmr/items/Y9EYKFFU","http://zotero.org/users/9596130/items/Y9EYKFFU"],"itemData":{"id":41,"type":"article-journal","abstract":"Author summary The risk of contracting a directly transmitted infectious disease such as the Coronavirus Disease 2019 (COVID-19) depends on who interacts with whom. Such person-to-person interactions vary by age and locations—e.g., at home, at work, at school, or in the community—due to the different social structures. These social structures, and thus contact patterns, vary across and within countries. Although social contact patterns can be measured using contact surveys, the majority of countries around the world, particularly low- and middle-income countries, lack nationally representative contact surveys. A simple way to present contact data is to use matrices where the elements represent the rate of contact between subgroups such as age groups represented by the columns and rows. In 2017, we generated age- and location-specific synthetic contact matrices for 152 geographical regions by adapting contact pattern data from eight European countries using country-specific data on household size, school and workplace composition. We have now updated these matrices with the most recent data (Demographic Household Surveys, World Bank, UN Population Division) extending the coverage to 177 geographical locations, covering 97.2% of the world’s population. We also quantified contact patterns in rural and urban settings. When compared to out-of-sample empirically-measured contact patterns, we found that the synthetic matrices reproduce the main features of these contact patterns.","container-title":"PLOS Computational Biology","DOI":"10.1371/journal.pcbi.1009098","issue":"7","journalAbbreviation":"PLOS Computational Biology","note":"publisher: Public Library of Science","page":"e1009098","title":"Projecting contact matrices in 177 geographical regions: An update and comparison with empirical data for the COVID-19 era","volume":"17","author":[{"family":"Prem","given":"Kiesha"},{"family":"Zandvoort","given":"Kevin","dropping-particle":"van"},{"family":"Klepac","given":"Petra"},{"family":"Eggo","given":"Rosalind M."},{"family":"Davies","given":"Nicholas G."},{"literal":"Centre for the Mathematical Modelling of Infectious Diseases COVID-19 Working Group"},{"family":"Cook","given":"Alex R."},{"family":"Jit","given":"Mark"}],"issued":{"date-parts":[["2021",7,26]]}}}],"schema":"https://github.com/citation-style-language/schema/raw/master/csl-citation.json"} </w:instrText>
      </w:r>
      <w:r w:rsidRPr="00F04787">
        <w:rPr>
          <w:rFonts w:eastAsiaTheme="minorEastAsia"/>
          <w:lang w:val="en-US" w:eastAsia="zh-CN"/>
        </w:rPr>
        <w:fldChar w:fldCharType="separate"/>
      </w:r>
      <w:r w:rsidR="006A263E">
        <w:rPr>
          <w:lang w:val="en-US"/>
        </w:rPr>
        <w:t>(Prem et al., 2021, 2017)</w:t>
      </w:r>
      <w:r w:rsidRPr="00F04787">
        <w:rPr>
          <w:rFonts w:eastAsiaTheme="minorEastAsia"/>
          <w:lang w:val="en-US" w:eastAsia="zh-CN"/>
        </w:rPr>
        <w:fldChar w:fldCharType="end"/>
      </w:r>
      <w:r w:rsidRPr="00F04787">
        <w:rPr>
          <w:rFonts w:eastAsiaTheme="minorEastAsia"/>
          <w:lang w:val="en-US" w:eastAsia="zh-CN"/>
        </w:rPr>
        <w:t xml:space="preserve"> The expected number of susceptible individuals of age group </w:t>
      </w:r>
      <m:oMath>
        <m:r>
          <w:rPr>
            <w:rFonts w:ascii="Cambria Math" w:eastAsiaTheme="minorEastAsia" w:hAnsi="Cambria Math"/>
            <w:lang w:val="en-US" w:eastAsia="zh-CN"/>
          </w:rPr>
          <m:t>a</m:t>
        </m:r>
      </m:oMath>
      <w:r w:rsidRPr="00F04787">
        <w:rPr>
          <w:rFonts w:eastAsiaTheme="minorEastAsia"/>
          <w:lang w:val="en-US" w:eastAsia="zh-CN"/>
        </w:rPr>
        <w:t xml:space="preserve"> that are traced to be given post-exposure prophylaxis on day </w:t>
      </w:r>
      <m:oMath>
        <m:r>
          <w:rPr>
            <w:rFonts w:ascii="Cambria Math" w:eastAsiaTheme="minorEastAsia" w:hAnsi="Cambria Math"/>
            <w:lang w:val="en-US" w:eastAsia="zh-CN"/>
          </w:rPr>
          <m:t>t</m:t>
        </m:r>
      </m:oMath>
      <w:r w:rsidRPr="00F04787">
        <w:rPr>
          <w:rFonts w:eastAsiaTheme="minorEastAsia"/>
          <w:lang w:val="en-US" w:eastAsia="zh-CN"/>
        </w:rPr>
        <w:t xml:space="preserve"> is then computed as: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5D4FCC" w:rsidRPr="00F04787" w14:paraId="0D7E5536" w14:textId="77777777" w:rsidTr="004D4519">
        <w:tc>
          <w:tcPr>
            <w:tcW w:w="8075" w:type="dxa"/>
            <w:vAlign w:val="center"/>
          </w:tcPr>
          <w:p w14:paraId="648FE31D" w14:textId="77777777" w:rsidR="005D4FCC" w:rsidRPr="00F04787" w:rsidRDefault="005D4FCC" w:rsidP="004D4519">
            <w:pPr>
              <w:rPr>
                <w:lang w:val="en-US"/>
              </w:rPr>
            </w:pPr>
            <m:oMathPara>
              <m:oMath>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t,a</m:t>
                    </m:r>
                  </m:sub>
                  <m:sup>
                    <m:r>
                      <w:rPr>
                        <w:rFonts w:ascii="Cambria Math" w:hAnsi="Cambria Math"/>
                        <w:lang w:val="en-US"/>
                      </w:rPr>
                      <m:t>PEP</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t,a</m:t>
                    </m:r>
                  </m:sub>
                </m:sSub>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t,a</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t-γ</m:t>
                            </m:r>
                          </m:sub>
                          <m:sup>
                            <m:r>
                              <w:rPr>
                                <w:rFonts w:ascii="Cambria Math" w:hAnsi="Cambria Math"/>
                                <w:lang w:val="en-US"/>
                              </w:rPr>
                              <m:t>t-1</m:t>
                            </m:r>
                          </m:sup>
                          <m:e>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t,a</m:t>
                                </m:r>
                              </m:sub>
                              <m:sup>
                                <m:r>
                                  <w:rPr>
                                    <w:rFonts w:ascii="Cambria Math" w:hAnsi="Cambria Math"/>
                                    <w:lang w:val="en-US"/>
                                  </w:rPr>
                                  <m:t>PEP</m:t>
                                </m:r>
                              </m:sup>
                            </m:sSubSup>
                          </m:e>
                        </m:nary>
                      </m:num>
                      <m:den>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a</m:t>
                            </m:r>
                          </m:sub>
                        </m:sSub>
                      </m:den>
                    </m:f>
                  </m:e>
                </m:d>
              </m:oMath>
            </m:oMathPara>
          </w:p>
        </w:tc>
        <w:tc>
          <w:tcPr>
            <w:tcW w:w="935" w:type="dxa"/>
            <w:vAlign w:val="center"/>
          </w:tcPr>
          <w:p w14:paraId="7F08BE6D" w14:textId="77777777" w:rsidR="005D4FCC" w:rsidRPr="00F04787" w:rsidRDefault="005D4FCC" w:rsidP="004D4519">
            <w:pPr>
              <w:jc w:val="center"/>
              <w:rPr>
                <w:lang w:val="en-US"/>
              </w:rPr>
            </w:pPr>
            <m:oMathPara>
              <m:oMath>
                <m:r>
                  <w:rPr>
                    <w:rFonts w:ascii="Cambria Math" w:hAnsi="Cambria Math"/>
                    <w:lang w:val="en-US"/>
                  </w:rPr>
                  <m:t>(20)</m:t>
                </m:r>
              </m:oMath>
            </m:oMathPara>
          </w:p>
        </w:tc>
      </w:tr>
    </w:tbl>
    <w:p w14:paraId="4E927353" w14:textId="77777777" w:rsidR="005D4FCC" w:rsidRPr="00F04787" w:rsidRDefault="005D4FCC" w:rsidP="005D4FCC">
      <w:pPr>
        <w:rPr>
          <w:rFonts w:eastAsiaTheme="minorEastAsia"/>
          <w:lang w:val="en-US" w:eastAsia="zh-CN"/>
        </w:rPr>
      </w:pPr>
      <w:r w:rsidRPr="00F04787">
        <w:rPr>
          <w:rFonts w:eastAsiaTheme="minorEastAsia"/>
          <w:lang w:val="en-US"/>
        </w:rPr>
        <w:t xml:space="preserve">In turn, the number of previously infected individuals of age group </w:t>
      </w:r>
      <m:oMath>
        <m:r>
          <w:rPr>
            <w:rFonts w:ascii="Cambria Math" w:hAnsi="Cambria Math"/>
            <w:lang w:val="en-US"/>
          </w:rPr>
          <m:t>a</m:t>
        </m:r>
      </m:oMath>
      <w:r w:rsidRPr="00F04787">
        <w:rPr>
          <w:rFonts w:eastAsiaTheme="minorEastAsia"/>
          <w:lang w:val="en-US"/>
        </w:rPr>
        <w:t xml:space="preserve"> who are given post-exposure prophylaxis on day </w:t>
      </w:r>
      <m:oMath>
        <m:r>
          <w:rPr>
            <w:rFonts w:ascii="Cambria Math" w:hAnsi="Cambria Math"/>
            <w:lang w:val="en-US"/>
          </w:rPr>
          <m:t>t</m:t>
        </m:r>
      </m:oMath>
      <w:r w:rsidRPr="00F04787">
        <w:rPr>
          <w:rFonts w:eastAsiaTheme="minorEastAsia"/>
          <w:lang w:val="en-US"/>
        </w:rPr>
        <w:t xml:space="preserve"> is equals to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t,a</m:t>
            </m:r>
          </m:sub>
        </m:sSub>
        <m:r>
          <w:rPr>
            <w:rFonts w:ascii="Cambria Math" w:hAnsi="Cambria Math"/>
            <w:lang w:val="en-US"/>
          </w:rPr>
          <m:t>-</m:t>
        </m:r>
        <m:sSubSup>
          <m:sSubSupPr>
            <m:ctrlPr>
              <w:rPr>
                <w:rFonts w:ascii="Cambria Math" w:eastAsiaTheme="minorEastAsia" w:hAnsi="Cambria Math"/>
                <w:i/>
                <w:lang w:val="en-US" w:eastAsia="zh-CN"/>
              </w:rPr>
            </m:ctrlPr>
          </m:sSubSupPr>
          <m:e>
            <m:r>
              <w:rPr>
                <w:rFonts w:ascii="Cambria Math" w:hAnsi="Cambria Math"/>
                <w:lang w:val="en-US"/>
              </w:rPr>
              <m:t>S</m:t>
            </m:r>
          </m:e>
          <m:sub>
            <m:r>
              <w:rPr>
                <w:rFonts w:ascii="Cambria Math" w:hAnsi="Cambria Math"/>
                <w:lang w:val="en-US"/>
              </w:rPr>
              <m:t>t,a</m:t>
            </m:r>
          </m:sub>
          <m:sup>
            <m:r>
              <w:rPr>
                <w:rFonts w:ascii="Cambria Math" w:hAnsi="Cambria Math"/>
                <w:lang w:val="en-US"/>
              </w:rPr>
              <m:t>PEP</m:t>
            </m:r>
          </m:sup>
        </m:sSubSup>
      </m:oMath>
      <w:r w:rsidRPr="00F04787">
        <w:rPr>
          <w:rFonts w:eastAsiaTheme="minorEastAsia"/>
          <w:lang w:val="en-US"/>
        </w:rPr>
        <w:t xml:space="preserve">. We assumed that only undiagnosed and untreated infected individuals (i.e. </w:t>
      </w: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τ</m:t>
            </m:r>
            <m:r>
              <m:rPr>
                <m:sty m:val="p"/>
              </m:rPr>
              <w:rPr>
                <w:rFonts w:ascii="Cambria Math" w:hAnsi="Cambria Math"/>
                <w:lang w:val="en-US"/>
              </w:rPr>
              <m:t>,</m:t>
            </m:r>
            <m:r>
              <w:rPr>
                <w:rFonts w:ascii="Cambria Math" w:hAnsi="Cambria Math"/>
                <w:lang w:val="en-US"/>
              </w:rPr>
              <m:t>y=0,a,d=0</m:t>
            </m:r>
          </m:sub>
        </m:sSub>
      </m:oMath>
      <w:r w:rsidRPr="00F04787">
        <w:rPr>
          <w:rFonts w:eastAsiaTheme="minorEastAsia"/>
          <w:lang w:val="en-US"/>
        </w:rPr>
        <w:t>)</w:t>
      </w:r>
      <w:r>
        <w:rPr>
          <w:rFonts w:eastAsiaTheme="minorEastAsia"/>
          <w:lang w:val="en-US"/>
        </w:rPr>
        <w:t>, including asymptomatic infected individuals,</w:t>
      </w:r>
      <w:r w:rsidRPr="00F04787">
        <w:rPr>
          <w:rFonts w:eastAsiaTheme="minorEastAsia"/>
          <w:lang w:val="en-US"/>
        </w:rPr>
        <w:t xml:space="preserve"> were given post-exposure prophylaxis which would lower their infectiousness that similarly depended on the age of their infection </w:t>
      </w:r>
      <m:oMath>
        <m:r>
          <w:rPr>
            <w:rFonts w:ascii="Cambria Math" w:eastAsiaTheme="minorEastAsia" w:hAnsi="Cambria Math"/>
            <w:lang w:val="en-US" w:eastAsia="zh-CN"/>
          </w:rPr>
          <m:t>τ</m:t>
        </m:r>
      </m:oMath>
      <w:r w:rsidRPr="00F04787">
        <w:rPr>
          <w:rFonts w:eastAsiaTheme="minorEastAsia"/>
          <w:lang w:val="en-US" w:eastAsia="zh-CN"/>
        </w:rPr>
        <w:t xml:space="preserve"> when they were administered the drug. We assumed that post-exposure prophylaxis are distributed multinomially across individuals with infection age </w:t>
      </w:r>
      <m:oMath>
        <m:r>
          <w:rPr>
            <w:rFonts w:ascii="Cambria Math" w:eastAsiaTheme="minorEastAsia" w:hAnsi="Cambria Math"/>
            <w:lang w:val="en-US" w:eastAsia="zh-CN"/>
          </w:rPr>
          <m:t>τ</m:t>
        </m:r>
      </m:oMath>
      <w:r w:rsidRPr="00F04787">
        <w:rPr>
          <w:rFonts w:eastAsiaTheme="minorEastAsia"/>
          <w:lang w:val="en-US" w:eastAsia="zh-CN"/>
        </w:rPr>
        <w:t xml:space="preserve">, employing the Sainte-Laguë apportionment method for integer allocation. </w:t>
      </w:r>
    </w:p>
    <w:p w14:paraId="635F06A6" w14:textId="77777777" w:rsidR="005D4FCC" w:rsidRPr="00F04787" w:rsidRDefault="005D4FCC" w:rsidP="005D4FCC">
      <w:pPr>
        <w:rPr>
          <w:rFonts w:eastAsiaTheme="minorEastAsia"/>
          <w:lang w:val="en-US"/>
        </w:rPr>
      </w:pPr>
    </w:p>
    <w:p w14:paraId="4F8F03CB" w14:textId="77777777" w:rsidR="005D4FCC" w:rsidRPr="00F04787" w:rsidRDefault="005D4FCC" w:rsidP="005D4FCC">
      <w:pPr>
        <w:pStyle w:val="Heading2"/>
      </w:pPr>
      <w:bookmarkStart w:id="6" w:name="_Toc192246976"/>
      <w:r w:rsidRPr="00F04787">
        <w:t>Hospitalization and deaths</w:t>
      </w:r>
      <w:bookmarkEnd w:id="6"/>
      <w:r w:rsidRPr="00F04787">
        <w:t xml:space="preserve"> </w:t>
      </w:r>
    </w:p>
    <w:p w14:paraId="2E85C495" w14:textId="40B592C9" w:rsidR="005D4FCC" w:rsidRPr="00F04787" w:rsidRDefault="005D4FCC" w:rsidP="005D4FCC">
      <w:pPr>
        <w:rPr>
          <w:lang w:val="en-US"/>
        </w:rPr>
      </w:pPr>
      <w:r w:rsidRPr="00F04787">
        <w:rPr>
          <w:lang w:val="en-US"/>
        </w:rPr>
        <w:lastRenderedPageBreak/>
        <w:t xml:space="preserve">We assumed that the expected number of hospitalisations and deaths correlate with the number of infected individuals. The number of individuals </w:t>
      </w: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t,α</m:t>
            </m:r>
          </m:sub>
        </m:sSub>
      </m:oMath>
      <w:r w:rsidRPr="00F04787">
        <w:rPr>
          <w:lang w:val="en-US"/>
        </w:rPr>
        <w:t xml:space="preserve"> in group </w:t>
      </w:r>
      <m:oMath>
        <m:r>
          <w:rPr>
            <w:rFonts w:ascii="Cambria Math" w:hAnsi="Cambria Math"/>
            <w:lang w:val="en-US"/>
          </w:rPr>
          <m:t>α</m:t>
        </m:r>
      </m:oMath>
      <w:r w:rsidRPr="00F04787">
        <w:rPr>
          <w:lang w:val="en-US"/>
        </w:rPr>
        <w:t xml:space="preserve"> that are hospital</w:t>
      </w:r>
      <w:r>
        <w:rPr>
          <w:lang w:val="en-US"/>
        </w:rPr>
        <w:t>ise</w:t>
      </w:r>
      <w:r w:rsidRPr="00F04787">
        <w:rPr>
          <w:lang w:val="en-US"/>
        </w:rPr>
        <w:t xml:space="preserve">d on day </w:t>
      </w:r>
      <m:oMath>
        <m:r>
          <w:rPr>
            <w:rFonts w:ascii="Cambria Math" w:hAnsi="Cambria Math"/>
            <w:lang w:val="en-US"/>
          </w:rPr>
          <m:t>t</m:t>
        </m:r>
      </m:oMath>
      <w:r w:rsidRPr="00F04787">
        <w:rPr>
          <w:lang w:val="en-US"/>
        </w:rPr>
        <w:t xml:space="preserve"> is: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5D4FCC" w:rsidRPr="00F04787" w14:paraId="00B07BBD" w14:textId="77777777" w:rsidTr="004D4519">
        <w:tc>
          <w:tcPr>
            <w:tcW w:w="8075" w:type="dxa"/>
            <w:vAlign w:val="center"/>
          </w:tcPr>
          <w:p w14:paraId="5CD34724" w14:textId="77777777" w:rsidR="005D4FCC" w:rsidRPr="00F04787" w:rsidRDefault="005D4FCC" w:rsidP="004D4519">
            <w:pPr>
              <w:rPr>
                <w:lang w:val="en-US"/>
              </w:rPr>
            </w:pPr>
            <m:oMathPara>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t,α</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τ=0</m:t>
                    </m:r>
                  </m:sub>
                  <m:sup>
                    <m:r>
                      <w:rPr>
                        <w:rFonts w:ascii="Cambria Math" w:hAnsi="Cambria Math"/>
                        <w:lang w:val="en-US"/>
                      </w:rPr>
                      <m:t>t-1</m:t>
                    </m:r>
                  </m:sup>
                  <m:e>
                    <m:d>
                      <m:dPr>
                        <m:ctrlPr>
                          <w:rPr>
                            <w:rFonts w:ascii="Cambria Math" w:hAnsi="Cambria Math"/>
                            <w:i/>
                            <w:lang w:val="en-US"/>
                          </w:rPr>
                        </m:ctrlPr>
                      </m:dPr>
                      <m:e>
                        <m:nary>
                          <m:naryPr>
                            <m:chr m:val="∑"/>
                            <m:limLoc m:val="undOvr"/>
                            <m:ctrlPr>
                              <w:rPr>
                                <w:rFonts w:ascii="Cambria Math" w:hAnsi="Cambria Math"/>
                                <w:i/>
                                <w:lang w:val="en-US"/>
                              </w:rPr>
                            </m:ctrlPr>
                          </m:naryPr>
                          <m:sub>
                            <m:r>
                              <w:rPr>
                                <w:rFonts w:ascii="Cambria Math" w:hAnsi="Cambria Math"/>
                                <w:lang w:val="en-US"/>
                              </w:rPr>
                              <m:t xml:space="preserve">ξ=0 </m:t>
                            </m:r>
                          </m:sub>
                          <m:sup>
                            <m:r>
                              <w:rPr>
                                <w:rFonts w:ascii="Cambria Math" w:hAnsi="Cambria Math"/>
                                <w:lang w:val="en-US"/>
                              </w:rPr>
                              <m:t>t-τ</m:t>
                            </m:r>
                          </m:sup>
                          <m:e>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ξ</m:t>
                                </m:r>
                              </m:sub>
                            </m:sSub>
                            <m:sSubSup>
                              <m:sSubSupPr>
                                <m:ctrlPr>
                                  <w:rPr>
                                    <w:rFonts w:ascii="Cambria Math" w:hAnsi="Cambria Math"/>
                                    <w:i/>
                                    <w:lang w:val="en-US"/>
                                  </w:rPr>
                                </m:ctrlPr>
                              </m:sSubSupPr>
                              <m:e>
                                <m:r>
                                  <w:rPr>
                                    <w:rFonts w:ascii="Cambria Math" w:hAnsi="Cambria Math"/>
                                    <w:lang w:val="en-US"/>
                                  </w:rPr>
                                  <m:t>p</m:t>
                                </m:r>
                              </m:e>
                              <m:sub>
                                <m:r>
                                  <w:rPr>
                                    <w:rFonts w:ascii="Cambria Math" w:hAnsi="Cambria Math"/>
                                    <w:lang w:val="en-US"/>
                                  </w:rPr>
                                  <m:t>α</m:t>
                                </m:r>
                              </m:sub>
                              <m:sup>
                                <m:r>
                                  <w:rPr>
                                    <w:rFonts w:ascii="Cambria Math" w:hAnsi="Cambria Math"/>
                                    <w:lang w:val="en-US"/>
                                  </w:rPr>
                                  <m:t>hosp</m:t>
                                </m:r>
                              </m:sup>
                            </m:sSubSup>
                          </m:e>
                        </m:nary>
                      </m:e>
                    </m:d>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τ,α</m:t>
                        </m:r>
                      </m:sub>
                    </m:sSub>
                  </m:e>
                </m:nary>
              </m:oMath>
            </m:oMathPara>
          </w:p>
        </w:tc>
        <w:tc>
          <w:tcPr>
            <w:tcW w:w="935" w:type="dxa"/>
            <w:vAlign w:val="center"/>
          </w:tcPr>
          <w:p w14:paraId="305D2711" w14:textId="77777777" w:rsidR="005D4FCC" w:rsidRPr="00F04787" w:rsidRDefault="005D4FCC" w:rsidP="004D4519">
            <w:pPr>
              <w:jc w:val="center"/>
              <w:rPr>
                <w:lang w:val="en-US"/>
              </w:rPr>
            </w:pPr>
            <m:oMathPara>
              <m:oMath>
                <m:r>
                  <w:rPr>
                    <w:rFonts w:ascii="Cambria Math" w:hAnsi="Cambria Math"/>
                    <w:lang w:val="en-US"/>
                  </w:rPr>
                  <m:t>(21)</m:t>
                </m:r>
              </m:oMath>
            </m:oMathPara>
          </w:p>
        </w:tc>
      </w:tr>
    </w:tbl>
    <w:p w14:paraId="588E4298" w14:textId="664A1226" w:rsidR="005D4FCC" w:rsidRPr="00F04787" w:rsidRDefault="005D4FCC" w:rsidP="005D4FCC">
      <w:pPr>
        <w:rPr>
          <w:lang w:val="en-US"/>
        </w:rPr>
      </w:pPr>
      <w:r w:rsidRPr="00F04787">
        <w:rPr>
          <w:lang w:val="en-US"/>
        </w:rPr>
        <w:t xml:space="preserve">where </w:t>
      </w:r>
      <m:oMath>
        <m:sSubSup>
          <m:sSubSupPr>
            <m:ctrlPr>
              <w:rPr>
                <w:rFonts w:ascii="Cambria Math" w:eastAsiaTheme="minorEastAsia" w:hAnsi="Cambria Math"/>
                <w:i/>
                <w:lang w:val="en-US" w:eastAsia="zh-CN"/>
              </w:rPr>
            </m:ctrlPr>
          </m:sSubSupPr>
          <m:e>
            <m:r>
              <w:rPr>
                <w:rFonts w:ascii="Cambria Math" w:hAnsi="Cambria Math"/>
                <w:lang w:val="en-US"/>
              </w:rPr>
              <m:t>p</m:t>
            </m:r>
          </m:e>
          <m:sub>
            <m:r>
              <w:rPr>
                <w:rFonts w:ascii="Cambria Math" w:hAnsi="Cambria Math"/>
                <w:lang w:val="en-US"/>
              </w:rPr>
              <m:t>α</m:t>
            </m:r>
          </m:sub>
          <m:sup>
            <m:r>
              <w:rPr>
                <w:rFonts w:ascii="Cambria Math" w:hAnsi="Cambria Math"/>
                <w:lang w:val="en-US"/>
              </w:rPr>
              <m:t>hosp</m:t>
            </m:r>
          </m:sup>
        </m:sSubSup>
      </m:oMath>
      <w:r w:rsidRPr="00F04787">
        <w:rPr>
          <w:lang w:val="en-US"/>
        </w:rPr>
        <w:t xml:space="preserve"> is the probability that symptomatic individuals in group </w:t>
      </w:r>
      <m:oMath>
        <m:r>
          <w:rPr>
            <w:rFonts w:ascii="Cambria Math" w:hAnsi="Cambria Math"/>
            <w:lang w:val="en-US"/>
          </w:rPr>
          <m:t>α</m:t>
        </m:r>
      </m:oMath>
      <w:r w:rsidRPr="00F04787">
        <w:rPr>
          <w:lang w:val="en-US"/>
        </w:rPr>
        <w:t xml:space="preserve"> are hospital</w:t>
      </w:r>
      <w:r>
        <w:rPr>
          <w:lang w:val="en-US"/>
        </w:rPr>
        <w:t>ise</w:t>
      </w:r>
      <w:r w:rsidRPr="00F04787">
        <w:rPr>
          <w:lang w:val="en-US"/>
        </w:rPr>
        <w:t xml:space="preserve">d. </w:t>
      </w:r>
    </w:p>
    <w:p w14:paraId="0DCF6A89" w14:textId="0F434EB4" w:rsidR="005D4FCC" w:rsidRPr="00F04787" w:rsidRDefault="005D4FCC" w:rsidP="005D4FCC">
      <w:pPr>
        <w:rPr>
          <w:rFonts w:eastAsiaTheme="minorEastAsia"/>
          <w:lang w:val="en-US"/>
        </w:rPr>
      </w:pPr>
      <w:r w:rsidRPr="00F04787">
        <w:rPr>
          <w:lang w:val="en-US"/>
        </w:rPr>
        <w:t xml:space="preserve">Analogously, the number of deaths in group </w:t>
      </w:r>
      <m:oMath>
        <m:r>
          <w:rPr>
            <w:rFonts w:ascii="Cambria Math" w:hAnsi="Cambria Math"/>
            <w:lang w:val="en-US"/>
          </w:rPr>
          <m:t>α</m:t>
        </m:r>
      </m:oMath>
      <w:r w:rsidRPr="00F04787">
        <w:rPr>
          <w:rFonts w:eastAsiaTheme="minorEastAsia"/>
          <w:lang w:val="en-US"/>
        </w:rPr>
        <w:t xml:space="preserve"> on day </w:t>
      </w:r>
      <m:oMath>
        <m:r>
          <w:rPr>
            <w:rFonts w:ascii="Cambria Math" w:hAnsi="Cambria Math"/>
            <w:lang w:val="en-US"/>
          </w:rPr>
          <m:t>t</m:t>
        </m:r>
      </m:oMath>
      <w:r w:rsidRPr="00F04787">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t,α</m:t>
            </m:r>
          </m:sub>
        </m:sSub>
      </m:oMath>
      <w:r w:rsidRPr="00F04787">
        <w:rPr>
          <w:rFonts w:eastAsiaTheme="minorEastAsia"/>
          <w:lang w:val="en-US"/>
        </w:rPr>
        <w:t xml:space="preserve">) is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5D4FCC" w:rsidRPr="00F04787" w14:paraId="61BDAF98" w14:textId="77777777" w:rsidTr="004D4519">
        <w:tc>
          <w:tcPr>
            <w:tcW w:w="8075" w:type="dxa"/>
            <w:vAlign w:val="center"/>
          </w:tcPr>
          <w:p w14:paraId="6936CCD4" w14:textId="77777777" w:rsidR="005D4FCC" w:rsidRPr="00F04787" w:rsidRDefault="005D4FCC" w:rsidP="004D4519">
            <w:pPr>
              <w:rPr>
                <w:lang w:val="en-US"/>
              </w:rPr>
            </w:pPr>
            <m:oMathPara>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t,α</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τ=0</m:t>
                    </m:r>
                  </m:sub>
                  <m:sup>
                    <m:r>
                      <w:rPr>
                        <w:rFonts w:ascii="Cambria Math" w:hAnsi="Cambria Math"/>
                        <w:lang w:val="en-US"/>
                      </w:rPr>
                      <m:t>t-1</m:t>
                    </m:r>
                  </m:sup>
                  <m:e>
                    <m:d>
                      <m:dPr>
                        <m:ctrlPr>
                          <w:rPr>
                            <w:rFonts w:ascii="Cambria Math" w:hAnsi="Cambria Math"/>
                            <w:i/>
                            <w:lang w:val="en-US"/>
                          </w:rPr>
                        </m:ctrlPr>
                      </m:dPr>
                      <m:e>
                        <m:nary>
                          <m:naryPr>
                            <m:chr m:val="∑"/>
                            <m:limLoc m:val="undOvr"/>
                            <m:ctrlPr>
                              <w:rPr>
                                <w:rFonts w:ascii="Cambria Math" w:hAnsi="Cambria Math"/>
                                <w:i/>
                                <w:lang w:val="en-US"/>
                              </w:rPr>
                            </m:ctrlPr>
                          </m:naryPr>
                          <m:sub>
                            <m:r>
                              <w:rPr>
                                <w:rFonts w:ascii="Cambria Math" w:hAnsi="Cambria Math"/>
                                <w:lang w:val="en-US"/>
                              </w:rPr>
                              <m:t xml:space="preserve">ξ=0 </m:t>
                            </m:r>
                          </m:sub>
                          <m:sup>
                            <m:r>
                              <w:rPr>
                                <w:rFonts w:ascii="Cambria Math" w:hAnsi="Cambria Math"/>
                                <w:lang w:val="en-US"/>
                              </w:rPr>
                              <m:t>t-τ</m:t>
                            </m:r>
                          </m:sup>
                          <m:e>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ξ</m:t>
                                </m:r>
                              </m:sub>
                            </m:sSub>
                            <m:sSubSup>
                              <m:sSubSupPr>
                                <m:ctrlPr>
                                  <w:rPr>
                                    <w:rFonts w:ascii="Cambria Math" w:hAnsi="Cambria Math"/>
                                    <w:i/>
                                    <w:lang w:val="en-US"/>
                                  </w:rPr>
                                </m:ctrlPr>
                              </m:sSubSupPr>
                              <m:e>
                                <m:r>
                                  <w:rPr>
                                    <w:rFonts w:ascii="Cambria Math" w:hAnsi="Cambria Math"/>
                                    <w:lang w:val="en-US"/>
                                  </w:rPr>
                                  <m:t>p</m:t>
                                </m:r>
                              </m:e>
                              <m:sub>
                                <m:r>
                                  <w:rPr>
                                    <w:rFonts w:ascii="Cambria Math" w:hAnsi="Cambria Math"/>
                                    <w:lang w:val="en-US"/>
                                  </w:rPr>
                                  <m:t>α</m:t>
                                </m:r>
                              </m:sub>
                              <m:sup>
                                <m:r>
                                  <w:rPr>
                                    <w:rFonts w:ascii="Cambria Math" w:hAnsi="Cambria Math"/>
                                    <w:lang w:val="en-US"/>
                                  </w:rPr>
                                  <m:t>dea</m:t>
                                </m:r>
                              </m:sup>
                            </m:sSubSup>
                          </m:e>
                        </m:nary>
                      </m:e>
                    </m:d>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τ,α</m:t>
                        </m:r>
                      </m:sub>
                    </m:sSub>
                  </m:e>
                </m:nary>
              </m:oMath>
            </m:oMathPara>
          </w:p>
        </w:tc>
        <w:tc>
          <w:tcPr>
            <w:tcW w:w="935" w:type="dxa"/>
            <w:vAlign w:val="center"/>
          </w:tcPr>
          <w:p w14:paraId="765CD0A8" w14:textId="77777777" w:rsidR="005D4FCC" w:rsidRPr="00F04787" w:rsidRDefault="005D4FCC" w:rsidP="004D4519">
            <w:pPr>
              <w:jc w:val="center"/>
              <w:rPr>
                <w:lang w:val="en-US"/>
              </w:rPr>
            </w:pPr>
            <m:oMathPara>
              <m:oMath>
                <m:r>
                  <w:rPr>
                    <w:rFonts w:ascii="Cambria Math" w:hAnsi="Cambria Math"/>
                    <w:lang w:val="en-US"/>
                  </w:rPr>
                  <m:t>(22)</m:t>
                </m:r>
              </m:oMath>
            </m:oMathPara>
          </w:p>
        </w:tc>
      </w:tr>
    </w:tbl>
    <w:p w14:paraId="1E3B04C1" w14:textId="77777777" w:rsidR="005D4FCC" w:rsidRDefault="005D4FCC" w:rsidP="005D4FCC">
      <w:pPr>
        <w:rPr>
          <w:lang w:val="en-US"/>
        </w:rPr>
      </w:pPr>
      <w:r w:rsidRPr="00F04787">
        <w:rPr>
          <w:lang w:val="en-US"/>
        </w:rPr>
        <w:t xml:space="preserve">where </w:t>
      </w:r>
      <m:oMath>
        <m:sSubSup>
          <m:sSubSupPr>
            <m:ctrlPr>
              <w:rPr>
                <w:rFonts w:ascii="Cambria Math" w:eastAsiaTheme="minorEastAsia" w:hAnsi="Cambria Math"/>
                <w:i/>
                <w:lang w:val="en-US" w:eastAsia="zh-CN"/>
              </w:rPr>
            </m:ctrlPr>
          </m:sSubSupPr>
          <m:e>
            <m:r>
              <w:rPr>
                <w:rFonts w:ascii="Cambria Math" w:hAnsi="Cambria Math"/>
                <w:lang w:val="en-US"/>
              </w:rPr>
              <m:t>p</m:t>
            </m:r>
          </m:e>
          <m:sub>
            <m:r>
              <w:rPr>
                <w:rFonts w:ascii="Cambria Math" w:hAnsi="Cambria Math"/>
                <w:lang w:val="en-US"/>
              </w:rPr>
              <m:t>α</m:t>
            </m:r>
          </m:sub>
          <m:sup>
            <m:r>
              <w:rPr>
                <w:rFonts w:ascii="Cambria Math" w:hAnsi="Cambria Math"/>
                <w:lang w:val="en-US"/>
              </w:rPr>
              <m:t>dea</m:t>
            </m:r>
          </m:sup>
        </m:sSubSup>
      </m:oMath>
      <w:r w:rsidRPr="00F04787">
        <w:rPr>
          <w:lang w:val="en-US"/>
        </w:rPr>
        <w:t xml:space="preserve"> is the probability that symptomatic individuals in group </w:t>
      </w:r>
      <m:oMath>
        <m:r>
          <w:rPr>
            <w:rFonts w:ascii="Cambria Math" w:hAnsi="Cambria Math"/>
            <w:lang w:val="en-US"/>
          </w:rPr>
          <m:t>α</m:t>
        </m:r>
      </m:oMath>
      <w:r>
        <w:rPr>
          <w:rFonts w:eastAsiaTheme="minorEastAsia"/>
          <w:lang w:val="en-US"/>
        </w:rPr>
        <w:t xml:space="preserve"> that</w:t>
      </w:r>
      <w:r w:rsidRPr="00F04787">
        <w:rPr>
          <w:lang w:val="en-US"/>
        </w:rPr>
        <w:t xml:space="preserve"> died. </w:t>
      </w:r>
    </w:p>
    <w:p w14:paraId="75D223BA" w14:textId="6BDA9EFF" w:rsidR="005D4FCC" w:rsidRPr="00F04787" w:rsidRDefault="005D4FCC" w:rsidP="005D4FCC">
      <w:pPr>
        <w:rPr>
          <w:lang w:val="en-US"/>
        </w:rPr>
      </w:pPr>
      <w:r>
        <w:rPr>
          <w:lang w:val="en-US"/>
        </w:rPr>
        <w:t>Appendix</w:t>
      </w:r>
      <w:r>
        <w:rPr>
          <w:lang w:val="en-US"/>
        </w:rPr>
        <w:t xml:space="preserve"> Table 1 tabulates the parameters used in the between-host transmission model.</w:t>
      </w:r>
    </w:p>
    <w:p w14:paraId="19B17BF3" w14:textId="77777777" w:rsidR="005D4FCC" w:rsidRPr="00F04787" w:rsidRDefault="005D4FCC" w:rsidP="005D4FCC">
      <w:pPr>
        <w:rPr>
          <w:lang w:val="en-US"/>
        </w:rPr>
      </w:pPr>
    </w:p>
    <w:p w14:paraId="48ECE9FA" w14:textId="77777777" w:rsidR="005D4FCC" w:rsidRPr="00F04787" w:rsidRDefault="005D4FCC" w:rsidP="005D4FCC">
      <w:pPr>
        <w:pStyle w:val="Heading2"/>
      </w:pPr>
      <w:bookmarkStart w:id="7" w:name="_Toc192246977"/>
      <w:r w:rsidRPr="00F04787">
        <w:t>Bayesian multilevel model</w:t>
      </w:r>
      <w:bookmarkEnd w:id="7"/>
      <w:r w:rsidRPr="00F04787">
        <w:t xml:space="preserve"> </w:t>
      </w:r>
    </w:p>
    <w:p w14:paraId="73301EC4" w14:textId="75266990" w:rsidR="005D4FCC" w:rsidRPr="00F04787" w:rsidRDefault="005D4FCC" w:rsidP="005D4FCC">
      <w:pPr>
        <w:rPr>
          <w:rFonts w:eastAsiaTheme="minorEastAsia"/>
          <w:lang w:val="en-US"/>
        </w:rPr>
      </w:pPr>
      <w:r w:rsidRPr="00F04787">
        <w:rPr>
          <w:lang w:val="en-US"/>
        </w:rPr>
        <w:t xml:space="preserve">To determine the impact of delays to population distribution and individual treatment, different antiviral distribution strategies including extending the treatment window period since symptom onset, instituting age restrictions on access to treatment and providing prophylactic treatment to exposed contacts, as well as the spread of antiviral resistance, we used a Bayesian multilevel model that partially pooled simulation estimates </w:t>
      </w:r>
      <w:r w:rsidRPr="00F04787">
        <w:rPr>
          <w:rFonts w:eastAsiaTheme="minorEastAsia"/>
          <w:lang w:val="en-US"/>
        </w:rPr>
        <w:t>of percentage of deaths averted by antiviral use and the amount of antivirals demand relative to population size for a range of the aforementioned factors across countries and pandemic scenarios.</w:t>
      </w:r>
      <w:r w:rsidRPr="00F04787">
        <w:rPr>
          <w:lang w:val="en-US"/>
        </w:rPr>
        <w:t xml:space="preserve"> We assumed a linear correlation between the predicted mean-centered response variable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c,p</m:t>
            </m:r>
          </m:sub>
        </m:sSub>
      </m:oMath>
      <w:r w:rsidRPr="00F04787">
        <w:rPr>
          <w:rFonts w:eastAsiaTheme="minorEastAsia"/>
          <w:lang w:val="en-US"/>
        </w:rPr>
        <w:t xml:space="preserve">) </w:t>
      </w:r>
      <w:r w:rsidRPr="00F04787">
        <w:rPr>
          <w:lang w:val="en-US"/>
        </w:rPr>
        <w:t xml:space="preserve">for pandemic </w:t>
      </w:r>
      <m:oMath>
        <m:r>
          <w:rPr>
            <w:rFonts w:ascii="Cambria Math" w:hAnsi="Cambria Math"/>
            <w:lang w:val="en-US"/>
          </w:rPr>
          <m:t>p</m:t>
        </m:r>
      </m:oMath>
      <w:r w:rsidRPr="00F04787">
        <w:rPr>
          <w:rFonts w:eastAsiaTheme="minorEastAsia"/>
          <w:lang w:val="en-US"/>
        </w:rPr>
        <w:t xml:space="preserve"> in country </w:t>
      </w:r>
      <m:oMath>
        <m:r>
          <w:rPr>
            <w:rFonts w:ascii="Cambria Math" w:eastAsiaTheme="minorEastAsia" w:hAnsi="Cambria Math"/>
            <w:lang w:val="en-US"/>
          </w:rPr>
          <m:t>c</m:t>
        </m:r>
      </m:oMath>
      <w:r w:rsidRPr="00F04787">
        <w:rPr>
          <w:rFonts w:eastAsiaTheme="minorEastAsia"/>
          <w:lang w:val="en-US"/>
        </w:rPr>
        <w:t xml:space="preserve"> and predictor variables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oMath>
      <w:r w:rsidRPr="00F04787">
        <w:rPr>
          <w:rFonts w:eastAsiaTheme="minorEastAsia"/>
          <w:lang w:val="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5D4FCC" w:rsidRPr="00F04787" w14:paraId="3EF0ECEF" w14:textId="77777777" w:rsidTr="004D4519">
        <w:tc>
          <w:tcPr>
            <w:tcW w:w="8075" w:type="dxa"/>
            <w:vAlign w:val="center"/>
          </w:tcPr>
          <w:p w14:paraId="18193274" w14:textId="77777777" w:rsidR="005D4FCC" w:rsidRPr="00F04787" w:rsidRDefault="005D4FCC" w:rsidP="004D4519">
            <w:pPr>
              <w:rPr>
                <w:lang w:val="en-US"/>
              </w:rPr>
            </w:pPr>
            <m:oMathPara>
              <m:oMath>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Y</m:t>
                        </m:r>
                      </m:e>
                    </m:acc>
                  </m:e>
                  <m:sub>
                    <m:r>
                      <w:rPr>
                        <w:rFonts w:ascii="Cambria Math" w:hAnsi="Cambria Math"/>
                        <w:lang w:val="en-US"/>
                      </w:rPr>
                      <m:t>c,p</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k=1</m:t>
                    </m:r>
                  </m:sub>
                  <m:sup>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k</m:t>
                        </m:r>
                      </m:sub>
                    </m:sSub>
                  </m:sup>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k</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k,c</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k,p</m:t>
                            </m:r>
                          </m:sub>
                        </m:sSub>
                      </m:e>
                    </m:d>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k,c,p</m:t>
                        </m:r>
                      </m:sub>
                    </m:sSub>
                  </m:e>
                </m:nary>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0,c</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0,p</m:t>
                        </m:r>
                      </m:sub>
                    </m:sSub>
                  </m:e>
                </m:d>
              </m:oMath>
            </m:oMathPara>
          </w:p>
        </w:tc>
        <w:tc>
          <w:tcPr>
            <w:tcW w:w="935" w:type="dxa"/>
            <w:vAlign w:val="center"/>
          </w:tcPr>
          <w:p w14:paraId="19B13953" w14:textId="77777777" w:rsidR="005D4FCC" w:rsidRPr="00F04787" w:rsidRDefault="005D4FCC" w:rsidP="004D4519">
            <w:pPr>
              <w:jc w:val="center"/>
              <w:rPr>
                <w:lang w:val="en-US"/>
              </w:rPr>
            </w:pPr>
            <m:oMathPara>
              <m:oMath>
                <m:r>
                  <w:rPr>
                    <w:rFonts w:ascii="Cambria Math" w:hAnsi="Cambria Math"/>
                    <w:lang w:val="en-US"/>
                  </w:rPr>
                  <m:t>(23)</m:t>
                </m:r>
              </m:oMath>
            </m:oMathPara>
          </w:p>
        </w:tc>
      </w:tr>
    </w:tbl>
    <w:p w14:paraId="128698A8" w14:textId="712F2A23" w:rsidR="005D4FCC" w:rsidRDefault="005D4FCC" w:rsidP="005D4FCC">
      <w:pPr>
        <w:rPr>
          <w:rFonts w:eastAsiaTheme="minorEastAsia"/>
          <w:lang w:val="en-US"/>
        </w:rPr>
      </w:pPr>
      <w:r w:rsidRPr="00F04787">
        <w:rPr>
          <w:rFonts w:eastAsiaTheme="minorEastAsia"/>
          <w:lang w:val="en-US"/>
        </w:rPr>
        <w:t xml:space="preserve">where </w:t>
      </w:r>
      <m:oMath>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k</m:t>
            </m:r>
          </m:sub>
        </m:sSub>
        <m:r>
          <w:rPr>
            <w:rFonts w:ascii="Cambria Math" w:eastAsiaTheme="minorEastAsia" w:hAnsi="Cambria Math"/>
            <w:lang w:val="en-US"/>
          </w:rPr>
          <m:t>,</m:t>
        </m:r>
      </m:oMath>
      <w:r w:rsidRPr="00F04787">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k,c</m:t>
            </m:r>
          </m:sub>
        </m:sSub>
      </m:oMath>
      <w:r w:rsidRPr="00F04787">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k,p</m:t>
            </m:r>
          </m:sub>
        </m:sSub>
      </m:oMath>
      <w:r w:rsidRPr="00F04787">
        <w:rPr>
          <w:rFonts w:eastAsiaTheme="minorEastAsia"/>
          <w:lang w:val="en-US"/>
        </w:rPr>
        <w:t xml:space="preserve"> are the respective normal</w:t>
      </w:r>
      <w:r>
        <w:rPr>
          <w:rFonts w:eastAsiaTheme="minorEastAsia"/>
          <w:lang w:val="en-US"/>
        </w:rPr>
        <w:t>ise</w:t>
      </w:r>
      <w:r w:rsidRPr="00F04787">
        <w:rPr>
          <w:rFonts w:eastAsiaTheme="minorEastAsia"/>
          <w:lang w:val="en-US"/>
        </w:rPr>
        <w:t xml:space="preserve">d fixed, country- and pandemic-specific effects of predictor variable </w:t>
      </w:r>
      <m:oMath>
        <m:r>
          <w:rPr>
            <w:rFonts w:ascii="Cambria Math" w:eastAsiaTheme="minorEastAsia" w:hAnsi="Cambria Math"/>
            <w:lang w:val="en-US"/>
          </w:rPr>
          <m:t>k</m:t>
        </m:r>
      </m:oMath>
      <w:r w:rsidRPr="00F04787">
        <w:rPr>
          <w:rFonts w:eastAsiaTheme="minorEastAsia"/>
          <w:lang w:val="en-US"/>
        </w:rPr>
        <w:t xml:space="preserve"> while </w:t>
      </w:r>
      <m:oMath>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0</m:t>
            </m:r>
          </m:sub>
        </m:sSub>
      </m:oMath>
      <w:r w:rsidRPr="00F04787">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0,c</m:t>
            </m:r>
          </m:sub>
        </m:sSub>
      </m:oMath>
      <w:r w:rsidRPr="00F04787">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0,p</m:t>
            </m:r>
          </m:sub>
        </m:sSub>
      </m:oMath>
      <w:r w:rsidRPr="00F04787">
        <w:rPr>
          <w:rFonts w:eastAsiaTheme="minorEastAsia"/>
          <w:lang w:val="en-US"/>
        </w:rPr>
        <w:t xml:space="preserve"> are the corresponding fixed, country- and pandemic-specific intercepts. Following Gelman et al.,</w:t>
      </w:r>
      <w:r w:rsidRPr="00F04787">
        <w:rPr>
          <w:rFonts w:eastAsiaTheme="minorEastAsia"/>
          <w:lang w:val="en-US"/>
        </w:rPr>
        <w:fldChar w:fldCharType="begin"/>
      </w:r>
      <w:r w:rsidR="006A263E">
        <w:rPr>
          <w:rFonts w:eastAsiaTheme="minorEastAsia"/>
          <w:lang w:val="en-US"/>
        </w:rPr>
        <w:instrText xml:space="preserve"> ADDIN ZOTERO_ITEM CSL_CITATION {"citationID":"C23Yj5x0","properties":{"formattedCitation":"(Andrew Gelman et al., 2008)","plainCitation":"(Andrew Gelman et al., 2008)","noteIndex":0},"citationItems":[{"id":185,"uris":["http://zotero.org/users/local/0pdZPGmr/items/RUUNY33S","http://zotero.org/users/9596130/items/RUUNY33S"],"itemData":{"id":185,"type":"article-journal","container-title":"The Annals of Applied Statistics","DOI":"10.1214/08-AOAS191","issue":"4","journalAbbreviation":"The Annals of Applied Statistics","page":"1360-1383","title":"A weakly informative default prior distribution for logistic and other regression models","volume":"2","author":[{"literal":"Andrew Gelman"},{"literal":"Aleks Jakulin"},{"literal":"Maria Grazia Pittau"},{"literal":"Yu-Sung Su"}],"issued":{"date-parts":[["2008",12,1]]}}}],"schema":"https://github.com/citation-style-language/schema/raw/master/csl-citation.json"} </w:instrText>
      </w:r>
      <w:r w:rsidRPr="00F04787">
        <w:rPr>
          <w:rFonts w:eastAsiaTheme="minorEastAsia"/>
          <w:lang w:val="en-US"/>
        </w:rPr>
        <w:fldChar w:fldCharType="separate"/>
      </w:r>
      <w:r w:rsidR="006A263E">
        <w:rPr>
          <w:lang w:val="en-US"/>
        </w:rPr>
        <w:t>(Andrew Gelman et al., 2008)</w:t>
      </w:r>
      <w:r w:rsidRPr="00F04787">
        <w:rPr>
          <w:rFonts w:eastAsiaTheme="minorEastAsia"/>
          <w:lang w:val="en-US"/>
        </w:rPr>
        <w:fldChar w:fldCharType="end"/>
      </w:r>
      <w:r w:rsidRPr="00F04787">
        <w:rPr>
          <w:rFonts w:eastAsiaTheme="minorEastAsia"/>
          <w:lang w:val="en-US"/>
        </w:rPr>
        <w:t xml:space="preserve"> we used </w:t>
      </w:r>
      <w:r>
        <w:rPr>
          <w:rFonts w:eastAsiaTheme="minorEastAsia"/>
          <w:lang w:val="en-US"/>
        </w:rPr>
        <w:t xml:space="preserve">weakly informative </w:t>
      </w:r>
      <w:r w:rsidRPr="00F04787">
        <w:rPr>
          <w:rFonts w:eastAsiaTheme="minorEastAsia"/>
          <w:lang w:val="en-US"/>
        </w:rPr>
        <w:t>Student-</w:t>
      </w:r>
      <w:r w:rsidRPr="00F04787">
        <w:rPr>
          <w:rFonts w:eastAsiaTheme="minorEastAsia"/>
          <w:i/>
          <w:lang w:val="en-US"/>
        </w:rPr>
        <w:t>t</w:t>
      </w:r>
      <w:r w:rsidRPr="00F04787">
        <w:rPr>
          <w:rFonts w:eastAsiaTheme="minorEastAsia"/>
          <w:lang w:val="en-US"/>
        </w:rPr>
        <w:t xml:space="preserve"> priors with three degrees of freedom, mean of zero and </w:t>
      </w:r>
      <w:r w:rsidRPr="00F04787">
        <w:rPr>
          <w:rFonts w:eastAsiaTheme="minorEastAsia"/>
          <w:lang w:val="en-US"/>
        </w:rPr>
        <w:lastRenderedPageBreak/>
        <w:t xml:space="preserve">standard deviation (s.d.) of 2.5 for all effects (i.e. </w:t>
      </w:r>
      <m:oMath>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k</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k,c</m:t>
            </m:r>
          </m:sub>
        </m:sSub>
      </m:oMath>
      <w:r w:rsidRPr="00F04787">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k,p</m:t>
            </m:r>
          </m:sub>
        </m:sSub>
      </m:oMath>
      <w:r w:rsidRPr="00F04787">
        <w:rPr>
          <w:rFonts w:eastAsiaTheme="minorEastAsia"/>
          <w:lang w:val="en-US"/>
        </w:rPr>
        <w:t>) while normal priors with mean of zero and s.d. of one were placed for intercepts (</w:t>
      </w:r>
      <m:oMath>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0</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0,c</m:t>
            </m:r>
          </m:sub>
        </m:sSub>
      </m:oMath>
      <w:r w:rsidRPr="00F04787">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0,p</m:t>
            </m:r>
          </m:sub>
        </m:sSub>
      </m:oMath>
      <w:r w:rsidRPr="00F04787">
        <w:rPr>
          <w:rFonts w:eastAsiaTheme="minorEastAsia"/>
          <w:lang w:val="en-US"/>
        </w:rPr>
        <w:t>). Half-normal priors with mean of zero and s.d. of one were used for all standard deviations of effects, intercepts and residuals. For correlation between country- and pandemic-level effects, we used the Lewandowski-Kurowicka-Joe correlation prior with shape parameter of one. Posterior sampling was performed using four MCMC chains, with 1000-iteration burn-in and 1000-iteration of saved posterior samples, using a no-u-turn sampler implemented in the ‘brms’ package</w:t>
      </w:r>
      <w:r w:rsidR="00065F18">
        <w:rPr>
          <w:rFonts w:eastAsiaTheme="minorEastAsia"/>
          <w:lang w:val="en-US"/>
        </w:rPr>
        <w:t xml:space="preserve"> </w:t>
      </w:r>
      <w:r w:rsidRPr="00F04787">
        <w:rPr>
          <w:rFonts w:eastAsiaTheme="minorEastAsia"/>
          <w:lang w:val="en-US"/>
        </w:rPr>
        <w:fldChar w:fldCharType="begin"/>
      </w:r>
      <w:r w:rsidR="006A263E">
        <w:rPr>
          <w:rFonts w:eastAsiaTheme="minorEastAsia"/>
          <w:lang w:val="en-US"/>
        </w:rPr>
        <w:instrText xml:space="preserve"> ADDIN ZOTERO_ITEM CSL_CITATION {"citationID":"ZnayNCrk","properties":{"formattedCitation":"(B\\uc0\\u252{}rkner, 2017)","plainCitation":"(Bürkner, 2017)","noteIndex":0},"citationItems":[{"id":186,"uris":["http://zotero.org/users/local/0pdZPGmr/items/K72HUECP","http://zotero.org/users/9596130/items/K72HUECP"],"itemData":{"id":186,"type":"article-journal","abstract":"The brms package implements Bayesian multilevel models in R using the probabilistic programming language Stan. A wide range of distributions and link functions are supported, allowing users to fit  -  among others  -  linear, robust linear, binomial, Poisson, survival, ordinal, zero-inflated, hurdle, and even non-linear models all in a multilevel context. Further modeling options include autocorrelation of the response variable, user defined covariance structures, censored data, as well as meta-analytic standard errors. Prior specifications are flexible and explicitly encourage users to apply prior distributions that actually reflect their beliefs. In addition, model fit can easily be assessed and compared with the Watanabe-Akaike information criterion and leave-one-out cross-validation.","container-title":"Journal of Statistical Software","DOI":"10.18637/jss.v080.i01","issue":"1","journalAbbreviation":"J. Stat. Soft.","note":"section: Articles","page":"1 - 28","title":"brms: An R Package for Bayesian Multilevel Models Using Stan","volume":"80","author":[{"family":"Bürkner","given":"Paul-Christian"}],"issued":{"date-parts":[["2017",8,29]]}}}],"schema":"https://github.com/citation-style-language/schema/raw/master/csl-citation.json"} </w:instrText>
      </w:r>
      <w:r w:rsidRPr="00F04787">
        <w:rPr>
          <w:rFonts w:eastAsiaTheme="minorEastAsia"/>
          <w:lang w:val="en-US"/>
        </w:rPr>
        <w:fldChar w:fldCharType="separate"/>
      </w:r>
      <w:r w:rsidR="006A263E" w:rsidRPr="006A263E">
        <w:rPr>
          <w:lang w:val="en-US"/>
        </w:rPr>
        <w:t>(Bürkner, 2017)</w:t>
      </w:r>
      <w:r w:rsidRPr="00F04787">
        <w:rPr>
          <w:rFonts w:eastAsiaTheme="minorEastAsia"/>
          <w:lang w:val="en-US"/>
        </w:rPr>
        <w:fldChar w:fldCharType="end"/>
      </w:r>
      <w:r w:rsidRPr="00F04787">
        <w:rPr>
          <w:rFonts w:eastAsiaTheme="minorEastAsia"/>
          <w:lang w:val="en-US"/>
        </w:rPr>
        <w:t xml:space="preserve"> in R</w:t>
      </w:r>
      <w:r w:rsidR="006D650F">
        <w:rPr>
          <w:rFonts w:eastAsiaTheme="minorEastAsia"/>
          <w:lang w:val="en-US"/>
        </w:rPr>
        <w:t xml:space="preserve"> </w:t>
      </w:r>
      <w:r w:rsidRPr="00F04787">
        <w:rPr>
          <w:rFonts w:eastAsiaTheme="minorEastAsia"/>
          <w:lang w:val="en-US"/>
        </w:rPr>
        <w:fldChar w:fldCharType="begin"/>
      </w:r>
      <w:r w:rsidR="006A263E">
        <w:rPr>
          <w:rFonts w:eastAsiaTheme="minorEastAsia"/>
          <w:lang w:val="en-US"/>
        </w:rPr>
        <w:instrText xml:space="preserve"> ADDIN ZOTERO_ITEM CSL_CITATION {"citationID":"pTc2RaZR","properties":{"formattedCitation":"(Core Team, 2024)","plainCitation":"(Core Team, 2024)","noteIndex":0},"citationItems":[{"id":187,"uris":["http://zotero.org/users/local/0pdZPGmr/items/YIQT4BK4","http://zotero.org/users/9596130/items/YIQT4BK4"],"itemData":{"id":187,"type":"software","publisher":"CRAN","title":"R: A Language and Environment for Statistical Computing","URL":"https://www.R-project.org/","author":[{"family":"Core Team","given":"R"}],"issued":{"date-parts":[["2024"]]}}}],"schema":"https://github.com/citation-style-language/schema/raw/master/csl-citation.json"} </w:instrText>
      </w:r>
      <w:r w:rsidRPr="00F04787">
        <w:rPr>
          <w:rFonts w:eastAsiaTheme="minorEastAsia"/>
          <w:lang w:val="en-US"/>
        </w:rPr>
        <w:fldChar w:fldCharType="separate"/>
      </w:r>
      <w:r w:rsidR="006A263E">
        <w:rPr>
          <w:lang w:val="en-US"/>
        </w:rPr>
        <w:t>(Core Team, 2024)</w:t>
      </w:r>
      <w:r w:rsidRPr="00F04787">
        <w:rPr>
          <w:rFonts w:eastAsiaTheme="minorEastAsia"/>
          <w:lang w:val="en-US"/>
        </w:rPr>
        <w:fldChar w:fldCharType="end"/>
      </w:r>
      <w:r w:rsidR="006D650F">
        <w:rPr>
          <w:rFonts w:eastAsiaTheme="minorEastAsia"/>
          <w:lang w:val="en-US"/>
        </w:rPr>
        <w:t>.</w:t>
      </w:r>
      <w:r w:rsidRPr="00F04787">
        <w:rPr>
          <w:rFonts w:eastAsiaTheme="minorEastAsia"/>
          <w:lang w:val="en-US"/>
        </w:rPr>
        <w:t xml:space="preserve"> Chain convergence was determined by checking traceplots, ensuring all Rhat values &lt; 1.05 with sufficient effective sample size (&gt;200). </w:t>
      </w:r>
    </w:p>
    <w:p w14:paraId="16440B68" w14:textId="77777777" w:rsidR="005D4FCC" w:rsidRPr="00614232" w:rsidRDefault="005D4FCC" w:rsidP="005D4FCC">
      <w:pPr>
        <w:rPr>
          <w:rFonts w:eastAsiaTheme="minorEastAsia"/>
          <w:lang w:val="en-US"/>
        </w:rPr>
      </w:pPr>
    </w:p>
    <w:p w14:paraId="382455D3" w14:textId="77777777" w:rsidR="005D4FCC" w:rsidRDefault="005D4FCC">
      <w:pPr>
        <w:spacing w:after="0" w:line="240" w:lineRule="auto"/>
        <w:rPr>
          <w:b/>
          <w:lang w:val="en-US"/>
        </w:rPr>
      </w:pPr>
      <w:r>
        <w:br w:type="page"/>
      </w:r>
    </w:p>
    <w:p w14:paraId="509B25B2" w14:textId="2C4041AD" w:rsidR="005D4FCC" w:rsidRPr="00F04787" w:rsidRDefault="005D4FCC" w:rsidP="005D4FCC">
      <w:pPr>
        <w:pStyle w:val="Heading1"/>
      </w:pPr>
      <w:r>
        <w:lastRenderedPageBreak/>
        <w:t>Appendix</w:t>
      </w:r>
      <w:r>
        <w:t xml:space="preserve"> Figures</w:t>
      </w:r>
    </w:p>
    <w:p w14:paraId="6B01EE22" w14:textId="77777777" w:rsidR="005D4FCC" w:rsidRDefault="005D4FCC" w:rsidP="005D4FCC">
      <w:r>
        <w:rPr>
          <w:noProof/>
        </w:rPr>
        <w:drawing>
          <wp:inline distT="0" distB="0" distL="0" distR="0" wp14:anchorId="232D4410" wp14:editId="1A98E3EB">
            <wp:extent cx="5727700" cy="35947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S0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7700" cy="3594735"/>
                    </a:xfrm>
                    <a:prstGeom prst="rect">
                      <a:avLst/>
                    </a:prstGeom>
                  </pic:spPr>
                </pic:pic>
              </a:graphicData>
            </a:graphic>
          </wp:inline>
        </w:drawing>
      </w:r>
    </w:p>
    <w:p w14:paraId="441991B3" w14:textId="140152DB" w:rsidR="005D4FCC" w:rsidRDefault="005D4FCC" w:rsidP="005D4FCC">
      <w:r>
        <w:rPr>
          <w:b/>
        </w:rPr>
        <w:t>Appendix</w:t>
      </w:r>
      <w:r>
        <w:rPr>
          <w:b/>
        </w:rPr>
        <w:t xml:space="preserve"> Fig. 1</w:t>
      </w:r>
      <w:r w:rsidRPr="005528F0">
        <w:rPr>
          <w:b/>
        </w:rPr>
        <w:t xml:space="preserve">: </w:t>
      </w:r>
      <w:r>
        <w:rPr>
          <w:b/>
          <w:lang w:val="en-US"/>
        </w:rPr>
        <w:t>Sensitivity analysis to account for uncertainty around transmission risk reduction estimate of baloxavir marboxil (BXM)</w:t>
      </w:r>
      <w:r w:rsidRPr="00F04787">
        <w:rPr>
          <w:b/>
          <w:lang w:val="en-US"/>
        </w:rPr>
        <w:t>.</w:t>
      </w:r>
      <w:r w:rsidRPr="00F04787">
        <w:rPr>
          <w:lang w:val="en-US"/>
        </w:rPr>
        <w:t xml:space="preserve"> </w:t>
      </w:r>
      <w:r>
        <w:rPr>
          <w:lang w:val="en-US"/>
        </w:rPr>
        <w:t>BXM</w:t>
      </w:r>
      <w:r w:rsidRPr="00616399">
        <w:rPr>
          <w:lang w:val="en-US"/>
        </w:rPr>
        <w:t xml:space="preserve"> was administered to all individuals that were positively diagnosed, using a rapid test with 70% test sensitivity, within two days of symptom onset. All symptomatic individuals were assumed to have sought testing within one day after symptom onset on average. Distribution of oral antivirals for treatment began one week after the pandemic was initiated in the country with ten infections.</w:t>
      </w:r>
      <w:r>
        <w:rPr>
          <w:lang w:val="en-US"/>
        </w:rPr>
        <w:t xml:space="preserve"> Each circle plot represents a country coloured by its </w:t>
      </w:r>
      <w:r w:rsidRPr="00616399">
        <w:rPr>
          <w:lang w:val="en-US"/>
        </w:rPr>
        <w:t>gross national income (GNI) per capita is US dollars (USD) in 2023</w:t>
      </w:r>
      <w:r>
        <w:rPr>
          <w:lang w:val="en-US"/>
        </w:rPr>
        <w:t>. Linear regression line is plotted for each pandemic scenario with the estimated slope (m) and coefficient of determination (</w:t>
      </w: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oMath>
      <w:r>
        <w:rPr>
          <w:rFonts w:eastAsiaTheme="minorEastAsia"/>
          <w:lang w:val="en-US"/>
        </w:rPr>
        <w:t>) stated in subplot title.</w:t>
      </w:r>
      <w:r>
        <w:rPr>
          <w:lang w:val="en-US"/>
        </w:rPr>
        <w:t xml:space="preserve"> (</w:t>
      </w:r>
      <w:r w:rsidRPr="001666CE">
        <w:rPr>
          <w:b/>
          <w:lang w:val="en-US"/>
        </w:rPr>
        <w:t>A</w:t>
      </w:r>
      <w:r>
        <w:rPr>
          <w:lang w:val="en-US"/>
        </w:rPr>
        <w:t>) Mean percentage deaths averted by test-and-treat. (</w:t>
      </w:r>
      <w:r w:rsidRPr="001666CE">
        <w:rPr>
          <w:b/>
          <w:lang w:val="en-US"/>
        </w:rPr>
        <w:t>B</w:t>
      </w:r>
      <w:r>
        <w:rPr>
          <w:lang w:val="en-US"/>
        </w:rPr>
        <w:t xml:space="preserve">) Maximum BXM demand.  </w:t>
      </w:r>
      <w:r>
        <w:br w:type="page"/>
      </w:r>
    </w:p>
    <w:p w14:paraId="23F769E7" w14:textId="77777777" w:rsidR="005D4FCC" w:rsidRDefault="005D4FCC" w:rsidP="005D4FCC">
      <w:r>
        <w:rPr>
          <w:noProof/>
        </w:rPr>
        <w:lastRenderedPageBreak/>
        <w:drawing>
          <wp:inline distT="0" distB="0" distL="0" distR="0" wp14:anchorId="766C7A7F" wp14:editId="3AA448F5">
            <wp:extent cx="5727700" cy="35947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S0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7700" cy="3594735"/>
                    </a:xfrm>
                    <a:prstGeom prst="rect">
                      <a:avLst/>
                    </a:prstGeom>
                  </pic:spPr>
                </pic:pic>
              </a:graphicData>
            </a:graphic>
          </wp:inline>
        </w:drawing>
      </w:r>
    </w:p>
    <w:p w14:paraId="65A68FA4" w14:textId="1792CD55" w:rsidR="005D4FCC" w:rsidRDefault="005D4FCC" w:rsidP="005D4FCC">
      <w:pPr>
        <w:rPr>
          <w:lang w:val="en-US"/>
        </w:rPr>
      </w:pPr>
      <w:r>
        <w:rPr>
          <w:b/>
        </w:rPr>
        <w:t>Appendix</w:t>
      </w:r>
      <w:r>
        <w:rPr>
          <w:b/>
        </w:rPr>
        <w:t xml:space="preserve"> Fig. 2</w:t>
      </w:r>
      <w:r w:rsidRPr="005528F0">
        <w:rPr>
          <w:b/>
        </w:rPr>
        <w:t xml:space="preserve">: </w:t>
      </w:r>
      <w:r>
        <w:rPr>
          <w:b/>
          <w:lang w:val="en-US"/>
        </w:rPr>
        <w:t>Sensitivity analysis to account for uncertainty around probability of asymptomatic infection: Treatment with BXM</w:t>
      </w:r>
      <w:r w:rsidRPr="00F04787">
        <w:rPr>
          <w:b/>
          <w:lang w:val="en-US"/>
        </w:rPr>
        <w:t>.</w:t>
      </w:r>
      <w:r w:rsidRPr="00F04787">
        <w:rPr>
          <w:lang w:val="en-US"/>
        </w:rPr>
        <w:t xml:space="preserve"> </w:t>
      </w:r>
      <w:r>
        <w:rPr>
          <w:lang w:val="en-US"/>
        </w:rPr>
        <w:t>BXM</w:t>
      </w:r>
      <w:r w:rsidRPr="00616399">
        <w:rPr>
          <w:lang w:val="en-US"/>
        </w:rPr>
        <w:t xml:space="preserve"> was administered to all individuals that were positively diagnosed, using a rapid test with 70% test sensitivity, within two days of symptom onset. All symptomatic individuals were assumed to have sought testing within one day after symptom onset on average. Distribution of oral antivirals for treatment began one week after the pandemic was initiated in the country with ten infections.</w:t>
      </w:r>
      <w:r>
        <w:rPr>
          <w:lang w:val="en-US"/>
        </w:rPr>
        <w:t xml:space="preserve"> Each circle plot represents a country coloured by its </w:t>
      </w:r>
      <w:r w:rsidRPr="00616399">
        <w:rPr>
          <w:lang w:val="en-US"/>
        </w:rPr>
        <w:t>gross national income (GNI) per capita is US dollars (USD) in 2023</w:t>
      </w:r>
      <w:r>
        <w:rPr>
          <w:lang w:val="en-US"/>
        </w:rPr>
        <w:t>. Linear regression line is plotted for each pandemic scenario with the estimated slope (m) and coefficient of determination (</w:t>
      </w: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oMath>
      <w:r>
        <w:rPr>
          <w:rFonts w:eastAsiaTheme="minorEastAsia"/>
          <w:lang w:val="en-US"/>
        </w:rPr>
        <w:t>) stated in subplot title.</w:t>
      </w:r>
      <w:r>
        <w:rPr>
          <w:lang w:val="en-US"/>
        </w:rPr>
        <w:t xml:space="preserve"> (</w:t>
      </w:r>
      <w:r w:rsidRPr="001666CE">
        <w:rPr>
          <w:b/>
          <w:lang w:val="en-US"/>
        </w:rPr>
        <w:t>A</w:t>
      </w:r>
      <w:r>
        <w:rPr>
          <w:lang w:val="en-US"/>
        </w:rPr>
        <w:t>) Mean percentage deaths averted by test-and-treat. (</w:t>
      </w:r>
      <w:r w:rsidRPr="001666CE">
        <w:rPr>
          <w:b/>
          <w:lang w:val="en-US"/>
        </w:rPr>
        <w:t>B</w:t>
      </w:r>
      <w:r>
        <w:rPr>
          <w:lang w:val="en-US"/>
        </w:rPr>
        <w:t>) Maximum BXM demand.</w:t>
      </w:r>
    </w:p>
    <w:p w14:paraId="41E186C8" w14:textId="77777777" w:rsidR="005D4FCC" w:rsidRDefault="005D4FCC" w:rsidP="005D4FCC">
      <w:r>
        <w:br w:type="page"/>
      </w:r>
    </w:p>
    <w:p w14:paraId="03FC7855" w14:textId="77777777" w:rsidR="005D4FCC" w:rsidRDefault="005D4FCC" w:rsidP="005D4FCC">
      <w:r>
        <w:rPr>
          <w:noProof/>
        </w:rPr>
        <w:lastRenderedPageBreak/>
        <w:drawing>
          <wp:inline distT="0" distB="0" distL="0" distR="0" wp14:anchorId="4B8FAB5B" wp14:editId="61AD9F6B">
            <wp:extent cx="5727700" cy="35947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S03.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27700" cy="3594735"/>
                    </a:xfrm>
                    <a:prstGeom prst="rect">
                      <a:avLst/>
                    </a:prstGeom>
                  </pic:spPr>
                </pic:pic>
              </a:graphicData>
            </a:graphic>
          </wp:inline>
        </w:drawing>
      </w:r>
    </w:p>
    <w:p w14:paraId="07A107E9" w14:textId="150386A6" w:rsidR="005D4FCC" w:rsidRDefault="005D4FCC" w:rsidP="005D4FCC">
      <w:pPr>
        <w:rPr>
          <w:lang w:val="en-US"/>
        </w:rPr>
      </w:pPr>
      <w:r>
        <w:rPr>
          <w:b/>
        </w:rPr>
        <w:t>Appendix</w:t>
      </w:r>
      <w:r>
        <w:rPr>
          <w:b/>
        </w:rPr>
        <w:t xml:space="preserve"> Fig. 3</w:t>
      </w:r>
      <w:r w:rsidRPr="005528F0">
        <w:rPr>
          <w:b/>
        </w:rPr>
        <w:t xml:space="preserve">: </w:t>
      </w:r>
      <w:r>
        <w:rPr>
          <w:b/>
          <w:lang w:val="en-US"/>
        </w:rPr>
        <w:t>Sensitivity analysis to account for uncertainty around probability of asymptomatic infection: Treatment with oseltamivir</w:t>
      </w:r>
      <w:r w:rsidRPr="00F04787">
        <w:rPr>
          <w:b/>
          <w:lang w:val="en-US"/>
        </w:rPr>
        <w:t>.</w:t>
      </w:r>
      <w:r w:rsidRPr="00F04787">
        <w:rPr>
          <w:lang w:val="en-US"/>
        </w:rPr>
        <w:t xml:space="preserve"> </w:t>
      </w:r>
      <w:r>
        <w:rPr>
          <w:lang w:val="en-US"/>
        </w:rPr>
        <w:t>Oseltamivir</w:t>
      </w:r>
      <w:r w:rsidRPr="00616399">
        <w:rPr>
          <w:lang w:val="en-US"/>
        </w:rPr>
        <w:t xml:space="preserve"> was administered to all individuals that were positively diagnosed, using a rapid test with 70% test sensitivity, within two days of symptom onset. All symptomatic individuals were assumed to have sought testing within one day after symptom onset on average. Distribution of oral antivirals for treatment began one week after the pandemic was initiated in the country with ten infections.</w:t>
      </w:r>
      <w:r>
        <w:rPr>
          <w:lang w:val="en-US"/>
        </w:rPr>
        <w:t xml:space="preserve"> Each circle plot represents a country coloured by its </w:t>
      </w:r>
      <w:r w:rsidRPr="00616399">
        <w:rPr>
          <w:lang w:val="en-US"/>
        </w:rPr>
        <w:t>gross national income (GNI) per capita is US dollars (USD) in 2023</w:t>
      </w:r>
      <w:r>
        <w:rPr>
          <w:lang w:val="en-US"/>
        </w:rPr>
        <w:t>. Linear regression line is plotted for each pandemic scenario with the estimated slope (m) and coefficient of determination (</w:t>
      </w: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oMath>
      <w:r>
        <w:rPr>
          <w:rFonts w:eastAsiaTheme="minorEastAsia"/>
          <w:lang w:val="en-US"/>
        </w:rPr>
        <w:t>) stated in subplot title.</w:t>
      </w:r>
      <w:r>
        <w:rPr>
          <w:lang w:val="en-US"/>
        </w:rPr>
        <w:t xml:space="preserve"> (</w:t>
      </w:r>
      <w:r w:rsidRPr="001666CE">
        <w:rPr>
          <w:b/>
          <w:lang w:val="en-US"/>
        </w:rPr>
        <w:t>A</w:t>
      </w:r>
      <w:r>
        <w:rPr>
          <w:lang w:val="en-US"/>
        </w:rPr>
        <w:t>) Mean percentage deaths averted by test-and-treat. (</w:t>
      </w:r>
      <w:r w:rsidRPr="001666CE">
        <w:rPr>
          <w:b/>
          <w:lang w:val="en-US"/>
        </w:rPr>
        <w:t>B</w:t>
      </w:r>
      <w:r>
        <w:rPr>
          <w:lang w:val="en-US"/>
        </w:rPr>
        <w:t>) Maximum BXM demand.</w:t>
      </w:r>
    </w:p>
    <w:p w14:paraId="47B91D82" w14:textId="77777777" w:rsidR="005D4FCC" w:rsidRDefault="005D4FCC" w:rsidP="005D4FCC">
      <w:r>
        <w:br w:type="page"/>
      </w:r>
    </w:p>
    <w:p w14:paraId="23ADCFFB" w14:textId="77777777" w:rsidR="005D4FCC" w:rsidRDefault="005D4FCC" w:rsidP="005D4FCC">
      <w:r>
        <w:rPr>
          <w:noProof/>
        </w:rPr>
        <w:lastRenderedPageBreak/>
        <w:drawing>
          <wp:inline distT="0" distB="0" distL="0" distR="0" wp14:anchorId="5CC9B226" wp14:editId="40C43352">
            <wp:extent cx="5727700" cy="24117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ancetID_fig_s03.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27700" cy="2411730"/>
                    </a:xfrm>
                    <a:prstGeom prst="rect">
                      <a:avLst/>
                    </a:prstGeom>
                  </pic:spPr>
                </pic:pic>
              </a:graphicData>
            </a:graphic>
          </wp:inline>
        </w:drawing>
      </w:r>
    </w:p>
    <w:p w14:paraId="5E109C29" w14:textId="228B8258" w:rsidR="005D4FCC" w:rsidRDefault="005D4FCC" w:rsidP="005D4FCC">
      <w:r>
        <w:rPr>
          <w:b/>
        </w:rPr>
        <w:t>Appendix</w:t>
      </w:r>
      <w:r>
        <w:rPr>
          <w:b/>
        </w:rPr>
        <w:t xml:space="preserve"> Fig. 4</w:t>
      </w:r>
      <w:r w:rsidRPr="005528F0">
        <w:rPr>
          <w:b/>
        </w:rPr>
        <w:t xml:space="preserve">: </w:t>
      </w:r>
      <w:r>
        <w:rPr>
          <w:b/>
          <w:lang w:val="en-US"/>
        </w:rPr>
        <w:t>Estimated infectiousness viral load when treated with baloxavir marboxil at different days since infection (</w:t>
      </w:r>
      <m:oMath>
        <m:sSub>
          <m:sSubPr>
            <m:ctrlPr>
              <w:rPr>
                <w:rFonts w:ascii="Cambria Math" w:hAnsi="Cambria Math"/>
                <w:b/>
                <w:i/>
                <w:lang w:val="en-US"/>
              </w:rPr>
            </m:ctrlPr>
          </m:sSubPr>
          <m:e>
            <m:r>
              <m:rPr>
                <m:sty m:val="bi"/>
              </m:rPr>
              <w:rPr>
                <w:rFonts w:ascii="Cambria Math" w:hAnsi="Cambria Math"/>
                <w:lang w:val="en-US"/>
              </w:rPr>
              <m:t>t</m:t>
            </m:r>
          </m:e>
          <m:sub>
            <m:r>
              <m:rPr>
                <m:sty m:val="bi"/>
              </m:rPr>
              <w:rPr>
                <w:rFonts w:ascii="Cambria Math" w:hAnsi="Cambria Math"/>
                <w:lang w:val="en-US"/>
              </w:rPr>
              <m:t>treatment</m:t>
            </m:r>
          </m:sub>
        </m:sSub>
      </m:oMath>
      <w:r>
        <w:rPr>
          <w:rFonts w:eastAsiaTheme="minorEastAsia"/>
          <w:b/>
          <w:lang w:val="en-US"/>
        </w:rPr>
        <w:t>)</w:t>
      </w:r>
      <w:r w:rsidRPr="00F04787">
        <w:rPr>
          <w:b/>
          <w:lang w:val="en-US"/>
        </w:rPr>
        <w:t>.</w:t>
      </w:r>
      <w:r w:rsidRPr="00F04787">
        <w:rPr>
          <w:lang w:val="en-US"/>
        </w:rPr>
        <w:t xml:space="preserve"> </w:t>
      </w:r>
      <w:r>
        <w:rPr>
          <w:lang w:val="en-US"/>
        </w:rPr>
        <w:t>W</w:t>
      </w:r>
      <w:r w:rsidRPr="00F04787">
        <w:rPr>
          <w:lang w:val="en-US"/>
        </w:rPr>
        <w:t>ithin-host viral load trajectories</w:t>
      </w:r>
      <w:r>
        <w:rPr>
          <w:lang w:val="en-US"/>
        </w:rPr>
        <w:t xml:space="preserve"> estimated by applying maximum-likelihood parameter estimates to our within-host model and varying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treatment</m:t>
            </m:r>
          </m:sub>
        </m:sSub>
      </m:oMath>
      <w:r>
        <w:rPr>
          <w:lang w:val="en-US"/>
        </w:rPr>
        <w:t xml:space="preserve">. </w:t>
      </w:r>
    </w:p>
    <w:p w14:paraId="3E43B1C7" w14:textId="77777777" w:rsidR="005D4FCC" w:rsidRDefault="005D4FCC" w:rsidP="005D4FCC"/>
    <w:p w14:paraId="4607F3D0" w14:textId="77777777" w:rsidR="005D4FCC" w:rsidRDefault="005D4FCC" w:rsidP="005D4FCC">
      <w:r>
        <w:br w:type="page"/>
      </w:r>
    </w:p>
    <w:p w14:paraId="3A214835" w14:textId="77777777" w:rsidR="005D4FCC" w:rsidRPr="00F04787" w:rsidRDefault="005D4FCC" w:rsidP="005D4FCC">
      <w:r w:rsidRPr="00F04787">
        <w:rPr>
          <w:noProof/>
        </w:rPr>
        <w:lastRenderedPageBreak/>
        <w:drawing>
          <wp:inline distT="0" distB="0" distL="0" distR="0" wp14:anchorId="41F1B09F" wp14:editId="7011A9D0">
            <wp:extent cx="5727700" cy="35208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S21.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7700" cy="3520880"/>
                    </a:xfrm>
                    <a:prstGeom prst="rect">
                      <a:avLst/>
                    </a:prstGeom>
                  </pic:spPr>
                </pic:pic>
              </a:graphicData>
            </a:graphic>
          </wp:inline>
        </w:drawing>
      </w:r>
    </w:p>
    <w:p w14:paraId="29DBE455" w14:textId="69415E7F" w:rsidR="005D4FCC" w:rsidRPr="00F04787" w:rsidRDefault="005D4FCC" w:rsidP="005D4FCC">
      <w:pPr>
        <w:rPr>
          <w:lang w:val="en-US"/>
        </w:rPr>
      </w:pPr>
      <w:r>
        <w:rPr>
          <w:b/>
          <w:lang w:val="en-US"/>
        </w:rPr>
        <w:t>Appendix</w:t>
      </w:r>
      <w:r>
        <w:rPr>
          <w:b/>
          <w:lang w:val="en-US"/>
        </w:rPr>
        <w:t xml:space="preserve"> Fig. 5</w:t>
      </w:r>
      <w:r w:rsidRPr="00F04787">
        <w:rPr>
          <w:b/>
          <w:lang w:val="en-US"/>
        </w:rPr>
        <w:t xml:space="preserve">: Country-level effects of treatment delays, distribution strategies, post-exposure prophylaxis and antiviral resistance on </w:t>
      </w:r>
      <w:r>
        <w:rPr>
          <w:b/>
          <w:lang w:val="en-US"/>
        </w:rPr>
        <w:t>mean</w:t>
      </w:r>
      <w:r w:rsidRPr="00F04787">
        <w:rPr>
          <w:b/>
          <w:lang w:val="en-US"/>
        </w:rPr>
        <w:t xml:space="preserve"> percentage deaths averted by baloxavir marboxil (BXM) distribution</w:t>
      </w:r>
      <w:r w:rsidRPr="00F04787">
        <w:rPr>
          <w:lang w:val="en-US"/>
        </w:rPr>
        <w:t>. Relative to the ideal</w:t>
      </w:r>
      <w:r>
        <w:rPr>
          <w:lang w:val="en-US"/>
        </w:rPr>
        <w:t>ise</w:t>
      </w:r>
      <w:r w:rsidRPr="00F04787">
        <w:rPr>
          <w:lang w:val="en-US"/>
        </w:rPr>
        <w:t xml:space="preserve">d scenario (i.e. BXM are swiftly distributed to patients across the country one week after the first infection in the country, with no limits on access and availability of tests and antivirals; &gt;95% of all symptomatic individuals are treated within two days after symptom onset if positively diagnosed by a rapid diagnostic test; </w:t>
      </w:r>
      <w:r>
        <w:rPr>
          <w:lang w:val="en-US"/>
        </w:rPr>
        <w:t>n</w:t>
      </w:r>
      <w:r w:rsidRPr="00F04787">
        <w:rPr>
          <w:lang w:val="en-US"/>
        </w:rPr>
        <w:t xml:space="preserve">o emergence and spread of BXM-resistant viruses), mean changes in </w:t>
      </w:r>
      <w:r>
        <w:rPr>
          <w:lang w:val="en-US"/>
        </w:rPr>
        <w:t>mean</w:t>
      </w:r>
      <w:r w:rsidRPr="00F04787">
        <w:rPr>
          <w:lang w:val="en-US"/>
        </w:rPr>
        <w:t xml:space="preserve"> percentage deaths averted due to country-level effects (each circle and line denotes the posterior mean and 95% highest posterior density interval estimated for each country, shading denotes median age of country’s population) are plotted against countries’ gross national income (GNI) per capita is US dollars (USD) in 2023. Background shading denotes the range of GNI per capita distinguishing between different country income groups as classified by the World Bank in 2024 (low income country, LIC; lower-middle income country, LMIC; upper-middle income country, UMIC; and high income country, HIC).</w:t>
      </w:r>
    </w:p>
    <w:p w14:paraId="73D36ADD" w14:textId="77777777" w:rsidR="005D4FCC" w:rsidRPr="00F04787" w:rsidRDefault="005D4FCC" w:rsidP="005D4FCC"/>
    <w:p w14:paraId="10B7A643" w14:textId="77777777" w:rsidR="005D4FCC" w:rsidRDefault="005D4FCC" w:rsidP="005D4FCC">
      <w:r>
        <w:br w:type="page"/>
      </w:r>
    </w:p>
    <w:p w14:paraId="7072031F" w14:textId="77777777" w:rsidR="005D4FCC" w:rsidRPr="00F04787" w:rsidRDefault="005D4FCC" w:rsidP="005D4FCC">
      <w:r w:rsidRPr="00F04787">
        <w:rPr>
          <w:noProof/>
        </w:rPr>
        <w:lastRenderedPageBreak/>
        <w:drawing>
          <wp:inline distT="0" distB="0" distL="0" distR="0" wp14:anchorId="70AC7989" wp14:editId="23BF690B">
            <wp:extent cx="5727700" cy="2035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S03.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27700" cy="2035175"/>
                    </a:xfrm>
                    <a:prstGeom prst="rect">
                      <a:avLst/>
                    </a:prstGeom>
                  </pic:spPr>
                </pic:pic>
              </a:graphicData>
            </a:graphic>
          </wp:inline>
        </w:drawing>
      </w:r>
    </w:p>
    <w:p w14:paraId="60EEB199" w14:textId="0859E8B6" w:rsidR="005D4FCC" w:rsidRPr="00F04787" w:rsidRDefault="005D4FCC" w:rsidP="005D4FCC">
      <w:r>
        <w:rPr>
          <w:b/>
          <w:lang w:val="en-US"/>
        </w:rPr>
        <w:t>Appendix</w:t>
      </w:r>
      <w:r>
        <w:rPr>
          <w:b/>
          <w:lang w:val="en-US"/>
        </w:rPr>
        <w:t xml:space="preserve"> Fig. 6</w:t>
      </w:r>
      <w:r w:rsidRPr="00F04787">
        <w:rPr>
          <w:b/>
          <w:lang w:val="en-US"/>
        </w:rPr>
        <w:t xml:space="preserve">: Correlation between </w:t>
      </w:r>
      <w:r>
        <w:rPr>
          <w:b/>
          <w:lang w:val="en-US"/>
        </w:rPr>
        <w:t>mean</w:t>
      </w:r>
      <w:r w:rsidRPr="00F04787">
        <w:rPr>
          <w:b/>
          <w:lang w:val="en-US"/>
        </w:rPr>
        <w:t xml:space="preserve"> household size and country-level effect on </w:t>
      </w:r>
      <w:r>
        <w:rPr>
          <w:b/>
          <w:lang w:val="en-US"/>
        </w:rPr>
        <w:t>mean</w:t>
      </w:r>
      <w:r w:rsidRPr="00F04787">
        <w:rPr>
          <w:b/>
          <w:lang w:val="en-US"/>
        </w:rPr>
        <w:t xml:space="preserve"> percentage deaths averted by distributing baloxavir marboxil (BXM) as post-exposure prophylaxis to household members</w:t>
      </w:r>
      <w:r w:rsidRPr="00F04787">
        <w:rPr>
          <w:lang w:val="en-US"/>
        </w:rPr>
        <w:t>. (</w:t>
      </w:r>
      <w:r w:rsidRPr="00F04787">
        <w:rPr>
          <w:b/>
          <w:lang w:val="en-US"/>
        </w:rPr>
        <w:t>A</w:t>
      </w:r>
      <w:r w:rsidRPr="00F04787">
        <w:rPr>
          <w:lang w:val="en-US"/>
        </w:rPr>
        <w:t xml:space="preserve">) </w:t>
      </w:r>
      <w:r>
        <w:rPr>
          <w:lang w:val="en-US"/>
        </w:rPr>
        <w:t>Mean</w:t>
      </w:r>
      <w:r w:rsidRPr="00F04787">
        <w:rPr>
          <w:lang w:val="en-US"/>
        </w:rPr>
        <w:t xml:space="preserve"> household size of each country</w:t>
      </w:r>
      <w:r w:rsidR="001F1416">
        <w:rPr>
          <w:lang w:val="en-US"/>
        </w:rPr>
        <w:t xml:space="preserve"> </w:t>
      </w:r>
      <w:r w:rsidRPr="00F04787">
        <w:rPr>
          <w:lang w:val="en-US"/>
        </w:rPr>
        <w:fldChar w:fldCharType="begin"/>
      </w:r>
      <w:r w:rsidR="006A263E">
        <w:rPr>
          <w:lang w:val="en-US"/>
        </w:rPr>
        <w:instrText xml:space="preserve"> ADDIN ZOTERO_ITEM CSL_CITATION {"citationID":"mQN2Smzq","properties":{"formattedCitation":"(United Nations, 2024)","plainCitation":"(United Nations, 2024)","noteIndex":0},"citationItems":[{"id":175,"uris":["http://zotero.org/users/local/0pdZPGmr/items/UW6QBSYW","http://zotero.org/users/9596130/items/UW6QBSYW"],"itemData":{"id":175,"type":"webpage","title":"World Population Prospects","URL":"https://population.un.org/wpp/","author":[{"literal":"United Nations"}],"accessed":{"date-parts":[["2025",1,6]]},"issued":{"date-parts":[["2024"]]}}}],"schema":"https://github.com/citation-style-language/schema/raw/master/csl-citation.json"} </w:instrText>
      </w:r>
      <w:r w:rsidRPr="00F04787">
        <w:rPr>
          <w:lang w:val="en-US"/>
        </w:rPr>
        <w:fldChar w:fldCharType="separate"/>
      </w:r>
      <w:r w:rsidR="006A263E">
        <w:rPr>
          <w:lang w:val="en-US"/>
        </w:rPr>
        <w:t>(United Nations, 2024)</w:t>
      </w:r>
      <w:r w:rsidRPr="00F04787">
        <w:rPr>
          <w:lang w:val="en-US"/>
        </w:rPr>
        <w:fldChar w:fldCharType="end"/>
      </w:r>
      <w:r w:rsidRPr="00F04787">
        <w:rPr>
          <w:lang w:val="en-US"/>
        </w:rPr>
        <w:t xml:space="preserve"> (circle, shading denotes median age of country’s population) plotted against their gross national income (GNI) per capita is US dollars (USD) in 2023. Background shading denotes the range of GNI per capita distinguishing between different country income groups as classified by the World Bank in 2024 (low income country, LIC; lower-middle income country, LMIC; upper-middle income country, UMIC; and high income country, HIC). (</w:t>
      </w:r>
      <w:r w:rsidRPr="00F04787">
        <w:rPr>
          <w:b/>
          <w:lang w:val="en-US"/>
        </w:rPr>
        <w:t>B</w:t>
      </w:r>
      <w:r w:rsidRPr="00F04787">
        <w:rPr>
          <w:lang w:val="en-US"/>
        </w:rPr>
        <w:t xml:space="preserve">) </w:t>
      </w:r>
      <w:r>
        <w:rPr>
          <w:lang w:val="en-US"/>
        </w:rPr>
        <w:t>Mean</w:t>
      </w:r>
      <w:r w:rsidRPr="00F04787">
        <w:rPr>
          <w:lang w:val="en-US"/>
        </w:rPr>
        <w:t xml:space="preserve"> household size of each country (circle, shading denotes median age of country’s population) plotted against mean changes in </w:t>
      </w:r>
      <w:r>
        <w:rPr>
          <w:lang w:val="en-US"/>
        </w:rPr>
        <w:t>mean</w:t>
      </w:r>
      <w:r w:rsidRPr="00F04787">
        <w:rPr>
          <w:lang w:val="en-US"/>
        </w:rPr>
        <w:t xml:space="preserve"> percentage deaths averted due to country-level effects (each circle and line denotes the posterior mean and 95% highest posterior density interval estimated for each country, shading denotes median age of country’s population). Dash line denotes the best-fit linear regression line (</w:t>
      </w: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eastAsiaTheme="minorEastAsia" w:hAnsi="Cambria Math"/>
            <w:lang w:val="en-US"/>
          </w:rPr>
          <m:t>=0.80</m:t>
        </m:r>
      </m:oMath>
      <w:r w:rsidRPr="00F04787">
        <w:rPr>
          <w:lang w:val="en-US"/>
        </w:rPr>
        <w:t xml:space="preserve">). </w:t>
      </w:r>
    </w:p>
    <w:p w14:paraId="402025CE" w14:textId="77777777" w:rsidR="005D4FCC" w:rsidRPr="00F04787" w:rsidRDefault="005D4FCC" w:rsidP="005D4FCC"/>
    <w:p w14:paraId="2C5726E7" w14:textId="77777777" w:rsidR="005D4FCC" w:rsidRPr="00F04787" w:rsidRDefault="005D4FCC" w:rsidP="005D4FCC"/>
    <w:p w14:paraId="267C484E" w14:textId="77777777" w:rsidR="005D4FCC" w:rsidRDefault="005D4FCC" w:rsidP="005D4FCC">
      <w:r>
        <w:br w:type="page"/>
      </w:r>
    </w:p>
    <w:p w14:paraId="08EEB0C1" w14:textId="77777777" w:rsidR="005D4FCC" w:rsidRPr="00F04787" w:rsidRDefault="005D4FCC" w:rsidP="005D4FCC">
      <w:r w:rsidRPr="00F04787">
        <w:rPr>
          <w:noProof/>
        </w:rPr>
        <w:lastRenderedPageBreak/>
        <w:drawing>
          <wp:inline distT="0" distB="0" distL="0" distR="0" wp14:anchorId="012D909C" wp14:editId="4C115A55">
            <wp:extent cx="5727700" cy="3520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S22.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7700" cy="3520880"/>
                    </a:xfrm>
                    <a:prstGeom prst="rect">
                      <a:avLst/>
                    </a:prstGeom>
                  </pic:spPr>
                </pic:pic>
              </a:graphicData>
            </a:graphic>
          </wp:inline>
        </w:drawing>
      </w:r>
    </w:p>
    <w:p w14:paraId="47FF9C7A" w14:textId="3A6A7AD2" w:rsidR="005D4FCC" w:rsidRPr="00F04787" w:rsidRDefault="005D4FCC" w:rsidP="005D4FCC">
      <w:pPr>
        <w:rPr>
          <w:lang w:val="en-US"/>
        </w:rPr>
      </w:pPr>
      <w:r>
        <w:rPr>
          <w:b/>
          <w:lang w:val="en-US"/>
        </w:rPr>
        <w:t>Appendix</w:t>
      </w:r>
      <w:r>
        <w:rPr>
          <w:b/>
          <w:lang w:val="en-US"/>
        </w:rPr>
        <w:t xml:space="preserve"> Fig. 7</w:t>
      </w:r>
      <w:r w:rsidRPr="00F04787">
        <w:rPr>
          <w:b/>
          <w:lang w:val="en-US"/>
        </w:rPr>
        <w:t xml:space="preserve">: Country-level effects of treatment delays, distribution strategies, post-exposure prophylaxis and antiviral resistance on </w:t>
      </w:r>
      <w:r>
        <w:rPr>
          <w:b/>
          <w:lang w:val="en-US"/>
        </w:rPr>
        <w:t>mean</w:t>
      </w:r>
      <w:r w:rsidRPr="00F04787">
        <w:rPr>
          <w:b/>
          <w:lang w:val="en-US"/>
        </w:rPr>
        <w:t xml:space="preserve"> baloxavir marboxil (BXM) demand</w:t>
      </w:r>
      <w:r w:rsidRPr="00F04787">
        <w:rPr>
          <w:lang w:val="en-US"/>
        </w:rPr>
        <w:t>. Relative to the ideal</w:t>
      </w:r>
      <w:r>
        <w:rPr>
          <w:lang w:val="en-US"/>
        </w:rPr>
        <w:t>ise</w:t>
      </w:r>
      <w:r w:rsidRPr="00F04787">
        <w:rPr>
          <w:lang w:val="en-US"/>
        </w:rPr>
        <w:t xml:space="preserve">d scenario (i.e. BXM are swiftly distributed to patients across the country one week after the first infection in the country, with no limits on access and availability of tests and antivirals; &gt;95% of all symptomatic individuals are treated within two days after symptom onset if positively diagnosed by a rapid diagnostic test; </w:t>
      </w:r>
      <w:r>
        <w:rPr>
          <w:lang w:val="en-US"/>
        </w:rPr>
        <w:t>n</w:t>
      </w:r>
      <w:r w:rsidRPr="00F04787">
        <w:rPr>
          <w:lang w:val="en-US"/>
        </w:rPr>
        <w:t>o emergence and spread of BXM-resistant viruses), mean changes in BXM demand due to country-level effects (each circle and line denotes the posterior mean and 95% highest posterior density interval estimated for each country, shading denotes median age of country’s population) are plotted against countries’ gross national income (GNI) per capita is US dollars (USD) in 2023. Background shading denotes the range of GNI per capita distinguishing between different country income groups as classified by the World Bank in 2024 (low income country, LIC; lower-middle income country, LMIC; upper-middle income country, UMIC; and high income country, HIC).</w:t>
      </w:r>
    </w:p>
    <w:p w14:paraId="3422CF49" w14:textId="77777777" w:rsidR="005D4FCC" w:rsidRPr="00F04787" w:rsidRDefault="005D4FCC" w:rsidP="005D4FCC"/>
    <w:p w14:paraId="3676EAA1" w14:textId="77777777" w:rsidR="005D4FCC" w:rsidRPr="00F04787" w:rsidRDefault="005D4FCC" w:rsidP="005D4FCC"/>
    <w:p w14:paraId="0B13E46E" w14:textId="77777777" w:rsidR="005D4FCC" w:rsidRDefault="005D4FCC" w:rsidP="005D4FCC">
      <w:r>
        <w:br w:type="page"/>
      </w:r>
    </w:p>
    <w:p w14:paraId="152EFD72" w14:textId="77777777" w:rsidR="005D4FCC" w:rsidRDefault="005D4FCC" w:rsidP="005D4FCC">
      <w:r w:rsidRPr="00B91DA1">
        <w:rPr>
          <w:noProof/>
        </w:rPr>
        <w:lastRenderedPageBreak/>
        <w:drawing>
          <wp:inline distT="0" distB="0" distL="0" distR="0" wp14:anchorId="50C3486B" wp14:editId="6EBE187F">
            <wp:extent cx="5727700" cy="34575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27700" cy="3457575"/>
                    </a:xfrm>
                    <a:prstGeom prst="rect">
                      <a:avLst/>
                    </a:prstGeom>
                  </pic:spPr>
                </pic:pic>
              </a:graphicData>
            </a:graphic>
          </wp:inline>
        </w:drawing>
      </w:r>
    </w:p>
    <w:p w14:paraId="46BDBBB5" w14:textId="0D00A34E" w:rsidR="005D4FCC" w:rsidRDefault="005D4FCC" w:rsidP="005D4FCC">
      <w:r>
        <w:rPr>
          <w:b/>
          <w:lang w:val="en-US"/>
        </w:rPr>
        <w:t>Appendix</w:t>
      </w:r>
      <w:r>
        <w:rPr>
          <w:b/>
          <w:lang w:val="en-US"/>
        </w:rPr>
        <w:t xml:space="preserve"> Fig. 8</w:t>
      </w:r>
      <w:r w:rsidRPr="00F04787">
        <w:rPr>
          <w:b/>
          <w:lang w:val="en-US"/>
        </w:rPr>
        <w:t xml:space="preserve">: </w:t>
      </w:r>
      <w:r>
        <w:rPr>
          <w:b/>
          <w:lang w:val="en-US"/>
        </w:rPr>
        <w:t>Within-host model schematic diagram summarizing equations 1-6.</w:t>
      </w:r>
      <w:r>
        <w:br w:type="page"/>
      </w:r>
    </w:p>
    <w:p w14:paraId="77D6D88E" w14:textId="77777777" w:rsidR="005D4FCC" w:rsidRPr="00F04787" w:rsidRDefault="005D4FCC" w:rsidP="005D4FCC">
      <w:r w:rsidRPr="00F04787">
        <w:rPr>
          <w:noProof/>
        </w:rPr>
        <w:lastRenderedPageBreak/>
        <w:drawing>
          <wp:inline distT="0" distB="0" distL="0" distR="0" wp14:anchorId="0DBEA1FF" wp14:editId="65596FCD">
            <wp:extent cx="5615754" cy="23983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ncetID_fig_s01.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15754" cy="2398395"/>
                    </a:xfrm>
                    <a:prstGeom prst="rect">
                      <a:avLst/>
                    </a:prstGeom>
                  </pic:spPr>
                </pic:pic>
              </a:graphicData>
            </a:graphic>
          </wp:inline>
        </w:drawing>
      </w:r>
    </w:p>
    <w:p w14:paraId="083EBC92" w14:textId="523C6CE8" w:rsidR="005D4FCC" w:rsidRPr="00F04787" w:rsidRDefault="005D4FCC" w:rsidP="005D4FCC">
      <w:pPr>
        <w:rPr>
          <w:lang w:val="en-US"/>
        </w:rPr>
      </w:pPr>
      <w:r>
        <w:rPr>
          <w:b/>
          <w:lang w:val="en-US"/>
        </w:rPr>
        <w:t>Appendix</w:t>
      </w:r>
      <w:r>
        <w:rPr>
          <w:b/>
          <w:lang w:val="en-US"/>
        </w:rPr>
        <w:t xml:space="preserve"> Fig. 9</w:t>
      </w:r>
      <w:r w:rsidRPr="00F04787">
        <w:rPr>
          <w:b/>
          <w:lang w:val="en-US"/>
        </w:rPr>
        <w:t>: Data fitting for time to symptom onset since infection and time to treatment administration since symptom onset.</w:t>
      </w:r>
      <w:r w:rsidRPr="00F04787">
        <w:rPr>
          <w:lang w:val="en-US"/>
        </w:rPr>
        <w:t xml:space="preserve"> (</w:t>
      </w:r>
      <w:r w:rsidRPr="00F04787">
        <w:rPr>
          <w:b/>
          <w:lang w:val="en-US"/>
        </w:rPr>
        <w:t>A</w:t>
      </w:r>
      <w:r w:rsidRPr="00F04787">
        <w:rPr>
          <w:lang w:val="en-US"/>
        </w:rPr>
        <w:t xml:space="preserve">) Continuous (black line) and discrete (blue bars) probability distribution function (PDF) of lognormal distribution fit to pooled data of the time of symptom onset since influenza virus infection as reported in </w:t>
      </w:r>
      <w:r w:rsidRPr="00F04787">
        <w:rPr>
          <w:lang w:val="en-US"/>
        </w:rPr>
        <w:fldChar w:fldCharType="begin"/>
      </w:r>
      <w:r w:rsidR="006A263E">
        <w:rPr>
          <w:lang w:val="en-US"/>
        </w:rPr>
        <w:instrText xml:space="preserve"> ADDIN ZOTERO_ITEM CSL_CITATION {"citationID":"W8UuGGw9","properties":{"formattedCitation":"(Lessler et al., 2009)","plainCitation":"(Lessler et al., 2009)","noteIndex":0},"citationItems":[{"id":11,"uris":["http://zotero.org/users/local/0pdZPGmr/items/5IH5IJHG","http://zotero.org/users/9596130/items/5IH5IJHG"],"itemData":{"id":11,"type":"article-journal","container-title":"The Lancet Infectious Diseases","DOI":"10.1016/S1473-3099(09)70069-6","ISSN":"1473-3099, 1474-4457","issue":"5","journalAbbreviation":"The Lancet Infectious Diseases","language":"English","note":"publisher: Elsevier\nPMID: 19393959","page":"291-300","source":"www.thelancet.com","title":"Incubation periods of acute respiratory viral infections: a systematic review","title-short":"Incubation periods of acute respiratory viral infections","volume":"9","author":[{"family":"Lessler","given":"Justin"},{"family":"Reich","given":"Nicholas G."},{"family":"Brookmeyer","given":"Ron"},{"family":"Perl","given":"Trish M."},{"family":"Nelson","given":"Kenrad E."},{"family":"Cummings","given":"Derek AT"}],"issued":{"date-parts":[["2009",5,1]]}}}],"schema":"https://github.com/citation-style-language/schema/raw/master/csl-citation.json"} </w:instrText>
      </w:r>
      <w:r w:rsidRPr="00F04787">
        <w:rPr>
          <w:lang w:val="en-US"/>
        </w:rPr>
        <w:fldChar w:fldCharType="separate"/>
      </w:r>
      <w:r w:rsidR="006A263E">
        <w:rPr>
          <w:lang w:val="en-US"/>
        </w:rPr>
        <w:t>(Lessler et al., 2009)</w:t>
      </w:r>
      <w:r w:rsidRPr="00F04787">
        <w:rPr>
          <w:lang w:val="en-US"/>
        </w:rPr>
        <w:fldChar w:fldCharType="end"/>
      </w:r>
      <w:r w:rsidR="007C5CD8">
        <w:rPr>
          <w:lang w:val="en-US"/>
        </w:rPr>
        <w:t>.</w:t>
      </w:r>
      <w:r w:rsidRPr="00F04787">
        <w:rPr>
          <w:lang w:val="en-US"/>
        </w:rPr>
        <w:t xml:space="preserve"> (</w:t>
      </w:r>
      <w:r w:rsidRPr="00F04787">
        <w:rPr>
          <w:b/>
          <w:lang w:val="en-US"/>
        </w:rPr>
        <w:t>B-D</w:t>
      </w:r>
      <w:r w:rsidRPr="00F04787">
        <w:rPr>
          <w:lang w:val="en-US"/>
        </w:rPr>
        <w:t>) Continuous (black line) cumulative distribution function of gamma distribution fit to time of treatment initiation since symptom onset in the phase 3 clinical trial of baloxavir marboxil (red circles)</w:t>
      </w:r>
      <w:r w:rsidR="000D5A9B">
        <w:rPr>
          <w:lang w:val="en-US"/>
        </w:rPr>
        <w:t xml:space="preserve"> </w:t>
      </w:r>
      <w:r w:rsidRPr="00F04787">
        <w:rPr>
          <w:lang w:val="en-US"/>
        </w:rPr>
        <w:fldChar w:fldCharType="begin"/>
      </w:r>
      <w:r w:rsidR="006A263E">
        <w:rPr>
          <w:lang w:val="en-US"/>
        </w:rPr>
        <w:instrText xml:space="preserve"> ADDIN ZOTERO_ITEM CSL_CITATION {"citationID":"WCFhb7BO","properties":{"formattedCitation":"(Hayden Frederick G. et al., 2018; Uehara et al., 2020)","plainCitation":"(Hayden Frederick G. et al., 2018; Uehara et al., 2020)","noteIndex":0},"citationItems":[{"id":14,"uris":["http://zotero.org/users/local/0pdZPGmr/items/Q75YUA7U","http://zotero.org/users/9596130/items/Q75YUA7U"],"itemData":{"id":14,"type":"article-journal","abstract":"Single-dose baloxavir rapidly reduces influenza virus titers and symptoms in patients with uncomplicated influenza, but viruses with reduced in vitro susceptibility due to amino acid substitutions at position 38 of polymerase acidic protein (PA/I38X) sometimes emerge.We evaluated the kinetics, risk factors, and effects on clinical and virologic outcomes of emergence of PA/I38X-substituted viruses.Viruses containing PA/I38X substitutions were identified 3–9 days after baloxavir treatment in 9.7% (36/370) of patients, of whom 85.3% had transient virus titer rises. Median time to sustained cessation of infectious virus detection was 192, 48, and 96 hours in the baloxavir recipients with PA/I38X-substituted viruses, without PA/I38X-substituted viruses, and placebo recipients, respectively. The corresponding median times to alleviation of symptoms were 63.1, 51.0, and 80.2 hours, respectively. After day 5, symptom increases occurred in 11.5%, 8.0%, and 13.0%, respectively, and in 8.9% of oseltamivir recipients. Variant virus emergence was associated with lower baseline neutralizing antibody titers.The emergence of viruses with PA/I38X substitutions following baloxavir treatment was associated with transient rises in infectious virus titers, prolongation of virus detectability, initial delay in symptom alleviation, and uncommonly with symptom rebound. The potential transmissibility of PA/I38X-substituted viruses requires careful study.NCT02954354.","container-title":"The Journal of Infectious Diseases","DOI":"10.1093/infdis/jiz244","ISSN":"0022-1899","issue":"3","journalAbbreviation":"The Journal of Infectious Diseases","page":"346-355","title":"Treatment-Emergent Influenza Variant Viruses With Reduced Baloxavir Susceptibility: Impact on Clinical and Virologic Outcomes in Uncomplicated Influenza","volume":"221","author":[{"family":"Uehara","given":"Takeki"},{"family":"Hayden","given":"Frederick G"},{"family":"Kawaguchi","given":"Keiko"},{"family":"Omoto","given":"Shinya"},{"family":"Hurt","given":"Aeron C"},{"family":"De Jong","given":"Menno D"},{"family":"Hirotsu","given":"Nobuo"},{"family":"Sugaya","given":"Norio"},{"family":"Lee","given":"Nelson"},{"family":"Baba","given":"Keiko"},{"family":"Shishido","given":"Takao"},{"family":"Tsuchiya","given":"Kenji"},{"family":"Portsmouth","given":"Simon"},{"family":"Kida","given":"Hiroshi"}],"issued":{"date-parts":[["2020",1,14]]}}},{"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Pr="00F04787">
        <w:rPr>
          <w:lang w:val="en-US"/>
        </w:rPr>
        <w:fldChar w:fldCharType="separate"/>
      </w:r>
      <w:r w:rsidR="006A263E">
        <w:rPr>
          <w:lang w:val="en-US"/>
        </w:rPr>
        <w:t>(Hayden Frederick G. et al., 2018; Uehara et al., 2020)</w:t>
      </w:r>
      <w:r w:rsidRPr="00F04787">
        <w:rPr>
          <w:lang w:val="en-US"/>
        </w:rPr>
        <w:fldChar w:fldCharType="end"/>
      </w:r>
      <w:r w:rsidR="000D5A9B">
        <w:rPr>
          <w:lang w:val="en-US"/>
        </w:rPr>
        <w:t>;</w:t>
      </w:r>
      <w:r w:rsidRPr="00F04787">
        <w:rPr>
          <w:lang w:val="en-US"/>
        </w:rPr>
        <w:t xml:space="preserve"> (</w:t>
      </w:r>
      <w:r w:rsidRPr="00F04787">
        <w:rPr>
          <w:b/>
          <w:lang w:val="en-US"/>
        </w:rPr>
        <w:t>B</w:t>
      </w:r>
      <w:r w:rsidRPr="00F04787">
        <w:rPr>
          <w:lang w:val="en-US"/>
        </w:rPr>
        <w:t xml:space="preserve">) </w:t>
      </w:r>
      <w:r>
        <w:rPr>
          <w:lang w:val="en-US"/>
        </w:rPr>
        <w:t>p</w:t>
      </w:r>
      <w:r w:rsidRPr="00F04787">
        <w:rPr>
          <w:lang w:val="en-US"/>
        </w:rPr>
        <w:t>lacebo, (</w:t>
      </w:r>
      <w:r w:rsidRPr="00F04787">
        <w:rPr>
          <w:b/>
          <w:lang w:val="en-US"/>
        </w:rPr>
        <w:t>C</w:t>
      </w:r>
      <w:r w:rsidRPr="00F04787">
        <w:rPr>
          <w:lang w:val="en-US"/>
        </w:rPr>
        <w:t xml:space="preserve">) </w:t>
      </w:r>
      <w:r>
        <w:rPr>
          <w:lang w:val="en-US"/>
        </w:rPr>
        <w:t>b</w:t>
      </w:r>
      <w:r w:rsidRPr="00F04787">
        <w:rPr>
          <w:lang w:val="en-US"/>
        </w:rPr>
        <w:t>aloxavir marboxil, and (</w:t>
      </w:r>
      <w:r w:rsidRPr="00F04787">
        <w:rPr>
          <w:b/>
          <w:lang w:val="en-US"/>
        </w:rPr>
        <w:t>D</w:t>
      </w:r>
      <w:r w:rsidRPr="00F04787">
        <w:rPr>
          <w:lang w:val="en-US"/>
        </w:rPr>
        <w:t xml:space="preserve">) </w:t>
      </w:r>
      <w:r>
        <w:rPr>
          <w:lang w:val="en-US"/>
        </w:rPr>
        <w:t>o</w:t>
      </w:r>
      <w:r w:rsidRPr="00F04787">
        <w:rPr>
          <w:lang w:val="en-US"/>
        </w:rPr>
        <w:t xml:space="preserve">seltamivir. </w:t>
      </w:r>
    </w:p>
    <w:p w14:paraId="69D4DF9D" w14:textId="77777777" w:rsidR="005D4FCC" w:rsidRPr="00F04787" w:rsidRDefault="005D4FCC" w:rsidP="005D4FCC"/>
    <w:p w14:paraId="26937B2E" w14:textId="77777777" w:rsidR="005D4FCC" w:rsidRPr="00F04787" w:rsidRDefault="005D4FCC" w:rsidP="005D4FCC"/>
    <w:p w14:paraId="02E951D5" w14:textId="77777777" w:rsidR="005D4FCC" w:rsidRDefault="005D4FCC" w:rsidP="005D4FCC">
      <w:pPr>
        <w:rPr>
          <w:lang w:val="en-US"/>
        </w:rPr>
      </w:pPr>
      <w:r>
        <w:rPr>
          <w:lang w:val="en-US"/>
        </w:rPr>
        <w:br w:type="page"/>
      </w:r>
    </w:p>
    <w:p w14:paraId="4BF4FBBF" w14:textId="77777777" w:rsidR="005D4FCC" w:rsidRPr="00F04787" w:rsidRDefault="005D4FCC" w:rsidP="005D4FCC">
      <w:pPr>
        <w:rPr>
          <w:lang w:val="en-US"/>
        </w:rPr>
      </w:pPr>
      <w:r w:rsidRPr="00F04787">
        <w:rPr>
          <w:noProof/>
          <w:lang w:val="en-US"/>
        </w:rPr>
        <w:lastRenderedPageBreak/>
        <w:drawing>
          <wp:inline distT="0" distB="0" distL="0" distR="0" wp14:anchorId="33230635" wp14:editId="61B1E6F5">
            <wp:extent cx="5727073" cy="2869565"/>
            <wp:effectExtent l="0" t="0" r="635"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ancetID_fig_s02.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27073" cy="2869565"/>
                    </a:xfrm>
                    <a:prstGeom prst="rect">
                      <a:avLst/>
                    </a:prstGeom>
                  </pic:spPr>
                </pic:pic>
              </a:graphicData>
            </a:graphic>
          </wp:inline>
        </w:drawing>
      </w:r>
    </w:p>
    <w:p w14:paraId="106A9E0B" w14:textId="28CC009B" w:rsidR="005D4FCC" w:rsidRPr="00F04787" w:rsidRDefault="005D4FCC" w:rsidP="005D4FCC">
      <w:pPr>
        <w:rPr>
          <w:lang w:val="en-US"/>
        </w:rPr>
      </w:pPr>
      <w:r>
        <w:rPr>
          <w:b/>
          <w:lang w:val="en-US"/>
        </w:rPr>
        <w:t>Appendix</w:t>
      </w:r>
      <w:r>
        <w:rPr>
          <w:b/>
          <w:lang w:val="en-US"/>
        </w:rPr>
        <w:t xml:space="preserve"> Fig. 10</w:t>
      </w:r>
      <w:r w:rsidRPr="00F04787">
        <w:rPr>
          <w:b/>
          <w:lang w:val="en-US"/>
        </w:rPr>
        <w:t>: Within-host viral load model fitted to clinical trial data.</w:t>
      </w:r>
      <w:r w:rsidRPr="00F04787">
        <w:rPr>
          <w:lang w:val="en-US"/>
        </w:rPr>
        <w:t xml:space="preserve"> Maximum-likelihood within-host viral load trajectories for drug-sensitive wild type (blue solid line) and drug-resistant mutant (red dashed line) viruses by fitting to </w:t>
      </w:r>
      <w:r>
        <w:rPr>
          <w:lang w:val="en-US"/>
        </w:rPr>
        <w:t>mean</w:t>
      </w:r>
      <w:r w:rsidRPr="00F04787">
        <w:rPr>
          <w:lang w:val="en-US"/>
        </w:rPr>
        <w:t xml:space="preserve"> viral load data (gray circles) obtained in the phase 3 clinical trial of baloxavir marboxil</w:t>
      </w:r>
      <w:r w:rsidR="00FB4847">
        <w:rPr>
          <w:lang w:val="en-US"/>
        </w:rPr>
        <w:t xml:space="preserve"> </w:t>
      </w:r>
      <w:r w:rsidRPr="00F04787">
        <w:rPr>
          <w:lang w:val="en-US"/>
        </w:rPr>
        <w:fldChar w:fldCharType="begin"/>
      </w:r>
      <w:r w:rsidR="006A263E">
        <w:rPr>
          <w:lang w:val="en-US"/>
        </w:rPr>
        <w:instrText xml:space="preserve"> ADDIN ZOTERO_ITEM CSL_CITATION {"citationID":"7w48skwK","properties":{"formattedCitation":"(Hayden Frederick G. et al., 2018; Uehara et al., 2020)","plainCitation":"(Hayden Frederick G. et al., 2018; Uehara et al., 2020)","noteIndex":0},"citationItems":[{"id":14,"uris":["http://zotero.org/users/local/0pdZPGmr/items/Q75YUA7U","http://zotero.org/users/9596130/items/Q75YUA7U"],"itemData":{"id":14,"type":"article-journal","abstract":"Single-dose baloxavir rapidly reduces influenza virus titers and symptoms in patients with uncomplicated influenza, but viruses with reduced in vitro susceptibility due to amino acid substitutions at position 38 of polymerase acidic protein (PA/I38X) sometimes emerge.We evaluated the kinetics, risk factors, and effects on clinical and virologic outcomes of emergence of PA/I38X-substituted viruses.Viruses containing PA/I38X substitutions were identified 3–9 days after baloxavir treatment in 9.7% (36/370) of patients, of whom 85.3% had transient virus titer rises. Median time to sustained cessation of infectious virus detection was 192, 48, and 96 hours in the baloxavir recipients with PA/I38X-substituted viruses, without PA/I38X-substituted viruses, and placebo recipients, respectively. The corresponding median times to alleviation of symptoms were 63.1, 51.0, and 80.2 hours, respectively. After day 5, symptom increases occurred in 11.5%, 8.0%, and 13.0%, respectively, and in 8.9% of oseltamivir recipients. Variant virus emergence was associated with lower baseline neutralizing antibody titers.The emergence of viruses with PA/I38X substitutions following baloxavir treatment was associated with transient rises in infectious virus titers, prolongation of virus detectability, initial delay in symptom alleviation, and uncommonly with symptom rebound. The potential transmissibility of PA/I38X-substituted viruses requires careful study.NCT02954354.","container-title":"The Journal of Infectious Diseases","DOI":"10.1093/infdis/jiz244","ISSN":"0022-1899","issue":"3","journalAbbreviation":"The Journal of Infectious Diseases","page":"346-355","title":"Treatment-Emergent Influenza Variant Viruses With Reduced Baloxavir Susceptibility: Impact on Clinical and Virologic Outcomes in Uncomplicated Influenza","volume":"221","author":[{"family":"Uehara","given":"Takeki"},{"family":"Hayden","given":"Frederick G"},{"family":"Kawaguchi","given":"Keiko"},{"family":"Omoto","given":"Shinya"},{"family":"Hurt","given":"Aeron C"},{"family":"De Jong","given":"Menno D"},{"family":"Hirotsu","given":"Nobuo"},{"family":"Sugaya","given":"Norio"},{"family":"Lee","given":"Nelson"},{"family":"Baba","given":"Keiko"},{"family":"Shishido","given":"Takao"},{"family":"Tsuchiya","given":"Kenji"},{"family":"Portsmouth","given":"Simon"},{"family":"Kida","given":"Hiroshi"}],"issued":{"date-parts":[["2020",1,14]]}}},{"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Pr="00F04787">
        <w:rPr>
          <w:lang w:val="en-US"/>
        </w:rPr>
        <w:fldChar w:fldCharType="separate"/>
      </w:r>
      <w:r w:rsidR="006A263E">
        <w:rPr>
          <w:lang w:val="en-US"/>
        </w:rPr>
        <w:t>(Hayden Frederick G. et al., 2018; Uehara et al., 2020)</w:t>
      </w:r>
      <w:r w:rsidRPr="00F04787">
        <w:rPr>
          <w:lang w:val="en-US"/>
        </w:rPr>
        <w:fldChar w:fldCharType="end"/>
      </w:r>
      <w:r w:rsidR="00FB4847">
        <w:rPr>
          <w:lang w:val="en-US"/>
        </w:rPr>
        <w:t xml:space="preserve">. </w:t>
      </w:r>
    </w:p>
    <w:p w14:paraId="653DB355" w14:textId="77777777" w:rsidR="005D4FCC" w:rsidRPr="00F04787" w:rsidRDefault="005D4FCC" w:rsidP="005D4FCC"/>
    <w:p w14:paraId="0B15AB95" w14:textId="77777777" w:rsidR="005D4FCC" w:rsidRPr="00F04787" w:rsidRDefault="005D4FCC" w:rsidP="005D4FCC"/>
    <w:p w14:paraId="59643597" w14:textId="77777777" w:rsidR="005D4FCC" w:rsidRPr="00F04787" w:rsidRDefault="005D4FCC" w:rsidP="005D4FCC">
      <w:pPr>
        <w:rPr>
          <w:b/>
          <w:lang w:val="en-US"/>
        </w:rPr>
      </w:pPr>
      <w:r w:rsidRPr="00F04787">
        <w:br w:type="page"/>
      </w:r>
    </w:p>
    <w:p w14:paraId="7468C01D" w14:textId="77777777" w:rsidR="005D4FCC" w:rsidRDefault="005D4FCC" w:rsidP="005D4FCC">
      <w:r>
        <w:rPr>
          <w:noProof/>
        </w:rPr>
        <w:lastRenderedPageBreak/>
        <w:drawing>
          <wp:inline distT="0" distB="0" distL="0" distR="0" wp14:anchorId="00F63EB1" wp14:editId="01CFBF2E">
            <wp:extent cx="5727700" cy="298386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ancetID_fig_s04.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27700" cy="2983865"/>
                    </a:xfrm>
                    <a:prstGeom prst="rect">
                      <a:avLst/>
                    </a:prstGeom>
                  </pic:spPr>
                </pic:pic>
              </a:graphicData>
            </a:graphic>
          </wp:inline>
        </w:drawing>
      </w:r>
    </w:p>
    <w:p w14:paraId="719F05B4" w14:textId="16A9F8E2" w:rsidR="005D4FCC" w:rsidRDefault="005D4FCC" w:rsidP="005D4FCC">
      <w:pPr>
        <w:rPr>
          <w:b/>
          <w:lang w:val="en-US"/>
        </w:rPr>
      </w:pPr>
      <w:r>
        <w:rPr>
          <w:b/>
          <w:lang w:val="en-US"/>
        </w:rPr>
        <w:t>Appendix</w:t>
      </w:r>
      <w:r>
        <w:rPr>
          <w:b/>
          <w:lang w:val="en-US"/>
        </w:rPr>
        <w:t xml:space="preserve"> Fig. 11</w:t>
      </w:r>
      <w:r w:rsidRPr="00F04787">
        <w:rPr>
          <w:b/>
          <w:lang w:val="en-US"/>
        </w:rPr>
        <w:t xml:space="preserve">: </w:t>
      </w:r>
      <w:r>
        <w:rPr>
          <w:b/>
          <w:lang w:val="en-US"/>
        </w:rPr>
        <w:t>Model validation; estimated incidence using our multiscale modelling approach when applying different within-host viral load to infectiousness correlative models</w:t>
      </w:r>
      <w:r w:rsidRPr="00F04787">
        <w:rPr>
          <w:b/>
          <w:lang w:val="en-US"/>
        </w:rPr>
        <w:t>.</w:t>
      </w:r>
      <w:r w:rsidRPr="00F04787">
        <w:rPr>
          <w:lang w:val="en-US"/>
        </w:rPr>
        <w:t xml:space="preserve"> </w:t>
      </w:r>
      <w:r>
        <w:rPr>
          <w:lang w:val="en-US"/>
        </w:rPr>
        <w:t>We compared the output of our multiscale model, applying seasonal influenza parameters</w:t>
      </w:r>
      <w:r w:rsidR="00214785">
        <w:rPr>
          <w:lang w:val="en-US"/>
        </w:rPr>
        <w:t xml:space="preserve"> </w:t>
      </w:r>
      <w:r>
        <w:rPr>
          <w:lang w:val="en-US"/>
        </w:rPr>
        <w:fldChar w:fldCharType="begin"/>
      </w:r>
      <w:r w:rsidR="006A263E">
        <w:rPr>
          <w:lang w:val="en-US"/>
        </w:rPr>
        <w:instrText xml:space="preserve"> ADDIN ZOTERO_ITEM CSL_CITATION {"citationID":"6WAOmdJv","properties":{"formattedCitation":"(Brugger and Althaus, 2020)","plainCitation":"(Brugger and Althaus, 2020)","noteIndex":0},"citationItems":[{"id":103,"uris":["http://zotero.org/users/local/0pdZPGmr/items/ETJ2898P","http://zotero.org/users/9596130/items/ETJ2898P"],"itemData":{"id":103,"type":"article-journal","abstract":"Understanding the seasonal patterns of influenza transmission is critical to help plan public health measures for the management and control of epidemics. Mathematical models of infectious disease transmission have been widely used to quantify the transmissibility of and susceptibility to past influenza seasons in many countries. The objective of this study was to obtain a detailed picture of the transmission dynamics of seasonal influenza in Switzerland from 2003 to 2015. To this end, we developed a compartmental influenza transmission model taking into account social mixing between different age groups and seasonal forcing. We applied a Bayesian approach using Markov chain Monte Carlo (MCMC) methods to fit the model to the reported incidence of influenza-like-illness (ILI) and virological data from Sentinella, the Swiss Sentinel Surveillance Network. The maximal basic reproduction number, R0, ranged from 1.46 to 1.81 (median). Median estimates of susceptibility to influenza ranged from 29% to 98% for different age groups, and typically decreased with age. We also found a decline in ascertainability of influenza cases with age. Our study illustrates how influenza surveillance data from Switzerland can be integrated into a Bayesian modeling framework in order to assess age-specific transmission of and susceptibility to influenza.","container-title":"Epidemics","DOI":"10.1016/j.epidem.2019.100373","ISSN":"1755-4365","journalAbbreviation":"Epidemics","page":"100373","title":"Transmission of and susceptibility to seasonal influenza in Switzerland from 2003 to 2015","volume":"30","author":[{"family":"Brugger","given":"Jon"},{"family":"Althaus","given":"Christian L."}],"issued":{"date-parts":[["2020",3,1]]}}}],"schema":"https://github.com/citation-style-language/schema/raw/master/csl-citation.json"} </w:instrText>
      </w:r>
      <w:r>
        <w:rPr>
          <w:lang w:val="en-US"/>
        </w:rPr>
        <w:fldChar w:fldCharType="separate"/>
      </w:r>
      <w:r w:rsidR="006A263E">
        <w:rPr>
          <w:lang w:val="en-US"/>
        </w:rPr>
        <w:t>(Brugger and Althaus, 2020)</w:t>
      </w:r>
      <w:r>
        <w:rPr>
          <w:lang w:val="en-US"/>
        </w:rPr>
        <w:fldChar w:fldCharType="end"/>
      </w:r>
      <w:r>
        <w:rPr>
          <w:lang w:val="en-US"/>
        </w:rPr>
        <w:t xml:space="preserve"> to estimate the incidence during the 2017/2018 influenza season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r>
          <w:rPr>
            <w:rFonts w:ascii="Cambria Math" w:hAnsi="Cambria Math"/>
            <w:lang w:val="en-US"/>
          </w:rPr>
          <m:t>=1.3</m:t>
        </m:r>
      </m:oMath>
      <w:r>
        <w:rPr>
          <w:rFonts w:eastAsiaTheme="minorEastAsia"/>
          <w:lang w:val="en-US"/>
        </w:rPr>
        <w:t>)</w:t>
      </w:r>
      <w:r w:rsidR="00214785">
        <w:rPr>
          <w:rFonts w:eastAsiaTheme="minorEastAsia"/>
          <w:lang w:val="en-US"/>
        </w:rPr>
        <w:t xml:space="preserve"> </w:t>
      </w:r>
      <w:r>
        <w:rPr>
          <w:rFonts w:eastAsiaTheme="minorEastAsia"/>
          <w:lang w:val="en-US"/>
        </w:rPr>
        <w:fldChar w:fldCharType="begin"/>
      </w:r>
      <w:r w:rsidR="006A263E">
        <w:rPr>
          <w:rFonts w:eastAsiaTheme="minorEastAsia"/>
          <w:lang w:val="en-US"/>
        </w:rPr>
        <w:instrText xml:space="preserve"> ADDIN ZOTERO_ITEM CSL_CITATION {"citationID":"TUYLQVd7","properties":{"formattedCitation":"(Du et al., 2020)","plainCitation":"(Du et al., 2020)","noteIndex":0},"citationItems":[{"id":7,"uris":["http://zotero.org/users/local/0pdZPGmr/items/GTQ2MMFT","http://zotero.org/users/9596130/items/GTQ2MMFT"],"itemData":{"id":7,"type":"article-journal","abstract":"Influenza viruses annually kill 290,000–650,000 people worldwide. Antivirals can reduce death tolls. Baloxavir, the recently approved influenza antiviral, inhibits initiation of viral mRNA synthesis, whereas oseltamivir, an older drug, inhibits release of virus progeny. Baloxavir blocks virus replication more rapidly and completely than oseltamivir, reducing the duration of infectiousness. Hence, early baloxavir treatment may indirectly prevent transmission. Here, we estimate impacts of ramping up and accelerating baloxavir treatment on population-level incidence using a new model that links viral load dynamics from clinical trial data to between-host transmission. We estimate that ~22 million infections and &gt;6,000 deaths would have been averted in the 2017–2018 epidemic season by administering baloxavir to 30% of infected cases within 48 h after symptom onset. Treatment within 24 h would almost double the impact. Consequently, scaling up early baloxavir treatment would substantially reduce influenza morbidity and mortality every year. The development of antivirals against the SARS-CoV2 virus that function like baloxavir might similarly curtail transmission and save lives.","container-title":"Nature Communications","DOI":"10.1038/s41467-020-16585-y","ISSN":"2041-1723","issue":"1","journalAbbreviation":"Nature Communications","page":"2750","title":"Modeling mitigation of influenza epidemics by baloxavir","volume":"11","author":[{"family":"Du","given":"Zhanwei"},{"family":"Nugent","given":"Ciara"},{"family":"Galvani","given":"Alison P."},{"family":"Krug","given":"Robert M."},{"family":"Meyers","given":"Lauren Ancel"}],"issued":{"date-parts":[["2020",6,2]]}}}],"schema":"https://github.com/citation-style-language/schema/raw/master/csl-citation.json"} </w:instrText>
      </w:r>
      <w:r>
        <w:rPr>
          <w:rFonts w:eastAsiaTheme="minorEastAsia"/>
          <w:lang w:val="en-US"/>
        </w:rPr>
        <w:fldChar w:fldCharType="separate"/>
      </w:r>
      <w:r w:rsidR="006A263E">
        <w:rPr>
          <w:lang w:val="en-US"/>
        </w:rPr>
        <w:t>(Du et al., 2020)</w:t>
      </w:r>
      <w:r>
        <w:rPr>
          <w:rFonts w:eastAsiaTheme="minorEastAsia"/>
          <w:lang w:val="en-US"/>
        </w:rPr>
        <w:fldChar w:fldCharType="end"/>
      </w:r>
      <w:r>
        <w:rPr>
          <w:lang w:val="en-US"/>
        </w:rPr>
        <w:t xml:space="preserve"> in the United States (US), against reported influenza-like (ILI) data (</w:t>
      </w:r>
      <w:hyperlink r:id="rId24" w:history="1">
        <w:r w:rsidRPr="003632ED">
          <w:rPr>
            <w:rStyle w:val="Hyperlink"/>
            <w:lang w:val="en-US"/>
          </w:rPr>
          <w:t>https://www.cdc.gov/flu/weekly/fluviewinteractive.htm</w:t>
        </w:r>
      </w:hyperlink>
      <w:r>
        <w:rPr>
          <w:lang w:val="en-US"/>
        </w:rPr>
        <w:t xml:space="preserve">; black circles). We find minimal difference in total incidence (&lt;10% difference) when applying different within-host viral load to infectiousness correlative models (differently coloured lines).   </w:t>
      </w:r>
      <w:r>
        <w:br w:type="page"/>
      </w:r>
    </w:p>
    <w:p w14:paraId="7CAABD41" w14:textId="304A5439" w:rsidR="005D4FCC" w:rsidRDefault="005D4FCC" w:rsidP="005D4FCC">
      <w:pPr>
        <w:pStyle w:val="Heading1"/>
      </w:pPr>
      <w:r>
        <w:lastRenderedPageBreak/>
        <w:t>Appendix</w:t>
      </w:r>
      <w:r>
        <w:t xml:space="preserve"> Tables</w:t>
      </w:r>
    </w:p>
    <w:p w14:paraId="41F515A0" w14:textId="5B285868" w:rsidR="005D4FCC" w:rsidRPr="00257ABA" w:rsidRDefault="005D4FCC" w:rsidP="005D4FCC">
      <w:pPr>
        <w:rPr>
          <w:b/>
        </w:rPr>
      </w:pPr>
      <w:r>
        <w:rPr>
          <w:b/>
        </w:rPr>
        <w:t>Appendix</w:t>
      </w:r>
      <w:r>
        <w:rPr>
          <w:b/>
        </w:rPr>
        <w:t xml:space="preserve"> Table 1</w:t>
      </w:r>
      <w:r w:rsidRPr="00257ABA">
        <w:rPr>
          <w:b/>
        </w:rPr>
        <w:t>. Parameters used in</w:t>
      </w:r>
      <w:r>
        <w:rPr>
          <w:b/>
        </w:rPr>
        <w:t xml:space="preserve"> the</w:t>
      </w:r>
      <w:r w:rsidRPr="00257ABA">
        <w:rPr>
          <w:b/>
        </w:rPr>
        <w:t xml:space="preserve"> </w:t>
      </w:r>
      <w:r>
        <w:rPr>
          <w:b/>
        </w:rPr>
        <w:t>between</w:t>
      </w:r>
      <w:r w:rsidRPr="00257ABA">
        <w:rPr>
          <w:b/>
        </w:rPr>
        <w:t>-host</w:t>
      </w:r>
      <w:r>
        <w:rPr>
          <w:b/>
        </w:rPr>
        <w:t xml:space="preserve"> transmission</w:t>
      </w:r>
      <w:r w:rsidRPr="00257ABA">
        <w:rPr>
          <w:b/>
        </w:rPr>
        <w:t xml:space="preserve"> model. </w:t>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1"/>
        <w:gridCol w:w="2602"/>
        <w:gridCol w:w="2357"/>
      </w:tblGrid>
      <w:tr w:rsidR="005D4FCC" w:rsidRPr="00370A32" w14:paraId="38B0AFBE" w14:textId="77777777" w:rsidTr="008E4248">
        <w:tc>
          <w:tcPr>
            <w:tcW w:w="4061" w:type="dxa"/>
            <w:tcBorders>
              <w:top w:val="single" w:sz="4" w:space="0" w:color="auto"/>
              <w:bottom w:val="single" w:sz="4" w:space="0" w:color="auto"/>
            </w:tcBorders>
          </w:tcPr>
          <w:p w14:paraId="724B763C" w14:textId="77777777" w:rsidR="005D4FCC" w:rsidRPr="00370A32" w:rsidRDefault="005D4FCC" w:rsidP="005D4FCC">
            <w:pPr>
              <w:spacing w:line="276" w:lineRule="auto"/>
              <w:rPr>
                <w:rFonts w:ascii="Arial" w:hAnsi="Arial" w:cs="Arial"/>
                <w:b/>
                <w:sz w:val="15"/>
                <w:szCs w:val="15"/>
              </w:rPr>
            </w:pPr>
            <w:r w:rsidRPr="00370A32">
              <w:rPr>
                <w:rFonts w:ascii="Arial" w:hAnsi="Arial" w:cs="Arial"/>
                <w:b/>
                <w:sz w:val="15"/>
                <w:szCs w:val="15"/>
              </w:rPr>
              <w:t>Parameter</w:t>
            </w:r>
          </w:p>
        </w:tc>
        <w:tc>
          <w:tcPr>
            <w:tcW w:w="2602" w:type="dxa"/>
            <w:tcBorders>
              <w:top w:val="single" w:sz="4" w:space="0" w:color="auto"/>
              <w:bottom w:val="single" w:sz="4" w:space="0" w:color="auto"/>
            </w:tcBorders>
          </w:tcPr>
          <w:p w14:paraId="5403D734" w14:textId="77777777" w:rsidR="005D4FCC" w:rsidRPr="00370A32" w:rsidRDefault="005D4FCC" w:rsidP="005D4FCC">
            <w:pPr>
              <w:spacing w:line="276" w:lineRule="auto"/>
              <w:rPr>
                <w:rFonts w:ascii="Arial" w:hAnsi="Arial" w:cs="Arial"/>
                <w:b/>
                <w:sz w:val="15"/>
                <w:szCs w:val="15"/>
              </w:rPr>
            </w:pPr>
            <w:r w:rsidRPr="00370A32">
              <w:rPr>
                <w:rFonts w:ascii="Arial" w:hAnsi="Arial" w:cs="Arial"/>
                <w:b/>
                <w:sz w:val="15"/>
                <w:szCs w:val="15"/>
              </w:rPr>
              <w:t>Value</w:t>
            </w:r>
          </w:p>
        </w:tc>
        <w:tc>
          <w:tcPr>
            <w:tcW w:w="2357" w:type="dxa"/>
            <w:tcBorders>
              <w:top w:val="single" w:sz="4" w:space="0" w:color="auto"/>
              <w:bottom w:val="single" w:sz="4" w:space="0" w:color="auto"/>
            </w:tcBorders>
          </w:tcPr>
          <w:p w14:paraId="3263C606" w14:textId="77777777" w:rsidR="005D4FCC" w:rsidRPr="00370A32" w:rsidRDefault="005D4FCC" w:rsidP="005D4FCC">
            <w:pPr>
              <w:spacing w:line="276" w:lineRule="auto"/>
              <w:rPr>
                <w:rFonts w:ascii="Arial" w:hAnsi="Arial" w:cs="Arial"/>
                <w:b/>
                <w:sz w:val="15"/>
                <w:szCs w:val="15"/>
              </w:rPr>
            </w:pPr>
            <w:r w:rsidRPr="00370A32">
              <w:rPr>
                <w:rFonts w:ascii="Arial" w:hAnsi="Arial" w:cs="Arial"/>
                <w:b/>
                <w:sz w:val="15"/>
                <w:szCs w:val="15"/>
              </w:rPr>
              <w:t>Source</w:t>
            </w:r>
          </w:p>
        </w:tc>
      </w:tr>
      <w:tr w:rsidR="005D4FCC" w:rsidRPr="00370A32" w14:paraId="5229BD44" w14:textId="77777777" w:rsidTr="008E4248">
        <w:tc>
          <w:tcPr>
            <w:tcW w:w="4061" w:type="dxa"/>
            <w:tcBorders>
              <w:top w:val="single" w:sz="4" w:space="0" w:color="auto"/>
            </w:tcBorders>
          </w:tcPr>
          <w:p w14:paraId="6D52E483" w14:textId="77777777" w:rsidR="005D4FCC" w:rsidRPr="00370A32" w:rsidRDefault="005D4FCC" w:rsidP="005D4FCC">
            <w:pPr>
              <w:tabs>
                <w:tab w:val="left" w:pos="519"/>
              </w:tabs>
              <w:spacing w:line="276" w:lineRule="auto"/>
              <w:rPr>
                <w:rFonts w:ascii="Arial" w:hAnsi="Arial" w:cs="Arial"/>
                <w:sz w:val="15"/>
                <w:szCs w:val="15"/>
              </w:rPr>
            </w:pPr>
            <w:r w:rsidRPr="00370A32">
              <w:rPr>
                <w:rFonts w:ascii="Arial" w:hAnsi="Arial" w:cs="Arial"/>
                <w:sz w:val="15"/>
                <w:szCs w:val="15"/>
                <w:lang w:val="en-US"/>
              </w:rPr>
              <w:t>Effectiveness in lowering infection likelihood by baloxavir marboxil (BXM) as post-exposure prophylaxis (PEP) (</w:t>
            </w:r>
            <m:oMath>
              <m:sSub>
                <m:sSubPr>
                  <m:ctrlPr>
                    <w:rPr>
                      <w:rFonts w:ascii="Cambria Math" w:hAnsi="Cambria Math" w:cs="Arial"/>
                      <w:i/>
                      <w:sz w:val="15"/>
                      <w:szCs w:val="15"/>
                      <w:lang w:val="en-US"/>
                    </w:rPr>
                  </m:ctrlPr>
                </m:sSubPr>
                <m:e>
                  <m:r>
                    <w:rPr>
                      <w:rFonts w:ascii="Cambria Math" w:hAnsi="Cambria Math" w:cs="Arial"/>
                      <w:sz w:val="15"/>
                      <w:szCs w:val="15"/>
                      <w:lang w:val="en-US"/>
                    </w:rPr>
                    <m:t>ϵ</m:t>
                  </m:r>
                </m:e>
                <m:sub>
                  <m:r>
                    <w:rPr>
                      <w:rFonts w:ascii="Cambria Math" w:hAnsi="Cambria Math" w:cs="Arial"/>
                      <w:sz w:val="15"/>
                      <w:szCs w:val="15"/>
                      <w:lang w:val="en-US"/>
                    </w:rPr>
                    <m:t>PEP</m:t>
                  </m:r>
                </m:sub>
              </m:sSub>
            </m:oMath>
            <w:r w:rsidRPr="00370A32">
              <w:rPr>
                <w:rFonts w:ascii="Arial" w:hAnsi="Arial" w:cs="Arial"/>
                <w:sz w:val="15"/>
                <w:szCs w:val="15"/>
                <w:lang w:val="en-US"/>
              </w:rPr>
              <w:t>)</w:t>
            </w:r>
          </w:p>
        </w:tc>
        <w:tc>
          <w:tcPr>
            <w:tcW w:w="2602" w:type="dxa"/>
            <w:tcBorders>
              <w:top w:val="single" w:sz="4" w:space="0" w:color="auto"/>
            </w:tcBorders>
          </w:tcPr>
          <w:p w14:paraId="2015634A"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0.57</w:t>
            </w:r>
          </w:p>
        </w:tc>
        <w:tc>
          <w:tcPr>
            <w:tcW w:w="2357" w:type="dxa"/>
            <w:tcBorders>
              <w:top w:val="single" w:sz="4" w:space="0" w:color="auto"/>
            </w:tcBorders>
          </w:tcPr>
          <w:p w14:paraId="6F8EBE5C" w14:textId="5AAF48A3" w:rsidR="005D4FCC" w:rsidRPr="00370A32" w:rsidRDefault="005D4FCC" w:rsidP="005D4FCC">
            <w:pPr>
              <w:spacing w:line="276" w:lineRule="auto"/>
              <w:rPr>
                <w:rFonts w:ascii="Arial" w:hAnsi="Arial" w:cs="Arial"/>
                <w:sz w:val="15"/>
                <w:szCs w:val="15"/>
              </w:rPr>
            </w:pPr>
            <w:r w:rsidRPr="00370A32">
              <w:rPr>
                <w:rFonts w:ascii="Arial" w:hAnsi="Arial" w:cs="Arial"/>
                <w:sz w:val="15"/>
                <w:szCs w:val="15"/>
                <w:lang w:val="en-US"/>
              </w:rPr>
              <w:fldChar w:fldCharType="begin"/>
            </w:r>
            <w:r w:rsidR="006A263E">
              <w:rPr>
                <w:rFonts w:ascii="Arial" w:hAnsi="Arial" w:cs="Arial"/>
                <w:sz w:val="15"/>
                <w:szCs w:val="15"/>
                <w:lang w:val="en-US"/>
              </w:rPr>
              <w:instrText xml:space="preserve"> ADDIN ZOTERO_ITEM CSL_CITATION {"citationID":"7yY8x9fo","properties":{"formattedCitation":"(Ikematsu Hideyuki et al., 2020)","plainCitation":"(Ikematsu Hideyuki et al., 2020)","noteIndex":0},"citationItems":[{"id":100,"uris":["http://zotero.org/users/local/0pdZPGmr/items/XGBVRI4I","http://zotero.org/users/9596130/items/XGBVRI4I"],"itemData":{"id":100,"type":"article-journal","container-title":"New England Journal of Medicine","DOI":"10.1056/NEJMoa1915341","issue":"4","journalAbbreviation":"New England Journal of Medicine","note":"publisher: Massachusetts Medical Society","page":"309-320","title":"Baloxavir Marboxil for Prophylaxis against Influenza in Household Contacts","volume":"383","author":[{"literal":"Ikematsu Hideyuki"},{"literal":"Hayden Frederick G."},{"literal":"Kawaguchi Keiko"},{"literal":"Kinoshita Masahiro"},{"literal":"de Jong Menno D."},{"literal":"Lee Nelson"},{"literal":"Takashima Satoru"},{"literal":"Noshi Takeshi"},{"literal":"Tsuchiya Kenji"},{"literal":"Uehara Takeki"}],"issued":{"date-parts":[["2020",7,23]]}}}],"schema":"https://github.com/citation-style-language/schema/raw/master/csl-citation.json"} </w:instrText>
            </w:r>
            <w:r w:rsidRPr="00370A32">
              <w:rPr>
                <w:rFonts w:ascii="Arial" w:hAnsi="Arial" w:cs="Arial"/>
                <w:sz w:val="15"/>
                <w:szCs w:val="15"/>
                <w:lang w:val="en-US"/>
              </w:rPr>
              <w:fldChar w:fldCharType="separate"/>
            </w:r>
            <w:r w:rsidR="006A263E">
              <w:rPr>
                <w:rFonts w:ascii="Arial" w:hAnsi="Arial" w:cs="Arial"/>
                <w:sz w:val="15"/>
                <w:lang w:val="en-US"/>
              </w:rPr>
              <w:t>(Ikematsu Hideyuki et al., 2020)</w:t>
            </w:r>
            <w:r w:rsidRPr="00370A32">
              <w:rPr>
                <w:rFonts w:ascii="Arial" w:hAnsi="Arial" w:cs="Arial"/>
                <w:sz w:val="15"/>
                <w:szCs w:val="15"/>
                <w:lang w:val="en-US"/>
              </w:rPr>
              <w:fldChar w:fldCharType="end"/>
            </w:r>
          </w:p>
        </w:tc>
      </w:tr>
      <w:tr w:rsidR="005D4FCC" w:rsidRPr="00370A32" w14:paraId="79AAB352" w14:textId="77777777" w:rsidTr="008E4248">
        <w:tc>
          <w:tcPr>
            <w:tcW w:w="4061" w:type="dxa"/>
            <w:tcBorders>
              <w:bottom w:val="single" w:sz="4" w:space="0" w:color="auto"/>
            </w:tcBorders>
          </w:tcPr>
          <w:p w14:paraId="264EBEA2"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Protective period of BXM as PEP in days (</w:t>
            </w:r>
            <m:oMath>
              <m:sSub>
                <m:sSubPr>
                  <m:ctrlPr>
                    <w:rPr>
                      <w:rFonts w:ascii="Cambria Math" w:hAnsi="Cambria Math" w:cs="Arial"/>
                      <w:i/>
                      <w:sz w:val="15"/>
                      <w:szCs w:val="15"/>
                      <w:lang w:val="en-US"/>
                    </w:rPr>
                  </m:ctrlPr>
                </m:sSubPr>
                <m:e>
                  <m:r>
                    <w:rPr>
                      <w:rFonts w:ascii="Cambria Math" w:hAnsi="Cambria Math" w:cs="Arial"/>
                      <w:sz w:val="15"/>
                      <w:szCs w:val="15"/>
                      <w:lang w:val="en-US"/>
                    </w:rPr>
                    <m:t>γ</m:t>
                  </m:r>
                </m:e>
                <m:sub>
                  <m:r>
                    <w:rPr>
                      <w:rFonts w:ascii="Cambria Math" w:hAnsi="Cambria Math" w:cs="Arial"/>
                      <w:sz w:val="15"/>
                      <w:szCs w:val="15"/>
                      <w:lang w:val="en-US"/>
                    </w:rPr>
                    <m:t>PEP</m:t>
                  </m:r>
                </m:sub>
              </m:sSub>
            </m:oMath>
            <w:r w:rsidRPr="00370A32">
              <w:rPr>
                <w:rFonts w:ascii="Arial" w:hAnsi="Arial" w:cs="Arial"/>
                <w:sz w:val="15"/>
                <w:szCs w:val="15"/>
                <w:lang w:val="en-US"/>
              </w:rPr>
              <w:t>)</w:t>
            </w:r>
          </w:p>
        </w:tc>
        <w:tc>
          <w:tcPr>
            <w:tcW w:w="2602" w:type="dxa"/>
            <w:tcBorders>
              <w:bottom w:val="single" w:sz="4" w:space="0" w:color="auto"/>
            </w:tcBorders>
          </w:tcPr>
          <w:p w14:paraId="35F41A07"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10</w:t>
            </w:r>
          </w:p>
        </w:tc>
        <w:tc>
          <w:tcPr>
            <w:tcW w:w="2357" w:type="dxa"/>
            <w:tcBorders>
              <w:bottom w:val="single" w:sz="4" w:space="0" w:color="auto"/>
            </w:tcBorders>
          </w:tcPr>
          <w:p w14:paraId="70975BD3" w14:textId="77777777" w:rsidR="005D4FCC" w:rsidRPr="00370A32" w:rsidRDefault="005D4FCC" w:rsidP="005D4FCC">
            <w:pPr>
              <w:spacing w:line="276" w:lineRule="auto"/>
              <w:rPr>
                <w:rFonts w:ascii="Arial" w:hAnsi="Arial" w:cs="Arial"/>
                <w:sz w:val="15"/>
                <w:szCs w:val="15"/>
              </w:rPr>
            </w:pPr>
          </w:p>
        </w:tc>
      </w:tr>
      <w:tr w:rsidR="005D4FCC" w:rsidRPr="00370A32" w14:paraId="4EAAEEEA" w14:textId="77777777" w:rsidTr="008E4248">
        <w:tc>
          <w:tcPr>
            <w:tcW w:w="9020" w:type="dxa"/>
            <w:gridSpan w:val="3"/>
            <w:tcBorders>
              <w:top w:val="single" w:sz="4" w:space="0" w:color="auto"/>
              <w:bottom w:val="single" w:sz="4" w:space="0" w:color="auto"/>
            </w:tcBorders>
          </w:tcPr>
          <w:p w14:paraId="24AE52CB" w14:textId="77777777" w:rsidR="005D4FCC" w:rsidRPr="00370A32" w:rsidRDefault="005D4FCC" w:rsidP="005D4FCC">
            <w:pPr>
              <w:spacing w:line="276" w:lineRule="auto"/>
              <w:rPr>
                <w:rFonts w:ascii="Arial" w:hAnsi="Arial" w:cs="Arial"/>
                <w:i/>
                <w:sz w:val="15"/>
                <w:szCs w:val="15"/>
              </w:rPr>
            </w:pPr>
            <w:r w:rsidRPr="00370A32">
              <w:rPr>
                <w:rFonts w:ascii="Arial" w:hAnsi="Arial" w:cs="Arial"/>
                <w:i/>
                <w:sz w:val="15"/>
                <w:szCs w:val="15"/>
              </w:rPr>
              <w:t>Relative susceptibility to infection by age (</w:t>
            </w:r>
            <m:oMath>
              <m:sSub>
                <m:sSubPr>
                  <m:ctrlPr>
                    <w:rPr>
                      <w:rFonts w:ascii="Cambria Math" w:hAnsi="Cambria Math" w:cs="Arial"/>
                      <w:i/>
                      <w:sz w:val="15"/>
                      <w:szCs w:val="15"/>
                      <w:lang w:val="en-US"/>
                    </w:rPr>
                  </m:ctrlPr>
                </m:sSubPr>
                <m:e>
                  <m:r>
                    <w:rPr>
                      <w:rFonts w:ascii="Cambria Math" w:hAnsi="Cambria Math" w:cs="Arial"/>
                      <w:sz w:val="15"/>
                      <w:szCs w:val="15"/>
                      <w:lang w:val="en-US"/>
                    </w:rPr>
                    <m:t>η</m:t>
                  </m:r>
                </m:e>
                <m:sub>
                  <m:r>
                    <w:rPr>
                      <w:rFonts w:ascii="Cambria Math" w:hAnsi="Cambria Math" w:cs="Arial"/>
                      <w:sz w:val="15"/>
                      <w:szCs w:val="15"/>
                      <w:lang w:val="en-US"/>
                    </w:rPr>
                    <m:t>a</m:t>
                  </m:r>
                </m:sub>
              </m:sSub>
            </m:oMath>
            <w:r w:rsidRPr="00370A32">
              <w:rPr>
                <w:rFonts w:ascii="Arial" w:hAnsi="Arial" w:cs="Arial"/>
                <w:i/>
                <w:sz w:val="15"/>
                <w:szCs w:val="15"/>
                <w:lang w:val="en-US"/>
              </w:rPr>
              <w:t>)</w:t>
            </w:r>
          </w:p>
        </w:tc>
      </w:tr>
      <w:tr w:rsidR="005D4FCC" w:rsidRPr="00370A32" w14:paraId="31129547" w14:textId="77777777" w:rsidTr="008E4248">
        <w:tc>
          <w:tcPr>
            <w:tcW w:w="4061" w:type="dxa"/>
            <w:tcBorders>
              <w:top w:val="single" w:sz="4" w:space="0" w:color="auto"/>
            </w:tcBorders>
          </w:tcPr>
          <w:p w14:paraId="0E9C778E"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1918 A/H1N1, 0-99 years</w:t>
            </w:r>
          </w:p>
        </w:tc>
        <w:tc>
          <w:tcPr>
            <w:tcW w:w="2602" w:type="dxa"/>
            <w:tcBorders>
              <w:top w:val="single" w:sz="4" w:space="0" w:color="auto"/>
            </w:tcBorders>
          </w:tcPr>
          <w:p w14:paraId="23A32F52"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1.00</w:t>
            </w:r>
          </w:p>
        </w:tc>
        <w:tc>
          <w:tcPr>
            <w:tcW w:w="2357" w:type="dxa"/>
            <w:tcBorders>
              <w:top w:val="single" w:sz="4" w:space="0" w:color="auto"/>
            </w:tcBorders>
          </w:tcPr>
          <w:p w14:paraId="465B2120"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Assumed</w:t>
            </w:r>
          </w:p>
        </w:tc>
      </w:tr>
      <w:tr w:rsidR="005D4FCC" w:rsidRPr="00370A32" w14:paraId="53B4C1E8" w14:textId="77777777" w:rsidTr="008E4248">
        <w:tc>
          <w:tcPr>
            <w:tcW w:w="4061" w:type="dxa"/>
          </w:tcPr>
          <w:p w14:paraId="30F597AA"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1968 A/H3N2, 0-99 years</w:t>
            </w:r>
          </w:p>
        </w:tc>
        <w:tc>
          <w:tcPr>
            <w:tcW w:w="2602" w:type="dxa"/>
          </w:tcPr>
          <w:p w14:paraId="58C82A8D"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1.00</w:t>
            </w:r>
          </w:p>
        </w:tc>
        <w:tc>
          <w:tcPr>
            <w:tcW w:w="2357" w:type="dxa"/>
          </w:tcPr>
          <w:p w14:paraId="12153C3E"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Assumed</w:t>
            </w:r>
          </w:p>
        </w:tc>
      </w:tr>
      <w:tr w:rsidR="005D4FCC" w:rsidRPr="00370A32" w14:paraId="28585CD9" w14:textId="77777777" w:rsidTr="008E4248">
        <w:tc>
          <w:tcPr>
            <w:tcW w:w="4061" w:type="dxa"/>
          </w:tcPr>
          <w:p w14:paraId="587FC1A3"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2009 A/H1N1, 0-19 years</w:t>
            </w:r>
          </w:p>
        </w:tc>
        <w:tc>
          <w:tcPr>
            <w:tcW w:w="2602" w:type="dxa"/>
          </w:tcPr>
          <w:p w14:paraId="38347AAF"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1.00</w:t>
            </w:r>
          </w:p>
        </w:tc>
        <w:tc>
          <w:tcPr>
            <w:tcW w:w="2357" w:type="dxa"/>
            <w:vMerge w:val="restart"/>
          </w:tcPr>
          <w:p w14:paraId="505357B3" w14:textId="189D58C3" w:rsidR="005D4FCC" w:rsidRPr="00370A32" w:rsidRDefault="005D4FCC" w:rsidP="005D4FCC">
            <w:pPr>
              <w:spacing w:line="276" w:lineRule="auto"/>
              <w:rPr>
                <w:rFonts w:ascii="Arial" w:hAnsi="Arial" w:cs="Arial"/>
                <w:sz w:val="15"/>
                <w:szCs w:val="15"/>
              </w:rPr>
            </w:pPr>
            <w:r w:rsidRPr="00370A32">
              <w:rPr>
                <w:rFonts w:ascii="Arial" w:hAnsi="Arial" w:cs="Arial"/>
                <w:sz w:val="15"/>
                <w:szCs w:val="15"/>
                <w:lang w:val="en-US"/>
              </w:rPr>
              <w:fldChar w:fldCharType="begin"/>
            </w:r>
            <w:r w:rsidR="006A263E">
              <w:rPr>
                <w:rFonts w:ascii="Arial" w:hAnsi="Arial" w:cs="Arial"/>
                <w:sz w:val="15"/>
                <w:szCs w:val="15"/>
                <w:lang w:val="en-US"/>
              </w:rPr>
              <w:instrText xml:space="preserve"> ADDIN ZOTERO_ITEM CSL_CITATION {"citationID":"aydLMoMh","properties":{"formattedCitation":"(Cauchemez Simon et al., 2009)","plainCitation":"(Cauchemez Simon et al., 2009)","noteIndex":0},"citationItems":[{"id":104,"uris":["http://zotero.org/users/local/0pdZPGmr/items/S2ALJ8LS","http://zotero.org/users/9596130/items/S2ALJ8LS"],"itemData":{"id":104,"type":"article-journal","container-title":"New England Journal of Medicine","DOI":"10.1056/NEJMoa0905498","issue":"27","journalAbbreviation":"New England Journal of Medicine","note":"publisher: Massachusetts Medical Society","page":"2619-2627","title":"Household Transmission of 2009 Pandemic Influenza A (H1N1) Virus in the United States","volume":"361","author":[{"literal":"Cauchemez Simon"},{"literal":"Donnelly Christl A."},{"literal":"Reed Carrie"},{"literal":"Ghani Azra C."},{"literal":"Fraser Christophe"},{"literal":"Kent Charlotte K."},{"literal":"Finelli Lyn"},{"literal":"Ferguson Neil M."}],"issued":{"date-parts":[["2009"]]}}}],"schema":"https://github.com/citation-style-language/schema/raw/master/csl-citation.json"} </w:instrText>
            </w:r>
            <w:r w:rsidRPr="00370A32">
              <w:rPr>
                <w:rFonts w:ascii="Arial" w:hAnsi="Arial" w:cs="Arial"/>
                <w:sz w:val="15"/>
                <w:szCs w:val="15"/>
                <w:lang w:val="en-US"/>
              </w:rPr>
              <w:fldChar w:fldCharType="separate"/>
            </w:r>
            <w:r w:rsidR="006A263E">
              <w:rPr>
                <w:rFonts w:ascii="Arial" w:hAnsi="Arial" w:cs="Arial"/>
                <w:sz w:val="15"/>
                <w:lang w:val="en-US"/>
              </w:rPr>
              <w:t>(Cauchemez Simon et al., 2009)</w:t>
            </w:r>
            <w:r w:rsidRPr="00370A32">
              <w:rPr>
                <w:rFonts w:ascii="Arial" w:hAnsi="Arial" w:cs="Arial"/>
                <w:sz w:val="15"/>
                <w:szCs w:val="15"/>
                <w:lang w:val="en-US"/>
              </w:rPr>
              <w:fldChar w:fldCharType="end"/>
            </w:r>
          </w:p>
        </w:tc>
      </w:tr>
      <w:tr w:rsidR="005D4FCC" w:rsidRPr="00370A32" w14:paraId="0FFCDC43" w14:textId="77777777" w:rsidTr="008E4248">
        <w:tc>
          <w:tcPr>
            <w:tcW w:w="4061" w:type="dxa"/>
          </w:tcPr>
          <w:p w14:paraId="60EEBD1B"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2009 A/H1N1, 20-64 years</w:t>
            </w:r>
          </w:p>
        </w:tc>
        <w:tc>
          <w:tcPr>
            <w:tcW w:w="2602" w:type="dxa"/>
          </w:tcPr>
          <w:p w14:paraId="41D9B190"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0.510</w:t>
            </w:r>
          </w:p>
        </w:tc>
        <w:tc>
          <w:tcPr>
            <w:tcW w:w="2357" w:type="dxa"/>
            <w:vMerge/>
          </w:tcPr>
          <w:p w14:paraId="577DCBB6" w14:textId="77777777" w:rsidR="005D4FCC" w:rsidRPr="00370A32" w:rsidRDefault="005D4FCC" w:rsidP="005D4FCC">
            <w:pPr>
              <w:spacing w:line="276" w:lineRule="auto"/>
              <w:rPr>
                <w:rFonts w:ascii="Arial" w:hAnsi="Arial" w:cs="Arial"/>
                <w:sz w:val="15"/>
                <w:szCs w:val="15"/>
              </w:rPr>
            </w:pPr>
          </w:p>
        </w:tc>
      </w:tr>
      <w:tr w:rsidR="005D4FCC" w:rsidRPr="00370A32" w14:paraId="4DFF7E4E" w14:textId="77777777" w:rsidTr="008E4248">
        <w:tc>
          <w:tcPr>
            <w:tcW w:w="4061" w:type="dxa"/>
          </w:tcPr>
          <w:p w14:paraId="729AB354"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2009 A/H1N1, 65-99 years</w:t>
            </w:r>
          </w:p>
        </w:tc>
        <w:tc>
          <w:tcPr>
            <w:tcW w:w="2602" w:type="dxa"/>
          </w:tcPr>
          <w:p w14:paraId="33DE982D"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0.087</w:t>
            </w:r>
          </w:p>
        </w:tc>
        <w:tc>
          <w:tcPr>
            <w:tcW w:w="2357" w:type="dxa"/>
            <w:vMerge/>
          </w:tcPr>
          <w:p w14:paraId="7D80B728" w14:textId="77777777" w:rsidR="005D4FCC" w:rsidRPr="00370A32" w:rsidRDefault="005D4FCC" w:rsidP="005D4FCC">
            <w:pPr>
              <w:spacing w:line="276" w:lineRule="auto"/>
              <w:rPr>
                <w:rFonts w:ascii="Arial" w:hAnsi="Arial" w:cs="Arial"/>
                <w:sz w:val="15"/>
                <w:szCs w:val="15"/>
              </w:rPr>
            </w:pPr>
          </w:p>
        </w:tc>
      </w:tr>
      <w:tr w:rsidR="005D4FCC" w:rsidRPr="00370A32" w14:paraId="61B4A6C4" w14:textId="77777777" w:rsidTr="008E4248">
        <w:tc>
          <w:tcPr>
            <w:tcW w:w="4061" w:type="dxa"/>
          </w:tcPr>
          <w:p w14:paraId="5D9D4B14"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COVID-19, 0-14 years</w:t>
            </w:r>
          </w:p>
        </w:tc>
        <w:tc>
          <w:tcPr>
            <w:tcW w:w="2602" w:type="dxa"/>
          </w:tcPr>
          <w:p w14:paraId="765628D0"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0.231</w:t>
            </w:r>
          </w:p>
        </w:tc>
        <w:tc>
          <w:tcPr>
            <w:tcW w:w="2357" w:type="dxa"/>
            <w:vMerge w:val="restart"/>
          </w:tcPr>
          <w:p w14:paraId="626898A4" w14:textId="3DB30F56" w:rsidR="005D4FCC" w:rsidRPr="00370A32" w:rsidRDefault="005D4FCC" w:rsidP="005D4FCC">
            <w:pPr>
              <w:spacing w:line="276" w:lineRule="auto"/>
              <w:rPr>
                <w:rFonts w:ascii="Arial" w:hAnsi="Arial" w:cs="Arial"/>
                <w:sz w:val="15"/>
                <w:szCs w:val="15"/>
              </w:rPr>
            </w:pPr>
            <w:r w:rsidRPr="00370A32">
              <w:rPr>
                <w:rFonts w:ascii="Arial" w:hAnsi="Arial" w:cs="Arial"/>
                <w:sz w:val="15"/>
                <w:szCs w:val="15"/>
                <w:lang w:val="en-US"/>
              </w:rPr>
              <w:fldChar w:fldCharType="begin"/>
            </w:r>
            <w:r w:rsidR="006A263E">
              <w:rPr>
                <w:rFonts w:ascii="Arial" w:hAnsi="Arial" w:cs="Arial"/>
                <w:sz w:val="15"/>
                <w:szCs w:val="15"/>
                <w:lang w:val="en-US"/>
              </w:rPr>
              <w:instrText xml:space="preserve"> ADDIN ZOTERO_ITEM CSL_CITATION {"citationID":"8uvzmj00","properties":{"formattedCitation":"(Zhang et al., 2020)","plainCitation":"(Zhang et al., 2020)","noteIndex":0},"citationItems":[{"id":106,"uris":["http://zotero.org/users/local/0pdZPGmr/items/TC6DZ35V","http://zotero.org/users/9596130/items/TC6DZ35V"],"itemData":{"id":106,"type":"article-journal","abstract":"The coronavirus 2019 (COVID-19) pandemic has brought tighter restrictions on the daily lives of millions of people, but we do not yet understand what measures are the most effective. Zhang et al. modeled virus transmission in Wuhan, China, in February 2020, investigating the effects of interventions ranging from patient management to social isolation. Age-mixing patterns were estimated by contact surveys conducted in Wuhan and Shanghai at the beginning of February 2020. Once people reduced their average daily contacts from 14 to 20 down to 2, transmission rapidly fell below the epidemic threshold. The model also showed that preemptive school closures helped to reduce transmission, although alone they would not prevent a COVID-19 outbreak. Limiting human mixing to within households appeared to be the most effective measure. Science, this issue p. 1481 Reducing social contacts on the scale achieved in Wuhan and Shanghai in early 2020 could be sufficient to bring a COVID-19 outbreak under control. Intense nonpharmaceutical interventions were put in place in China to stop transmission of the novel coronavirus disease 2019 (COVID-19). As transmission intensifies in other countries, the interplay between age, contact patterns, social distancing, susceptibility to infection, and COVID-19 dynamics remains unclear. To answer these questions, we analyze contact survey data for Wuhan and Shanghai before and during the outbreak and contact-tracing information from Hunan province. Daily contacts were reduced seven- to eightfold during the COVID-19 social distancing period, with most interactions restricted to the household. We find that children 0 to 14 years of age are less susceptible to severe acute respiratory syndrome coronavirus 2 (SARS-CoV-2) infection than adults 15 to 64 years of age (odds ratio 0.34, 95% confidence interval 0.24 to 0.49), whereas individuals more than 65 years of age are more susceptible to infection (odds ratio 1.47, 95% confidence interval 1.12 to 1.92). Based on these data, we built a transmission model to study the impact of social distancing and school closure on transmission. We find that social distancing alone, as implemented in China during the outbreak, is sufficient to control COVID-19. Although proactive school closures cannot interrupt transmission on their own, they can reduce peak incidence by 40 to 60% and delay the epidemic.","container-title":"Science","DOI":"10.1126/science.abb8001","issue":"6498","journalAbbreviation":"Science","note":"publisher: American Association for the Advancement of Science","page":"1481-1486","title":"Changes in contact patterns shape the dynamics of the COVID-19 outbreak in China","volume":"368","author":[{"family":"Zhang","given":"Juanjuan"},{"family":"Litvinova","given":"Maria"},{"family":"Liang","given":"Yuxia"},{"family":"Wang","given":"Yan"},{"family":"Wang","given":"Wei"},{"family":"Zhao","given":"Shanlu"},{"family":"Wu","given":"Qianhui"},{"family":"Merler","given":"Stefano"},{"family":"Viboud","given":"Cécile"},{"family":"Vespignani","given":"Alessandro"},{"family":"Ajelli","given":"Marco"},{"family":"Yu","given":"Hongjie"}],"issued":{"date-parts":[["2020",6,26]]}}}],"schema":"https://github.com/citation-style-language/schema/raw/master/csl-citation.json"} </w:instrText>
            </w:r>
            <w:r w:rsidRPr="00370A32">
              <w:rPr>
                <w:rFonts w:ascii="Arial" w:hAnsi="Arial" w:cs="Arial"/>
                <w:sz w:val="15"/>
                <w:szCs w:val="15"/>
                <w:lang w:val="en-US"/>
              </w:rPr>
              <w:fldChar w:fldCharType="separate"/>
            </w:r>
            <w:r w:rsidR="006A263E">
              <w:rPr>
                <w:rFonts w:ascii="Arial" w:hAnsi="Arial" w:cs="Arial"/>
                <w:sz w:val="15"/>
                <w:lang w:val="en-US"/>
              </w:rPr>
              <w:t>(Zhang et al., 2020)</w:t>
            </w:r>
            <w:r w:rsidRPr="00370A32">
              <w:rPr>
                <w:rFonts w:ascii="Arial" w:hAnsi="Arial" w:cs="Arial"/>
                <w:sz w:val="15"/>
                <w:szCs w:val="15"/>
                <w:lang w:val="en-US"/>
              </w:rPr>
              <w:fldChar w:fldCharType="end"/>
            </w:r>
          </w:p>
        </w:tc>
      </w:tr>
      <w:tr w:rsidR="005D4FCC" w:rsidRPr="00370A32" w14:paraId="758C8CB1" w14:textId="77777777" w:rsidTr="008E4248">
        <w:tc>
          <w:tcPr>
            <w:tcW w:w="4061" w:type="dxa"/>
          </w:tcPr>
          <w:p w14:paraId="6A6E8936"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COVID-19, 15-64 years</w:t>
            </w:r>
          </w:p>
        </w:tc>
        <w:tc>
          <w:tcPr>
            <w:tcW w:w="2602" w:type="dxa"/>
          </w:tcPr>
          <w:p w14:paraId="2D92DEEB"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0.680</w:t>
            </w:r>
          </w:p>
        </w:tc>
        <w:tc>
          <w:tcPr>
            <w:tcW w:w="2357" w:type="dxa"/>
            <w:vMerge/>
          </w:tcPr>
          <w:p w14:paraId="767EB256" w14:textId="77777777" w:rsidR="005D4FCC" w:rsidRPr="00370A32" w:rsidRDefault="005D4FCC" w:rsidP="005D4FCC">
            <w:pPr>
              <w:spacing w:line="276" w:lineRule="auto"/>
              <w:rPr>
                <w:rFonts w:ascii="Arial" w:hAnsi="Arial" w:cs="Arial"/>
                <w:sz w:val="15"/>
                <w:szCs w:val="15"/>
              </w:rPr>
            </w:pPr>
          </w:p>
        </w:tc>
      </w:tr>
      <w:tr w:rsidR="005D4FCC" w:rsidRPr="00370A32" w14:paraId="6B86F72B" w14:textId="77777777" w:rsidTr="008E4248">
        <w:tc>
          <w:tcPr>
            <w:tcW w:w="4061" w:type="dxa"/>
            <w:tcBorders>
              <w:bottom w:val="single" w:sz="4" w:space="0" w:color="auto"/>
            </w:tcBorders>
          </w:tcPr>
          <w:p w14:paraId="2BFE6175"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COVID-19, 65-99 years</w:t>
            </w:r>
          </w:p>
        </w:tc>
        <w:tc>
          <w:tcPr>
            <w:tcW w:w="2602" w:type="dxa"/>
            <w:tcBorders>
              <w:bottom w:val="single" w:sz="4" w:space="0" w:color="auto"/>
            </w:tcBorders>
          </w:tcPr>
          <w:p w14:paraId="58ED826B"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1.00</w:t>
            </w:r>
          </w:p>
        </w:tc>
        <w:tc>
          <w:tcPr>
            <w:tcW w:w="2357" w:type="dxa"/>
            <w:vMerge/>
            <w:tcBorders>
              <w:bottom w:val="single" w:sz="4" w:space="0" w:color="auto"/>
            </w:tcBorders>
          </w:tcPr>
          <w:p w14:paraId="2AB13690" w14:textId="77777777" w:rsidR="005D4FCC" w:rsidRPr="00370A32" w:rsidRDefault="005D4FCC" w:rsidP="005D4FCC">
            <w:pPr>
              <w:spacing w:line="276" w:lineRule="auto"/>
              <w:rPr>
                <w:rFonts w:ascii="Arial" w:hAnsi="Arial" w:cs="Arial"/>
                <w:sz w:val="15"/>
                <w:szCs w:val="15"/>
              </w:rPr>
            </w:pPr>
          </w:p>
        </w:tc>
      </w:tr>
      <w:tr w:rsidR="005D4FCC" w:rsidRPr="00370A32" w14:paraId="2DEB1143" w14:textId="77777777" w:rsidTr="008E4248">
        <w:tc>
          <w:tcPr>
            <w:tcW w:w="9020" w:type="dxa"/>
            <w:gridSpan w:val="3"/>
            <w:tcBorders>
              <w:top w:val="single" w:sz="4" w:space="0" w:color="auto"/>
              <w:bottom w:val="single" w:sz="4" w:space="0" w:color="auto"/>
            </w:tcBorders>
          </w:tcPr>
          <w:p w14:paraId="33C52A0D" w14:textId="77777777" w:rsidR="005D4FCC" w:rsidRPr="00370A32" w:rsidRDefault="005D4FCC" w:rsidP="005D4FCC">
            <w:pPr>
              <w:spacing w:line="276" w:lineRule="auto"/>
              <w:rPr>
                <w:rFonts w:ascii="Arial" w:hAnsi="Arial" w:cs="Arial"/>
                <w:i/>
                <w:sz w:val="15"/>
                <w:szCs w:val="15"/>
              </w:rPr>
            </w:pPr>
            <w:r w:rsidRPr="00370A32">
              <w:rPr>
                <w:rFonts w:ascii="Arial" w:hAnsi="Arial" w:cs="Arial"/>
                <w:i/>
                <w:sz w:val="15"/>
                <w:szCs w:val="15"/>
              </w:rPr>
              <w:t>Case fatality rate by age (</w:t>
            </w:r>
            <m:oMath>
              <m:sSubSup>
                <m:sSubSupPr>
                  <m:ctrlPr>
                    <w:rPr>
                      <w:rFonts w:ascii="Cambria Math" w:eastAsiaTheme="minorHAnsi" w:hAnsi="Cambria Math" w:cs="Arial"/>
                      <w:i/>
                      <w:sz w:val="15"/>
                      <w:szCs w:val="15"/>
                    </w:rPr>
                  </m:ctrlPr>
                </m:sSubSupPr>
                <m:e>
                  <m:r>
                    <w:rPr>
                      <w:rFonts w:ascii="Cambria Math" w:hAnsi="Cambria Math" w:cs="Arial"/>
                      <w:sz w:val="15"/>
                      <w:szCs w:val="15"/>
                    </w:rPr>
                    <m:t>p</m:t>
                  </m:r>
                </m:e>
                <m:sub>
                  <m:r>
                    <w:rPr>
                      <w:rFonts w:ascii="Cambria Math" w:hAnsi="Cambria Math" w:cs="Arial"/>
                      <w:sz w:val="15"/>
                      <w:szCs w:val="15"/>
                    </w:rPr>
                    <m:t>α</m:t>
                  </m:r>
                </m:sub>
                <m:sup>
                  <m:r>
                    <w:rPr>
                      <w:rFonts w:ascii="Cambria Math" w:hAnsi="Cambria Math" w:cs="Arial"/>
                      <w:sz w:val="15"/>
                      <w:szCs w:val="15"/>
                    </w:rPr>
                    <m:t>dea</m:t>
                  </m:r>
                </m:sup>
              </m:sSubSup>
            </m:oMath>
            <w:r w:rsidRPr="00370A32">
              <w:rPr>
                <w:rFonts w:ascii="Arial" w:hAnsi="Arial" w:cs="Arial"/>
                <w:i/>
                <w:sz w:val="15"/>
                <w:szCs w:val="15"/>
              </w:rPr>
              <w:t>)</w:t>
            </w:r>
          </w:p>
        </w:tc>
      </w:tr>
      <w:tr w:rsidR="005D4FCC" w:rsidRPr="00370A32" w14:paraId="38B56B8C" w14:textId="77777777" w:rsidTr="008E4248">
        <w:tc>
          <w:tcPr>
            <w:tcW w:w="4061" w:type="dxa"/>
            <w:tcBorders>
              <w:top w:val="single" w:sz="4" w:space="0" w:color="auto"/>
            </w:tcBorders>
          </w:tcPr>
          <w:p w14:paraId="2E01F754"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1918 A/H1N1, 0-4 years</w:t>
            </w:r>
          </w:p>
        </w:tc>
        <w:tc>
          <w:tcPr>
            <w:tcW w:w="2602" w:type="dxa"/>
            <w:tcBorders>
              <w:top w:val="single" w:sz="4" w:space="0" w:color="auto"/>
            </w:tcBorders>
            <w:vAlign w:val="bottom"/>
          </w:tcPr>
          <w:p w14:paraId="1C7A3001" w14:textId="77777777" w:rsidR="005D4FCC" w:rsidRPr="00370A32" w:rsidRDefault="005D4FCC" w:rsidP="005D4FCC">
            <w:pPr>
              <w:spacing w:line="276" w:lineRule="auto"/>
              <w:rPr>
                <w:rFonts w:ascii="Arial" w:hAnsi="Arial" w:cs="Arial"/>
                <w:sz w:val="15"/>
                <w:szCs w:val="15"/>
              </w:rPr>
            </w:pPr>
            <w:r w:rsidRPr="00370A32">
              <w:rPr>
                <w:rFonts w:ascii="Arial" w:hAnsi="Arial" w:cs="Arial"/>
                <w:color w:val="000000"/>
                <w:sz w:val="15"/>
                <w:szCs w:val="15"/>
              </w:rPr>
              <w:t>0.01867</w:t>
            </w:r>
          </w:p>
        </w:tc>
        <w:tc>
          <w:tcPr>
            <w:tcW w:w="2357" w:type="dxa"/>
            <w:vMerge w:val="restart"/>
            <w:tcBorders>
              <w:top w:val="single" w:sz="4" w:space="0" w:color="auto"/>
            </w:tcBorders>
          </w:tcPr>
          <w:p w14:paraId="16904BB7" w14:textId="4C707C83"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 xml:space="preserve">By fitting W-shape mortality curve reported in </w:t>
            </w:r>
            <w:r w:rsidRPr="00370A32">
              <w:rPr>
                <w:rFonts w:ascii="Arial" w:hAnsi="Arial" w:cs="Arial"/>
                <w:sz w:val="15"/>
                <w:szCs w:val="15"/>
                <w:lang w:val="en-US"/>
              </w:rPr>
              <w:fldChar w:fldCharType="begin"/>
            </w:r>
            <w:r w:rsidR="006A263E">
              <w:rPr>
                <w:rFonts w:ascii="Arial" w:hAnsi="Arial" w:cs="Arial"/>
                <w:sz w:val="15"/>
                <w:szCs w:val="15"/>
                <w:lang w:val="en-US"/>
              </w:rPr>
              <w:instrText xml:space="preserve"> ADDIN ZOTERO_ITEM CSL_CITATION {"citationID":"F4rs6cYI","properties":{"formattedCitation":"(Luk et al., 2001; Taubenberger and Morens, 2006)","plainCitation":"(Luk et al., 2001; Taubenberger and Morens, 2006)","noteIndex":0},"citationItems":[{"id":189,"uris":["http://zotero.org/users/local/0pdZPGmr/items/B4YIBH2K","http://zotero.org/users/9596130/items/B4YIBH2K"],"itemData":{"id":189,"type":"article-journal","abstract":"The original purpose of our study was to examine the unusual W-shaped mortality curve associated with the 1918 influenza pandemic and possibly explain the peak in mortality among individuals aged 20–40 years. We plotted age-specific excess mortality instead of total mortality for the 1918 pandemic using a 5-year baseline. For comparison, we also graphed excess mortality curves for the 1957 and 1968 pandemics using 5-year baselines. The 1957 and 1968 curves exhibited the usual U-shaped curve, with high excess mortality among infants and the elderly population relative to young adults. The 1918 curve, however, presented unexpected results. A peak in excess mortality among infants and young adults was seen, but the expected W shape did not result. We instead found negative excess mortality among elderly individuals, suggesting that this group was exposed, at an earlier date, to an influenza strain similar to the so-called Spanish influenza (H1N1) strain.","container-title":"Clinical Infectious Diseases","DOI":"10.1086/322662","ISSN":"1058-4838","issue":"8","journalAbbreviation":"Clinical Infectious Diseases","page":"1375-1378","title":"Observations on Mortality during the 1918 Influenza Pandemic","volume":"33","author":[{"family":"Luk","given":"Jeffrey"},{"family":"Gross","given":"Peter"},{"family":"Thompson","given":"William W."}],"issued":{"date-parts":[["2001",10,15]]}}},{"id":192,"uris":["http://zotero.org/users/local/0pdZPGmr/items/89XR3V2F","http://zotero.org/users/9596130/items/89XR3V2F"],"itemData":{"id":192,"type":"article-journal","abstract":"The \"Spanish\" influenza pandemic of 1918–1919, which caused ≈50 million deaths worldwide, remains an ominous warning to public health. Many questions about its origins, its unusual epidemiologic features, and the basis of its pathogenicity remain unanswered. The public health implications of the pandemic therefore remain in doubt even as we now grapple with the feared emergence of a pandemic caused by H5N1 or other virus. However, new information about the 1918 virus is emerging, for example, sequencing of the entire genome from archival autopsy tissues. But, the viral genome alone is unlikely to provide answers to some critical questions. Understanding the 1918 pandemic and its implications for future pandemics requires careful experimentation and in-depth historical analysis.","container-title":"Emerging Infectious Disease journal","DOI":"10.3201/eid1201.050979","ISSN":"1080-6059","issue":"1","page":"15","title":"1918 Influenza: the Mother of All Pandemics","volume":"12","author":[{"family":"Taubenberger","given":"Jeffery"},{"family":"Morens","given":"David"}],"issued":{"date-parts":[["2006"]]}}}],"schema":"https://github.com/citation-style-language/schema/raw/master/csl-citation.json"} </w:instrText>
            </w:r>
            <w:r w:rsidRPr="00370A32">
              <w:rPr>
                <w:rFonts w:ascii="Arial" w:hAnsi="Arial" w:cs="Arial"/>
                <w:sz w:val="15"/>
                <w:szCs w:val="15"/>
                <w:lang w:val="en-US"/>
              </w:rPr>
              <w:fldChar w:fldCharType="separate"/>
            </w:r>
            <w:r w:rsidR="006A263E">
              <w:rPr>
                <w:rFonts w:ascii="Arial" w:hAnsi="Arial" w:cs="Arial"/>
                <w:sz w:val="15"/>
                <w:lang w:val="en-US"/>
              </w:rPr>
              <w:t>(Luk et al., 2001; Taubenberger and Morens, 2006)</w:t>
            </w:r>
            <w:r w:rsidRPr="00370A32">
              <w:rPr>
                <w:rFonts w:ascii="Arial" w:hAnsi="Arial" w:cs="Arial"/>
                <w:sz w:val="15"/>
                <w:szCs w:val="15"/>
                <w:lang w:val="en-US"/>
              </w:rPr>
              <w:fldChar w:fldCharType="end"/>
            </w:r>
          </w:p>
        </w:tc>
      </w:tr>
      <w:tr w:rsidR="005D4FCC" w:rsidRPr="00370A32" w14:paraId="1048BDB6" w14:textId="77777777" w:rsidTr="008E4248">
        <w:tc>
          <w:tcPr>
            <w:tcW w:w="4061" w:type="dxa"/>
          </w:tcPr>
          <w:p w14:paraId="22EB98F3"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1918 A/H1N1, 5-14 years</w:t>
            </w:r>
          </w:p>
        </w:tc>
        <w:tc>
          <w:tcPr>
            <w:tcW w:w="2602" w:type="dxa"/>
            <w:vAlign w:val="bottom"/>
          </w:tcPr>
          <w:p w14:paraId="435779DE" w14:textId="77777777" w:rsidR="005D4FCC" w:rsidRPr="00370A32" w:rsidRDefault="005D4FCC" w:rsidP="005D4FCC">
            <w:pPr>
              <w:spacing w:line="276" w:lineRule="auto"/>
              <w:rPr>
                <w:rFonts w:ascii="Arial" w:hAnsi="Arial" w:cs="Arial"/>
                <w:sz w:val="15"/>
                <w:szCs w:val="15"/>
              </w:rPr>
            </w:pPr>
            <w:r w:rsidRPr="00370A32">
              <w:rPr>
                <w:rFonts w:ascii="Arial" w:hAnsi="Arial" w:cs="Arial"/>
                <w:color w:val="000000"/>
                <w:sz w:val="15"/>
                <w:szCs w:val="15"/>
              </w:rPr>
              <w:t>0.00201</w:t>
            </w:r>
          </w:p>
        </w:tc>
        <w:tc>
          <w:tcPr>
            <w:tcW w:w="2357" w:type="dxa"/>
            <w:vMerge/>
          </w:tcPr>
          <w:p w14:paraId="0DEB2074" w14:textId="77777777" w:rsidR="005D4FCC" w:rsidRPr="00370A32" w:rsidRDefault="005D4FCC" w:rsidP="005D4FCC">
            <w:pPr>
              <w:spacing w:line="276" w:lineRule="auto"/>
              <w:rPr>
                <w:rFonts w:ascii="Arial" w:hAnsi="Arial" w:cs="Arial"/>
                <w:sz w:val="15"/>
                <w:szCs w:val="15"/>
              </w:rPr>
            </w:pPr>
          </w:p>
        </w:tc>
      </w:tr>
      <w:tr w:rsidR="005D4FCC" w:rsidRPr="00370A32" w14:paraId="4B5E028B" w14:textId="77777777" w:rsidTr="008E4248">
        <w:tc>
          <w:tcPr>
            <w:tcW w:w="4061" w:type="dxa"/>
          </w:tcPr>
          <w:p w14:paraId="51A2B21A"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1918 A/H1N1, 15-24 years</w:t>
            </w:r>
          </w:p>
        </w:tc>
        <w:tc>
          <w:tcPr>
            <w:tcW w:w="2602" w:type="dxa"/>
            <w:vAlign w:val="bottom"/>
          </w:tcPr>
          <w:p w14:paraId="6997781E" w14:textId="77777777" w:rsidR="005D4FCC" w:rsidRPr="00370A32" w:rsidRDefault="005D4FCC" w:rsidP="005D4FCC">
            <w:pPr>
              <w:spacing w:line="276" w:lineRule="auto"/>
              <w:rPr>
                <w:rFonts w:ascii="Arial" w:hAnsi="Arial" w:cs="Arial"/>
                <w:sz w:val="15"/>
                <w:szCs w:val="15"/>
              </w:rPr>
            </w:pPr>
            <w:r w:rsidRPr="00370A32">
              <w:rPr>
                <w:rFonts w:ascii="Arial" w:hAnsi="Arial" w:cs="Arial"/>
                <w:color w:val="000000"/>
                <w:sz w:val="15"/>
                <w:szCs w:val="15"/>
              </w:rPr>
              <w:t>0.00719</w:t>
            </w:r>
          </w:p>
        </w:tc>
        <w:tc>
          <w:tcPr>
            <w:tcW w:w="2357" w:type="dxa"/>
            <w:vMerge/>
          </w:tcPr>
          <w:p w14:paraId="72E80D95" w14:textId="77777777" w:rsidR="005D4FCC" w:rsidRPr="00370A32" w:rsidRDefault="005D4FCC" w:rsidP="005D4FCC">
            <w:pPr>
              <w:spacing w:line="276" w:lineRule="auto"/>
              <w:rPr>
                <w:rFonts w:ascii="Arial" w:hAnsi="Arial" w:cs="Arial"/>
                <w:sz w:val="15"/>
                <w:szCs w:val="15"/>
              </w:rPr>
            </w:pPr>
          </w:p>
        </w:tc>
      </w:tr>
      <w:tr w:rsidR="005D4FCC" w:rsidRPr="00370A32" w14:paraId="15734EE7" w14:textId="77777777" w:rsidTr="008E4248">
        <w:tc>
          <w:tcPr>
            <w:tcW w:w="4061" w:type="dxa"/>
          </w:tcPr>
          <w:p w14:paraId="70945A3F"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1918 A/H1N1, 25-34 years</w:t>
            </w:r>
          </w:p>
        </w:tc>
        <w:tc>
          <w:tcPr>
            <w:tcW w:w="2602" w:type="dxa"/>
            <w:vAlign w:val="bottom"/>
          </w:tcPr>
          <w:p w14:paraId="0657153B" w14:textId="77777777" w:rsidR="005D4FCC" w:rsidRPr="00370A32" w:rsidRDefault="005D4FCC" w:rsidP="005D4FCC">
            <w:pPr>
              <w:spacing w:line="276" w:lineRule="auto"/>
              <w:rPr>
                <w:rFonts w:ascii="Arial" w:hAnsi="Arial" w:cs="Arial"/>
                <w:sz w:val="15"/>
                <w:szCs w:val="15"/>
              </w:rPr>
            </w:pPr>
            <w:r w:rsidRPr="00370A32">
              <w:rPr>
                <w:rFonts w:ascii="Arial" w:hAnsi="Arial" w:cs="Arial"/>
                <w:color w:val="000000"/>
                <w:sz w:val="15"/>
                <w:szCs w:val="15"/>
              </w:rPr>
              <w:t>0.01327</w:t>
            </w:r>
          </w:p>
        </w:tc>
        <w:tc>
          <w:tcPr>
            <w:tcW w:w="2357" w:type="dxa"/>
            <w:vMerge/>
          </w:tcPr>
          <w:p w14:paraId="55D6331A" w14:textId="77777777" w:rsidR="005D4FCC" w:rsidRPr="00370A32" w:rsidRDefault="005D4FCC" w:rsidP="005D4FCC">
            <w:pPr>
              <w:spacing w:line="276" w:lineRule="auto"/>
              <w:rPr>
                <w:rFonts w:ascii="Arial" w:hAnsi="Arial" w:cs="Arial"/>
                <w:sz w:val="15"/>
                <w:szCs w:val="15"/>
              </w:rPr>
            </w:pPr>
          </w:p>
        </w:tc>
      </w:tr>
      <w:tr w:rsidR="005D4FCC" w:rsidRPr="00370A32" w14:paraId="4498CEBB" w14:textId="77777777" w:rsidTr="008E4248">
        <w:tc>
          <w:tcPr>
            <w:tcW w:w="4061" w:type="dxa"/>
          </w:tcPr>
          <w:p w14:paraId="03A6C153"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1918 A/H1N1, 35-44 years</w:t>
            </w:r>
          </w:p>
        </w:tc>
        <w:tc>
          <w:tcPr>
            <w:tcW w:w="2602" w:type="dxa"/>
            <w:vAlign w:val="bottom"/>
          </w:tcPr>
          <w:p w14:paraId="2F53329E" w14:textId="77777777" w:rsidR="005D4FCC" w:rsidRPr="00370A32" w:rsidRDefault="005D4FCC" w:rsidP="005D4FCC">
            <w:pPr>
              <w:spacing w:line="276" w:lineRule="auto"/>
              <w:rPr>
                <w:rFonts w:ascii="Arial" w:hAnsi="Arial" w:cs="Arial"/>
                <w:sz w:val="15"/>
                <w:szCs w:val="15"/>
              </w:rPr>
            </w:pPr>
            <w:r w:rsidRPr="00370A32">
              <w:rPr>
                <w:rFonts w:ascii="Arial" w:hAnsi="Arial" w:cs="Arial"/>
                <w:color w:val="000000"/>
                <w:sz w:val="15"/>
                <w:szCs w:val="15"/>
              </w:rPr>
              <w:t>0.00716</w:t>
            </w:r>
          </w:p>
        </w:tc>
        <w:tc>
          <w:tcPr>
            <w:tcW w:w="2357" w:type="dxa"/>
            <w:vMerge/>
          </w:tcPr>
          <w:p w14:paraId="25C9AA59" w14:textId="77777777" w:rsidR="005D4FCC" w:rsidRPr="00370A32" w:rsidRDefault="005D4FCC" w:rsidP="005D4FCC">
            <w:pPr>
              <w:spacing w:line="276" w:lineRule="auto"/>
              <w:rPr>
                <w:rFonts w:ascii="Arial" w:hAnsi="Arial" w:cs="Arial"/>
                <w:sz w:val="15"/>
                <w:szCs w:val="15"/>
              </w:rPr>
            </w:pPr>
          </w:p>
        </w:tc>
      </w:tr>
      <w:tr w:rsidR="005D4FCC" w:rsidRPr="00370A32" w14:paraId="66F3CB15" w14:textId="77777777" w:rsidTr="008E4248">
        <w:tc>
          <w:tcPr>
            <w:tcW w:w="4061" w:type="dxa"/>
          </w:tcPr>
          <w:p w14:paraId="353FB0D4"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1918 A/H1N1, 45-54 years</w:t>
            </w:r>
          </w:p>
        </w:tc>
        <w:tc>
          <w:tcPr>
            <w:tcW w:w="2602" w:type="dxa"/>
            <w:vAlign w:val="bottom"/>
          </w:tcPr>
          <w:p w14:paraId="676F8723" w14:textId="77777777" w:rsidR="005D4FCC" w:rsidRPr="00370A32" w:rsidRDefault="005D4FCC" w:rsidP="005D4FCC">
            <w:pPr>
              <w:spacing w:line="276" w:lineRule="auto"/>
              <w:rPr>
                <w:rFonts w:ascii="Arial" w:hAnsi="Arial" w:cs="Arial"/>
                <w:sz w:val="15"/>
                <w:szCs w:val="15"/>
              </w:rPr>
            </w:pPr>
            <w:r w:rsidRPr="00370A32">
              <w:rPr>
                <w:rFonts w:ascii="Arial" w:hAnsi="Arial" w:cs="Arial"/>
                <w:color w:val="000000"/>
                <w:sz w:val="15"/>
                <w:szCs w:val="15"/>
              </w:rPr>
              <w:t>0.00512</w:t>
            </w:r>
          </w:p>
        </w:tc>
        <w:tc>
          <w:tcPr>
            <w:tcW w:w="2357" w:type="dxa"/>
            <w:vMerge/>
          </w:tcPr>
          <w:p w14:paraId="3CA0268D" w14:textId="77777777" w:rsidR="005D4FCC" w:rsidRPr="00370A32" w:rsidRDefault="005D4FCC" w:rsidP="005D4FCC">
            <w:pPr>
              <w:spacing w:line="276" w:lineRule="auto"/>
              <w:rPr>
                <w:rFonts w:ascii="Arial" w:hAnsi="Arial" w:cs="Arial"/>
                <w:sz w:val="15"/>
                <w:szCs w:val="15"/>
              </w:rPr>
            </w:pPr>
          </w:p>
        </w:tc>
      </w:tr>
      <w:tr w:rsidR="005D4FCC" w:rsidRPr="00370A32" w14:paraId="20379BBA" w14:textId="77777777" w:rsidTr="008E4248">
        <w:tc>
          <w:tcPr>
            <w:tcW w:w="4061" w:type="dxa"/>
          </w:tcPr>
          <w:p w14:paraId="31C2D8FE"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1918 A/H1N1, 55-64 years</w:t>
            </w:r>
          </w:p>
        </w:tc>
        <w:tc>
          <w:tcPr>
            <w:tcW w:w="2602" w:type="dxa"/>
            <w:vAlign w:val="bottom"/>
          </w:tcPr>
          <w:p w14:paraId="1B0B657D" w14:textId="77777777" w:rsidR="005D4FCC" w:rsidRPr="00370A32" w:rsidRDefault="005D4FCC" w:rsidP="005D4FCC">
            <w:pPr>
              <w:spacing w:line="276" w:lineRule="auto"/>
              <w:rPr>
                <w:rFonts w:ascii="Arial" w:hAnsi="Arial" w:cs="Arial"/>
                <w:sz w:val="15"/>
                <w:szCs w:val="15"/>
              </w:rPr>
            </w:pPr>
            <w:r w:rsidRPr="00370A32">
              <w:rPr>
                <w:rFonts w:ascii="Arial" w:hAnsi="Arial" w:cs="Arial"/>
                <w:color w:val="000000"/>
                <w:sz w:val="15"/>
                <w:szCs w:val="15"/>
              </w:rPr>
              <w:t>0.00943</w:t>
            </w:r>
          </w:p>
        </w:tc>
        <w:tc>
          <w:tcPr>
            <w:tcW w:w="2357" w:type="dxa"/>
            <w:vMerge/>
          </w:tcPr>
          <w:p w14:paraId="1F411E64" w14:textId="77777777" w:rsidR="005D4FCC" w:rsidRPr="00370A32" w:rsidRDefault="005D4FCC" w:rsidP="005D4FCC">
            <w:pPr>
              <w:spacing w:line="276" w:lineRule="auto"/>
              <w:rPr>
                <w:rFonts w:ascii="Arial" w:hAnsi="Arial" w:cs="Arial"/>
                <w:sz w:val="15"/>
                <w:szCs w:val="15"/>
              </w:rPr>
            </w:pPr>
          </w:p>
        </w:tc>
      </w:tr>
      <w:tr w:rsidR="005D4FCC" w:rsidRPr="00370A32" w14:paraId="475DF41A" w14:textId="77777777" w:rsidTr="008E4248">
        <w:tc>
          <w:tcPr>
            <w:tcW w:w="4061" w:type="dxa"/>
          </w:tcPr>
          <w:p w14:paraId="105DE74B"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1918 A/H1N1, 65-74 years</w:t>
            </w:r>
          </w:p>
        </w:tc>
        <w:tc>
          <w:tcPr>
            <w:tcW w:w="2602" w:type="dxa"/>
            <w:vAlign w:val="bottom"/>
          </w:tcPr>
          <w:p w14:paraId="7D7EEEFA" w14:textId="77777777" w:rsidR="005D4FCC" w:rsidRPr="00370A32" w:rsidRDefault="005D4FCC" w:rsidP="005D4FCC">
            <w:pPr>
              <w:spacing w:line="276" w:lineRule="auto"/>
              <w:rPr>
                <w:rFonts w:ascii="Arial" w:hAnsi="Arial" w:cs="Arial"/>
                <w:sz w:val="15"/>
                <w:szCs w:val="15"/>
              </w:rPr>
            </w:pPr>
            <w:r w:rsidRPr="00370A32">
              <w:rPr>
                <w:rFonts w:ascii="Arial" w:hAnsi="Arial" w:cs="Arial"/>
                <w:color w:val="000000"/>
                <w:sz w:val="15"/>
                <w:szCs w:val="15"/>
              </w:rPr>
              <w:t>0.03005</w:t>
            </w:r>
          </w:p>
        </w:tc>
        <w:tc>
          <w:tcPr>
            <w:tcW w:w="2357" w:type="dxa"/>
            <w:vMerge/>
          </w:tcPr>
          <w:p w14:paraId="09A2D8A5" w14:textId="77777777" w:rsidR="005D4FCC" w:rsidRPr="00370A32" w:rsidRDefault="005D4FCC" w:rsidP="005D4FCC">
            <w:pPr>
              <w:spacing w:line="276" w:lineRule="auto"/>
              <w:rPr>
                <w:rFonts w:ascii="Arial" w:hAnsi="Arial" w:cs="Arial"/>
                <w:sz w:val="15"/>
                <w:szCs w:val="15"/>
              </w:rPr>
            </w:pPr>
          </w:p>
        </w:tc>
      </w:tr>
      <w:tr w:rsidR="005D4FCC" w:rsidRPr="00370A32" w14:paraId="29526C40" w14:textId="77777777" w:rsidTr="008E4248">
        <w:tc>
          <w:tcPr>
            <w:tcW w:w="4061" w:type="dxa"/>
          </w:tcPr>
          <w:p w14:paraId="7A6A7231"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1918 A/H1N1, 75-84 years</w:t>
            </w:r>
          </w:p>
        </w:tc>
        <w:tc>
          <w:tcPr>
            <w:tcW w:w="2602" w:type="dxa"/>
            <w:vAlign w:val="bottom"/>
          </w:tcPr>
          <w:p w14:paraId="60ABBF74" w14:textId="77777777" w:rsidR="005D4FCC" w:rsidRPr="00370A32" w:rsidRDefault="005D4FCC" w:rsidP="005D4FCC">
            <w:pPr>
              <w:spacing w:line="276" w:lineRule="auto"/>
              <w:rPr>
                <w:rFonts w:ascii="Arial" w:hAnsi="Arial" w:cs="Arial"/>
                <w:sz w:val="15"/>
                <w:szCs w:val="15"/>
              </w:rPr>
            </w:pPr>
            <w:r w:rsidRPr="00370A32">
              <w:rPr>
                <w:rFonts w:ascii="Arial" w:hAnsi="Arial" w:cs="Arial"/>
                <w:color w:val="000000"/>
                <w:sz w:val="15"/>
                <w:szCs w:val="15"/>
              </w:rPr>
              <w:t>0.05380</w:t>
            </w:r>
          </w:p>
        </w:tc>
        <w:tc>
          <w:tcPr>
            <w:tcW w:w="2357" w:type="dxa"/>
            <w:vMerge/>
          </w:tcPr>
          <w:p w14:paraId="37DCB682" w14:textId="77777777" w:rsidR="005D4FCC" w:rsidRPr="00370A32" w:rsidRDefault="005D4FCC" w:rsidP="005D4FCC">
            <w:pPr>
              <w:spacing w:line="276" w:lineRule="auto"/>
              <w:rPr>
                <w:rFonts w:ascii="Arial" w:hAnsi="Arial" w:cs="Arial"/>
                <w:sz w:val="15"/>
                <w:szCs w:val="15"/>
              </w:rPr>
            </w:pPr>
          </w:p>
        </w:tc>
      </w:tr>
      <w:tr w:rsidR="005D4FCC" w:rsidRPr="00370A32" w14:paraId="30638800" w14:textId="77777777" w:rsidTr="008E4248">
        <w:tc>
          <w:tcPr>
            <w:tcW w:w="4061" w:type="dxa"/>
          </w:tcPr>
          <w:p w14:paraId="5A0F909D"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1918 A/H1N1, 85-99 years</w:t>
            </w:r>
          </w:p>
        </w:tc>
        <w:tc>
          <w:tcPr>
            <w:tcW w:w="2602" w:type="dxa"/>
            <w:vAlign w:val="bottom"/>
          </w:tcPr>
          <w:p w14:paraId="222BCE2C" w14:textId="77777777" w:rsidR="005D4FCC" w:rsidRPr="00370A32" w:rsidRDefault="005D4FCC" w:rsidP="005D4FCC">
            <w:pPr>
              <w:spacing w:line="276" w:lineRule="auto"/>
              <w:rPr>
                <w:rFonts w:ascii="Arial" w:hAnsi="Arial" w:cs="Arial"/>
                <w:sz w:val="15"/>
                <w:szCs w:val="15"/>
              </w:rPr>
            </w:pPr>
            <w:r w:rsidRPr="00370A32">
              <w:rPr>
                <w:rFonts w:ascii="Arial" w:hAnsi="Arial" w:cs="Arial"/>
                <w:color w:val="000000"/>
                <w:sz w:val="15"/>
                <w:szCs w:val="15"/>
              </w:rPr>
              <w:t>0.04155</w:t>
            </w:r>
          </w:p>
        </w:tc>
        <w:tc>
          <w:tcPr>
            <w:tcW w:w="2357" w:type="dxa"/>
            <w:vMerge/>
          </w:tcPr>
          <w:p w14:paraId="0591407C" w14:textId="77777777" w:rsidR="005D4FCC" w:rsidRPr="00370A32" w:rsidRDefault="005D4FCC" w:rsidP="005D4FCC">
            <w:pPr>
              <w:spacing w:line="276" w:lineRule="auto"/>
              <w:rPr>
                <w:rFonts w:ascii="Arial" w:hAnsi="Arial" w:cs="Arial"/>
                <w:sz w:val="15"/>
                <w:szCs w:val="15"/>
              </w:rPr>
            </w:pPr>
          </w:p>
        </w:tc>
      </w:tr>
      <w:tr w:rsidR="005D4FCC" w:rsidRPr="00370A32" w14:paraId="62E48A41" w14:textId="77777777" w:rsidTr="008E4248">
        <w:tc>
          <w:tcPr>
            <w:tcW w:w="4061" w:type="dxa"/>
          </w:tcPr>
          <w:p w14:paraId="75652F41"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1968 A/H3N2, 0-4 years</w:t>
            </w:r>
          </w:p>
        </w:tc>
        <w:tc>
          <w:tcPr>
            <w:tcW w:w="2602" w:type="dxa"/>
            <w:vAlign w:val="bottom"/>
          </w:tcPr>
          <w:p w14:paraId="45D2C6DA" w14:textId="77777777" w:rsidR="005D4FCC" w:rsidRPr="00370A32" w:rsidRDefault="005D4FCC" w:rsidP="005D4FCC">
            <w:pPr>
              <w:spacing w:line="276" w:lineRule="auto"/>
              <w:rPr>
                <w:rFonts w:ascii="Arial" w:hAnsi="Arial" w:cs="Arial"/>
                <w:sz w:val="15"/>
                <w:szCs w:val="15"/>
              </w:rPr>
            </w:pPr>
            <w:r w:rsidRPr="00370A32">
              <w:rPr>
                <w:rFonts w:ascii="Arial" w:hAnsi="Arial" w:cs="Arial"/>
                <w:color w:val="000000"/>
                <w:sz w:val="15"/>
                <w:szCs w:val="15"/>
              </w:rPr>
              <w:t>0.0011824</w:t>
            </w:r>
          </w:p>
        </w:tc>
        <w:tc>
          <w:tcPr>
            <w:tcW w:w="2357" w:type="dxa"/>
            <w:vMerge w:val="restart"/>
          </w:tcPr>
          <w:p w14:paraId="422364F3" w14:textId="7F792889"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 xml:space="preserve">By fitting U-shape mortality curve reported in </w:t>
            </w:r>
            <w:r w:rsidRPr="00370A32">
              <w:rPr>
                <w:rFonts w:ascii="Arial" w:hAnsi="Arial" w:cs="Arial"/>
                <w:sz w:val="15"/>
                <w:szCs w:val="15"/>
                <w:lang w:val="en-US"/>
              </w:rPr>
              <w:fldChar w:fldCharType="begin"/>
            </w:r>
            <w:r w:rsidR="006A263E">
              <w:rPr>
                <w:rFonts w:ascii="Arial" w:hAnsi="Arial" w:cs="Arial"/>
                <w:sz w:val="15"/>
                <w:szCs w:val="15"/>
                <w:lang w:val="en-US"/>
              </w:rPr>
              <w:instrText xml:space="preserve"> ADDIN ZOTERO_ITEM CSL_CITATION {"citationID":"DGt1D4Gk","properties":{"formattedCitation":"(Luk et al., 2001; Taubenberger and Morens, 2006)","plainCitation":"(Luk et al., 2001; Taubenberger and Morens, 2006)","noteIndex":0},"citationItems":[{"id":189,"uris":["http://zotero.org/users/local/0pdZPGmr/items/B4YIBH2K","http://zotero.org/users/9596130/items/B4YIBH2K"],"itemData":{"id":189,"type":"article-journal","abstract":"The original purpose of our study was to examine the unusual W-shaped mortality curve associated with the 1918 influenza pandemic and possibly explain the peak in mortality among individuals aged 20–40 years. We plotted age-specific excess mortality instead of total mortality for the 1918 pandemic using a 5-year baseline. For comparison, we also graphed excess mortality curves for the 1957 and 1968 pandemics using 5-year baselines. The 1957 and 1968 curves exhibited the usual U-shaped curve, with high excess mortality among infants and the elderly population relative to young adults. The 1918 curve, however, presented unexpected results. A peak in excess mortality among infants and young adults was seen, but the expected W shape did not result. We instead found negative excess mortality among elderly individuals, suggesting that this group was exposed, at an earlier date, to an influenza strain similar to the so-called Spanish influenza (H1N1) strain.","container-title":"Clinical Infectious Diseases","DOI":"10.1086/322662","ISSN":"1058-4838","issue":"8","journalAbbreviation":"Clinical Infectious Diseases","page":"1375-1378","title":"Observations on Mortality during the 1918 Influenza Pandemic","volume":"33","author":[{"family":"Luk","given":"Jeffrey"},{"family":"Gross","given":"Peter"},{"family":"Thompson","given":"William W."}],"issued":{"date-parts":[["2001",10,15]]}}},{"id":192,"uris":["http://zotero.org/users/local/0pdZPGmr/items/89XR3V2F","http://zotero.org/users/9596130/items/89XR3V2F"],"itemData":{"id":192,"type":"article-journal","abstract":"The \"Spanish\" influenza pandemic of 1918–1919, which caused ≈50 million deaths worldwide, remains an ominous warning to public health. Many questions about its origins, its unusual epidemiologic features, and the basis of its pathogenicity remain unanswered. The public health implications of the pandemic therefore remain in doubt even as we now grapple with the feared emergence of a pandemic caused by H5N1 or other virus. However, new information about the 1918 virus is emerging, for example, sequencing of the entire genome from archival autopsy tissues. But, the viral genome alone is unlikely to provide answers to some critical questions. Understanding the 1918 pandemic and its implications for future pandemics requires careful experimentation and in-depth historical analysis.","container-title":"Emerging Infectious Disease journal","DOI":"10.3201/eid1201.050979","ISSN":"1080-6059","issue":"1","page":"15","title":"1918 Influenza: the Mother of All Pandemics","volume":"12","author":[{"family":"Taubenberger","given":"Jeffery"},{"family":"Morens","given":"David"}],"issued":{"date-parts":[["2006"]]}}}],"schema":"https://github.com/citation-style-language/schema/raw/master/csl-citation.json"} </w:instrText>
            </w:r>
            <w:r w:rsidRPr="00370A32">
              <w:rPr>
                <w:rFonts w:ascii="Arial" w:hAnsi="Arial" w:cs="Arial"/>
                <w:sz w:val="15"/>
                <w:szCs w:val="15"/>
                <w:lang w:val="en-US"/>
              </w:rPr>
              <w:fldChar w:fldCharType="separate"/>
            </w:r>
            <w:r w:rsidR="006A263E">
              <w:rPr>
                <w:rFonts w:ascii="Arial" w:hAnsi="Arial" w:cs="Arial"/>
                <w:sz w:val="15"/>
                <w:lang w:val="en-US"/>
              </w:rPr>
              <w:t>(Luk et al., 2001; Taubenberger and Morens, 2006)</w:t>
            </w:r>
            <w:r w:rsidRPr="00370A32">
              <w:rPr>
                <w:rFonts w:ascii="Arial" w:hAnsi="Arial" w:cs="Arial"/>
                <w:sz w:val="15"/>
                <w:szCs w:val="15"/>
                <w:lang w:val="en-US"/>
              </w:rPr>
              <w:fldChar w:fldCharType="end"/>
            </w:r>
          </w:p>
        </w:tc>
      </w:tr>
      <w:tr w:rsidR="005D4FCC" w:rsidRPr="00370A32" w14:paraId="6EACEDEC" w14:textId="77777777" w:rsidTr="008E4248">
        <w:tc>
          <w:tcPr>
            <w:tcW w:w="4061" w:type="dxa"/>
          </w:tcPr>
          <w:p w14:paraId="7498C07E"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1968 A/H3N2, 5-14 years</w:t>
            </w:r>
          </w:p>
        </w:tc>
        <w:tc>
          <w:tcPr>
            <w:tcW w:w="2602" w:type="dxa"/>
            <w:vAlign w:val="bottom"/>
          </w:tcPr>
          <w:p w14:paraId="231D9CA8" w14:textId="77777777" w:rsidR="005D4FCC" w:rsidRPr="00370A32" w:rsidRDefault="005D4FCC" w:rsidP="005D4FCC">
            <w:pPr>
              <w:spacing w:line="276" w:lineRule="auto"/>
              <w:rPr>
                <w:rFonts w:ascii="Arial" w:hAnsi="Arial" w:cs="Arial"/>
                <w:sz w:val="15"/>
                <w:szCs w:val="15"/>
              </w:rPr>
            </w:pPr>
            <w:r w:rsidRPr="00370A32">
              <w:rPr>
                <w:rFonts w:ascii="Arial" w:hAnsi="Arial" w:cs="Arial"/>
                <w:color w:val="000000"/>
                <w:sz w:val="15"/>
                <w:szCs w:val="15"/>
              </w:rPr>
              <w:t>0.0000240</w:t>
            </w:r>
          </w:p>
        </w:tc>
        <w:tc>
          <w:tcPr>
            <w:tcW w:w="2357" w:type="dxa"/>
            <w:vMerge/>
          </w:tcPr>
          <w:p w14:paraId="420FAEAD" w14:textId="77777777" w:rsidR="005D4FCC" w:rsidRPr="00370A32" w:rsidRDefault="005D4FCC" w:rsidP="005D4FCC">
            <w:pPr>
              <w:spacing w:line="276" w:lineRule="auto"/>
              <w:rPr>
                <w:rFonts w:ascii="Arial" w:hAnsi="Arial" w:cs="Arial"/>
                <w:sz w:val="15"/>
                <w:szCs w:val="15"/>
              </w:rPr>
            </w:pPr>
          </w:p>
        </w:tc>
      </w:tr>
      <w:tr w:rsidR="005D4FCC" w:rsidRPr="00370A32" w14:paraId="57BCF874" w14:textId="77777777" w:rsidTr="008E4248">
        <w:tc>
          <w:tcPr>
            <w:tcW w:w="4061" w:type="dxa"/>
          </w:tcPr>
          <w:p w14:paraId="7B307715"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1968 A/H3N2, 15-24 years</w:t>
            </w:r>
          </w:p>
        </w:tc>
        <w:tc>
          <w:tcPr>
            <w:tcW w:w="2602" w:type="dxa"/>
            <w:vAlign w:val="bottom"/>
          </w:tcPr>
          <w:p w14:paraId="0D5566AE" w14:textId="77777777" w:rsidR="005D4FCC" w:rsidRPr="00370A32" w:rsidRDefault="005D4FCC" w:rsidP="005D4FCC">
            <w:pPr>
              <w:spacing w:line="276" w:lineRule="auto"/>
              <w:rPr>
                <w:rFonts w:ascii="Arial" w:hAnsi="Arial" w:cs="Arial"/>
                <w:sz w:val="15"/>
                <w:szCs w:val="15"/>
              </w:rPr>
            </w:pPr>
            <w:r w:rsidRPr="00370A32">
              <w:rPr>
                <w:rFonts w:ascii="Arial" w:hAnsi="Arial" w:cs="Arial"/>
                <w:color w:val="000000"/>
                <w:sz w:val="15"/>
                <w:szCs w:val="15"/>
              </w:rPr>
              <w:t>0.0000410</w:t>
            </w:r>
          </w:p>
        </w:tc>
        <w:tc>
          <w:tcPr>
            <w:tcW w:w="2357" w:type="dxa"/>
            <w:vMerge/>
          </w:tcPr>
          <w:p w14:paraId="2050D30A" w14:textId="77777777" w:rsidR="005D4FCC" w:rsidRPr="00370A32" w:rsidRDefault="005D4FCC" w:rsidP="005D4FCC">
            <w:pPr>
              <w:spacing w:line="276" w:lineRule="auto"/>
              <w:rPr>
                <w:rFonts w:ascii="Arial" w:hAnsi="Arial" w:cs="Arial"/>
                <w:sz w:val="15"/>
                <w:szCs w:val="15"/>
              </w:rPr>
            </w:pPr>
          </w:p>
        </w:tc>
      </w:tr>
      <w:tr w:rsidR="005D4FCC" w:rsidRPr="00370A32" w14:paraId="2B385C01" w14:textId="77777777" w:rsidTr="008E4248">
        <w:tc>
          <w:tcPr>
            <w:tcW w:w="4061" w:type="dxa"/>
          </w:tcPr>
          <w:p w14:paraId="07946178"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1968 A/H3N2, 25-34 years</w:t>
            </w:r>
          </w:p>
        </w:tc>
        <w:tc>
          <w:tcPr>
            <w:tcW w:w="2602" w:type="dxa"/>
            <w:vAlign w:val="bottom"/>
          </w:tcPr>
          <w:p w14:paraId="626BFE93" w14:textId="77777777" w:rsidR="005D4FCC" w:rsidRPr="00370A32" w:rsidRDefault="005D4FCC" w:rsidP="005D4FCC">
            <w:pPr>
              <w:spacing w:line="276" w:lineRule="auto"/>
              <w:rPr>
                <w:rFonts w:ascii="Arial" w:hAnsi="Arial" w:cs="Arial"/>
                <w:sz w:val="15"/>
                <w:szCs w:val="15"/>
              </w:rPr>
            </w:pPr>
            <w:r w:rsidRPr="00370A32">
              <w:rPr>
                <w:rFonts w:ascii="Arial" w:hAnsi="Arial" w:cs="Arial"/>
                <w:color w:val="000000"/>
                <w:sz w:val="15"/>
                <w:szCs w:val="15"/>
              </w:rPr>
              <w:t>0.0000601</w:t>
            </w:r>
          </w:p>
        </w:tc>
        <w:tc>
          <w:tcPr>
            <w:tcW w:w="2357" w:type="dxa"/>
            <w:vMerge/>
          </w:tcPr>
          <w:p w14:paraId="64124044" w14:textId="77777777" w:rsidR="005D4FCC" w:rsidRPr="00370A32" w:rsidRDefault="005D4FCC" w:rsidP="005D4FCC">
            <w:pPr>
              <w:spacing w:line="276" w:lineRule="auto"/>
              <w:rPr>
                <w:rFonts w:ascii="Arial" w:hAnsi="Arial" w:cs="Arial"/>
                <w:sz w:val="15"/>
                <w:szCs w:val="15"/>
              </w:rPr>
            </w:pPr>
          </w:p>
        </w:tc>
      </w:tr>
      <w:tr w:rsidR="005D4FCC" w:rsidRPr="00370A32" w14:paraId="368B1C28" w14:textId="77777777" w:rsidTr="008E4248">
        <w:tc>
          <w:tcPr>
            <w:tcW w:w="4061" w:type="dxa"/>
          </w:tcPr>
          <w:p w14:paraId="2C2E4A09"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1968 A/H3N2, 35-44 years</w:t>
            </w:r>
          </w:p>
        </w:tc>
        <w:tc>
          <w:tcPr>
            <w:tcW w:w="2602" w:type="dxa"/>
            <w:vAlign w:val="bottom"/>
          </w:tcPr>
          <w:p w14:paraId="06DB138A" w14:textId="77777777" w:rsidR="005D4FCC" w:rsidRPr="00370A32" w:rsidRDefault="005D4FCC" w:rsidP="005D4FCC">
            <w:pPr>
              <w:spacing w:line="276" w:lineRule="auto"/>
              <w:rPr>
                <w:rFonts w:ascii="Arial" w:hAnsi="Arial" w:cs="Arial"/>
                <w:sz w:val="15"/>
                <w:szCs w:val="15"/>
              </w:rPr>
            </w:pPr>
            <w:r w:rsidRPr="00370A32">
              <w:rPr>
                <w:rFonts w:ascii="Arial" w:hAnsi="Arial" w:cs="Arial"/>
                <w:color w:val="000000"/>
                <w:sz w:val="15"/>
                <w:szCs w:val="15"/>
              </w:rPr>
              <w:t>0.0001298</w:t>
            </w:r>
          </w:p>
        </w:tc>
        <w:tc>
          <w:tcPr>
            <w:tcW w:w="2357" w:type="dxa"/>
            <w:vMerge/>
          </w:tcPr>
          <w:p w14:paraId="1D894790" w14:textId="77777777" w:rsidR="005D4FCC" w:rsidRPr="00370A32" w:rsidRDefault="005D4FCC" w:rsidP="005D4FCC">
            <w:pPr>
              <w:spacing w:line="276" w:lineRule="auto"/>
              <w:rPr>
                <w:rFonts w:ascii="Arial" w:hAnsi="Arial" w:cs="Arial"/>
                <w:sz w:val="15"/>
                <w:szCs w:val="15"/>
              </w:rPr>
            </w:pPr>
          </w:p>
        </w:tc>
      </w:tr>
      <w:tr w:rsidR="005D4FCC" w:rsidRPr="00370A32" w14:paraId="073714BD" w14:textId="77777777" w:rsidTr="008E4248">
        <w:tc>
          <w:tcPr>
            <w:tcW w:w="4061" w:type="dxa"/>
          </w:tcPr>
          <w:p w14:paraId="11C3F0E4"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1968 A/H3N2, 45-54 years</w:t>
            </w:r>
          </w:p>
        </w:tc>
        <w:tc>
          <w:tcPr>
            <w:tcW w:w="2602" w:type="dxa"/>
            <w:vAlign w:val="bottom"/>
          </w:tcPr>
          <w:p w14:paraId="24FD23CF" w14:textId="77777777" w:rsidR="005D4FCC" w:rsidRPr="00370A32" w:rsidRDefault="005D4FCC" w:rsidP="005D4FCC">
            <w:pPr>
              <w:spacing w:line="276" w:lineRule="auto"/>
              <w:rPr>
                <w:rFonts w:ascii="Arial" w:hAnsi="Arial" w:cs="Arial"/>
                <w:sz w:val="15"/>
                <w:szCs w:val="15"/>
              </w:rPr>
            </w:pPr>
            <w:r w:rsidRPr="00370A32">
              <w:rPr>
                <w:rFonts w:ascii="Arial" w:hAnsi="Arial" w:cs="Arial"/>
                <w:color w:val="000000"/>
                <w:sz w:val="15"/>
                <w:szCs w:val="15"/>
              </w:rPr>
              <w:t>0.0003386</w:t>
            </w:r>
          </w:p>
        </w:tc>
        <w:tc>
          <w:tcPr>
            <w:tcW w:w="2357" w:type="dxa"/>
            <w:vMerge/>
          </w:tcPr>
          <w:p w14:paraId="1E5392E5" w14:textId="77777777" w:rsidR="005D4FCC" w:rsidRPr="00370A32" w:rsidRDefault="005D4FCC" w:rsidP="005D4FCC">
            <w:pPr>
              <w:spacing w:line="276" w:lineRule="auto"/>
              <w:rPr>
                <w:rFonts w:ascii="Arial" w:hAnsi="Arial" w:cs="Arial"/>
                <w:sz w:val="15"/>
                <w:szCs w:val="15"/>
              </w:rPr>
            </w:pPr>
          </w:p>
        </w:tc>
      </w:tr>
      <w:tr w:rsidR="005D4FCC" w:rsidRPr="00370A32" w14:paraId="76F23A30" w14:textId="77777777" w:rsidTr="008E4248">
        <w:tc>
          <w:tcPr>
            <w:tcW w:w="4061" w:type="dxa"/>
          </w:tcPr>
          <w:p w14:paraId="67235D51"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1968 A/H3N2, 55-64 years</w:t>
            </w:r>
          </w:p>
        </w:tc>
        <w:tc>
          <w:tcPr>
            <w:tcW w:w="2602" w:type="dxa"/>
            <w:vAlign w:val="bottom"/>
          </w:tcPr>
          <w:p w14:paraId="52BFD147" w14:textId="77777777" w:rsidR="005D4FCC" w:rsidRPr="00370A32" w:rsidRDefault="005D4FCC" w:rsidP="005D4FCC">
            <w:pPr>
              <w:spacing w:line="276" w:lineRule="auto"/>
              <w:rPr>
                <w:rFonts w:ascii="Arial" w:hAnsi="Arial" w:cs="Arial"/>
                <w:sz w:val="15"/>
                <w:szCs w:val="15"/>
              </w:rPr>
            </w:pPr>
            <w:r w:rsidRPr="00370A32">
              <w:rPr>
                <w:rFonts w:ascii="Arial" w:hAnsi="Arial" w:cs="Arial"/>
                <w:color w:val="000000"/>
                <w:sz w:val="15"/>
                <w:szCs w:val="15"/>
              </w:rPr>
              <w:t>0.0012583</w:t>
            </w:r>
          </w:p>
        </w:tc>
        <w:tc>
          <w:tcPr>
            <w:tcW w:w="2357" w:type="dxa"/>
            <w:vMerge/>
          </w:tcPr>
          <w:p w14:paraId="23CC7D5E" w14:textId="77777777" w:rsidR="005D4FCC" w:rsidRPr="00370A32" w:rsidRDefault="005D4FCC" w:rsidP="005D4FCC">
            <w:pPr>
              <w:spacing w:line="276" w:lineRule="auto"/>
              <w:rPr>
                <w:rFonts w:ascii="Arial" w:hAnsi="Arial" w:cs="Arial"/>
                <w:sz w:val="15"/>
                <w:szCs w:val="15"/>
              </w:rPr>
            </w:pPr>
          </w:p>
        </w:tc>
      </w:tr>
      <w:tr w:rsidR="005D4FCC" w:rsidRPr="00370A32" w14:paraId="5E2965A1" w14:textId="77777777" w:rsidTr="008E4248">
        <w:tc>
          <w:tcPr>
            <w:tcW w:w="4061" w:type="dxa"/>
          </w:tcPr>
          <w:p w14:paraId="45AF48BC"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1968 A/H3N2, 65-74 years</w:t>
            </w:r>
          </w:p>
        </w:tc>
        <w:tc>
          <w:tcPr>
            <w:tcW w:w="2602" w:type="dxa"/>
            <w:vAlign w:val="bottom"/>
          </w:tcPr>
          <w:p w14:paraId="70863387" w14:textId="77777777" w:rsidR="005D4FCC" w:rsidRPr="00370A32" w:rsidRDefault="005D4FCC" w:rsidP="005D4FCC">
            <w:pPr>
              <w:spacing w:line="276" w:lineRule="auto"/>
              <w:rPr>
                <w:rFonts w:ascii="Arial" w:hAnsi="Arial" w:cs="Arial"/>
                <w:sz w:val="15"/>
                <w:szCs w:val="15"/>
              </w:rPr>
            </w:pPr>
            <w:r w:rsidRPr="00370A32">
              <w:rPr>
                <w:rFonts w:ascii="Arial" w:hAnsi="Arial" w:cs="Arial"/>
                <w:color w:val="000000"/>
                <w:sz w:val="15"/>
                <w:szCs w:val="15"/>
              </w:rPr>
              <w:t>0.0061872</w:t>
            </w:r>
          </w:p>
        </w:tc>
        <w:tc>
          <w:tcPr>
            <w:tcW w:w="2357" w:type="dxa"/>
            <w:vMerge/>
          </w:tcPr>
          <w:p w14:paraId="6773BD13" w14:textId="77777777" w:rsidR="005D4FCC" w:rsidRPr="00370A32" w:rsidRDefault="005D4FCC" w:rsidP="005D4FCC">
            <w:pPr>
              <w:spacing w:line="276" w:lineRule="auto"/>
              <w:rPr>
                <w:rFonts w:ascii="Arial" w:hAnsi="Arial" w:cs="Arial"/>
                <w:sz w:val="15"/>
                <w:szCs w:val="15"/>
              </w:rPr>
            </w:pPr>
          </w:p>
        </w:tc>
      </w:tr>
      <w:tr w:rsidR="005D4FCC" w:rsidRPr="00370A32" w14:paraId="35B39365" w14:textId="77777777" w:rsidTr="008E4248">
        <w:tc>
          <w:tcPr>
            <w:tcW w:w="4061" w:type="dxa"/>
          </w:tcPr>
          <w:p w14:paraId="752CC89F"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1968 A/H3N2, 75-84 years</w:t>
            </w:r>
          </w:p>
        </w:tc>
        <w:tc>
          <w:tcPr>
            <w:tcW w:w="2602" w:type="dxa"/>
            <w:vAlign w:val="bottom"/>
          </w:tcPr>
          <w:p w14:paraId="5219749F" w14:textId="77777777" w:rsidR="005D4FCC" w:rsidRPr="00370A32" w:rsidRDefault="005D4FCC" w:rsidP="005D4FCC">
            <w:pPr>
              <w:spacing w:line="276" w:lineRule="auto"/>
              <w:rPr>
                <w:rFonts w:ascii="Arial" w:hAnsi="Arial" w:cs="Arial"/>
                <w:sz w:val="15"/>
                <w:szCs w:val="15"/>
              </w:rPr>
            </w:pPr>
            <w:r w:rsidRPr="00370A32">
              <w:rPr>
                <w:rFonts w:ascii="Arial" w:hAnsi="Arial" w:cs="Arial"/>
                <w:color w:val="000000"/>
                <w:sz w:val="15"/>
                <w:szCs w:val="15"/>
              </w:rPr>
              <w:t>0.0187919</w:t>
            </w:r>
          </w:p>
        </w:tc>
        <w:tc>
          <w:tcPr>
            <w:tcW w:w="2357" w:type="dxa"/>
            <w:vMerge/>
          </w:tcPr>
          <w:p w14:paraId="359BD127" w14:textId="77777777" w:rsidR="005D4FCC" w:rsidRPr="00370A32" w:rsidRDefault="005D4FCC" w:rsidP="005D4FCC">
            <w:pPr>
              <w:spacing w:line="276" w:lineRule="auto"/>
              <w:rPr>
                <w:rFonts w:ascii="Arial" w:hAnsi="Arial" w:cs="Arial"/>
                <w:sz w:val="15"/>
                <w:szCs w:val="15"/>
              </w:rPr>
            </w:pPr>
          </w:p>
        </w:tc>
      </w:tr>
      <w:tr w:rsidR="005D4FCC" w:rsidRPr="00370A32" w14:paraId="4AD08723" w14:textId="77777777" w:rsidTr="008E4248">
        <w:tc>
          <w:tcPr>
            <w:tcW w:w="4061" w:type="dxa"/>
          </w:tcPr>
          <w:p w14:paraId="452A5572"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1968 A/H3N2, 85-99 years</w:t>
            </w:r>
          </w:p>
        </w:tc>
        <w:tc>
          <w:tcPr>
            <w:tcW w:w="2602" w:type="dxa"/>
            <w:vAlign w:val="bottom"/>
          </w:tcPr>
          <w:p w14:paraId="041CC265" w14:textId="77777777" w:rsidR="005D4FCC" w:rsidRPr="00370A32" w:rsidRDefault="005D4FCC" w:rsidP="005D4FCC">
            <w:pPr>
              <w:spacing w:line="276" w:lineRule="auto"/>
              <w:rPr>
                <w:rFonts w:ascii="Arial" w:hAnsi="Arial" w:cs="Arial"/>
                <w:sz w:val="15"/>
                <w:szCs w:val="15"/>
              </w:rPr>
            </w:pPr>
            <w:r w:rsidRPr="00370A32">
              <w:rPr>
                <w:rFonts w:ascii="Arial" w:hAnsi="Arial" w:cs="Arial"/>
                <w:color w:val="000000"/>
                <w:sz w:val="15"/>
                <w:szCs w:val="15"/>
              </w:rPr>
              <w:t>0.0252286</w:t>
            </w:r>
          </w:p>
        </w:tc>
        <w:tc>
          <w:tcPr>
            <w:tcW w:w="2357" w:type="dxa"/>
            <w:vMerge/>
          </w:tcPr>
          <w:p w14:paraId="5E5A5735" w14:textId="77777777" w:rsidR="005D4FCC" w:rsidRPr="00370A32" w:rsidRDefault="005D4FCC" w:rsidP="005D4FCC">
            <w:pPr>
              <w:spacing w:line="276" w:lineRule="auto"/>
              <w:rPr>
                <w:rFonts w:ascii="Arial" w:hAnsi="Arial" w:cs="Arial"/>
                <w:sz w:val="15"/>
                <w:szCs w:val="15"/>
              </w:rPr>
            </w:pPr>
          </w:p>
        </w:tc>
      </w:tr>
      <w:tr w:rsidR="005D4FCC" w:rsidRPr="00370A32" w14:paraId="079E5206" w14:textId="77777777" w:rsidTr="008E4248">
        <w:tc>
          <w:tcPr>
            <w:tcW w:w="4061" w:type="dxa"/>
          </w:tcPr>
          <w:p w14:paraId="3CDD1F5C"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2009 A/H1N1, 0-19 years</w:t>
            </w:r>
          </w:p>
        </w:tc>
        <w:tc>
          <w:tcPr>
            <w:tcW w:w="2602" w:type="dxa"/>
            <w:vAlign w:val="bottom"/>
          </w:tcPr>
          <w:p w14:paraId="0A08D781" w14:textId="77777777" w:rsidR="005D4FCC" w:rsidRPr="00370A32" w:rsidRDefault="005D4FCC" w:rsidP="005D4FCC">
            <w:pPr>
              <w:spacing w:line="276" w:lineRule="auto"/>
              <w:rPr>
                <w:rFonts w:ascii="Arial" w:hAnsi="Arial" w:cs="Arial"/>
                <w:sz w:val="15"/>
                <w:szCs w:val="15"/>
              </w:rPr>
            </w:pPr>
            <w:r w:rsidRPr="00370A32">
              <w:rPr>
                <w:rFonts w:ascii="Arial" w:hAnsi="Arial" w:cs="Arial"/>
                <w:color w:val="000000"/>
                <w:sz w:val="15"/>
                <w:szCs w:val="15"/>
              </w:rPr>
              <w:t>0.00005</w:t>
            </w:r>
          </w:p>
        </w:tc>
        <w:tc>
          <w:tcPr>
            <w:tcW w:w="2357" w:type="dxa"/>
            <w:vMerge w:val="restart"/>
          </w:tcPr>
          <w:p w14:paraId="1040237E" w14:textId="7143EE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lang w:val="en-US"/>
              </w:rPr>
              <w:fldChar w:fldCharType="begin"/>
            </w:r>
            <w:r w:rsidR="006A263E">
              <w:rPr>
                <w:rFonts w:ascii="Arial" w:hAnsi="Arial" w:cs="Arial"/>
                <w:sz w:val="15"/>
                <w:szCs w:val="15"/>
                <w:lang w:val="en-US"/>
              </w:rPr>
              <w:instrText xml:space="preserve"> ADDIN ZOTERO_ITEM CSL_CITATION {"citationID":"kjpkkg6E","properties":{"formattedCitation":"(Dawood et al., 2012)","plainCitation":"(Dawood et al., 2012)","noteIndex":0},"citationItems":[{"id":190,"uris":["http://zotero.org/users/local/0pdZPGmr/items/XAJUCWF4","http://zotero.org/users/9596130/items/XAJUCWF4"],"itemData":{"id":190,"type":"article-journal","container-title":"The Lancet Infectious Diseases","DOI":"10.1016/S1473-3099(12)70121-4","ISSN":"1473-3099","issue":"9","note":"publisher: Elsevier","page":"687-695","title":"Estimated global mortality associated with the first 12 months of 2009 pandemic influenza A H1N1 virus circulation: a modelling study","volume":"12","author":[{"family":"Dawood","given":"Fatimah S"},{"family":"Iuliano","given":"A Danielle"},{"family":"Reed","given":"Carrie"},{"family":"Meltzer","given":"Martin I"},{"family":"Shay","given":"David K"},{"family":"Cheng","given":"Po-Yung"},{"family":"Bandaranayake","given":"Don"},{"family":"Breiman","given":"Robert F"},{"family":"Brooks","given":"W Abdullah"},{"family":"Buchy","given":"Philippe"},{"family":"Feikin","given":"Daniel R"},{"family":"Fowler","given":"Karen B"},{"family":"Gordon","given":"Aubree"},{"family":"Hien","given":"Nguyen Tran"},{"family":"Horby","given":"Peter"},{"family":"Huang","given":"Q Sue"},{"family":"Katz","given":"Mark A"},{"family":"Krishnan","given":"Anand"},{"family":"Lal","given":"Renu"},{"family":"Montgomery","given":"Joel M"},{"family":"Mølbak","given":"Kåre"},{"family":"Pebody","given":"Richard"},{"family":"Presanis","given":"Anne M"},{"family":"Razuri","given":"Hugo"},{"family":"Steens","given":"Anneke"},{"family":"Tinoco","given":"Yeny O"},{"family":"Wallinga","given":"Jacco"},{"family":"Yu","given":"Hongjie"},{"family":"Vong","given":"Sirenda"},{"family":"Bresee","given":"Joseph"},{"family":"Widdowson","given":"Marc-Alain"}],"issued":{"date-parts":[["2012",9,1]]}}}],"schema":"https://github.com/citation-style-language/schema/raw/master/csl-citation.json"} </w:instrText>
            </w:r>
            <w:r w:rsidRPr="00370A32">
              <w:rPr>
                <w:rFonts w:ascii="Arial" w:hAnsi="Arial" w:cs="Arial"/>
                <w:sz w:val="15"/>
                <w:szCs w:val="15"/>
                <w:lang w:val="en-US"/>
              </w:rPr>
              <w:fldChar w:fldCharType="separate"/>
            </w:r>
            <w:r w:rsidR="006A263E">
              <w:rPr>
                <w:rFonts w:ascii="Arial" w:hAnsi="Arial" w:cs="Arial"/>
                <w:sz w:val="15"/>
                <w:lang w:val="en-US"/>
              </w:rPr>
              <w:t>(Dawood et al., 2012)</w:t>
            </w:r>
            <w:r w:rsidRPr="00370A32">
              <w:rPr>
                <w:rFonts w:ascii="Arial" w:hAnsi="Arial" w:cs="Arial"/>
                <w:sz w:val="15"/>
                <w:szCs w:val="15"/>
                <w:lang w:val="en-US"/>
              </w:rPr>
              <w:fldChar w:fldCharType="end"/>
            </w:r>
          </w:p>
        </w:tc>
      </w:tr>
      <w:tr w:rsidR="005D4FCC" w:rsidRPr="00370A32" w14:paraId="2F9F1670" w14:textId="77777777" w:rsidTr="008E4248">
        <w:tc>
          <w:tcPr>
            <w:tcW w:w="4061" w:type="dxa"/>
          </w:tcPr>
          <w:p w14:paraId="5FBD5AF6"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2009 A/H1N1, 20-64 years</w:t>
            </w:r>
          </w:p>
        </w:tc>
        <w:tc>
          <w:tcPr>
            <w:tcW w:w="2602" w:type="dxa"/>
            <w:vAlign w:val="bottom"/>
          </w:tcPr>
          <w:p w14:paraId="7E5784B4" w14:textId="77777777" w:rsidR="005D4FCC" w:rsidRPr="00370A32" w:rsidRDefault="005D4FCC" w:rsidP="005D4FCC">
            <w:pPr>
              <w:spacing w:line="276" w:lineRule="auto"/>
              <w:rPr>
                <w:rFonts w:ascii="Arial" w:hAnsi="Arial" w:cs="Arial"/>
                <w:sz w:val="15"/>
                <w:szCs w:val="15"/>
              </w:rPr>
            </w:pPr>
            <w:r w:rsidRPr="00370A32">
              <w:rPr>
                <w:rFonts w:ascii="Arial" w:hAnsi="Arial" w:cs="Arial"/>
                <w:color w:val="000000"/>
                <w:sz w:val="15"/>
                <w:szCs w:val="15"/>
              </w:rPr>
              <w:t>0.00029</w:t>
            </w:r>
          </w:p>
        </w:tc>
        <w:tc>
          <w:tcPr>
            <w:tcW w:w="2357" w:type="dxa"/>
            <w:vMerge/>
          </w:tcPr>
          <w:p w14:paraId="7E8AD876" w14:textId="77777777" w:rsidR="005D4FCC" w:rsidRPr="00370A32" w:rsidRDefault="005D4FCC" w:rsidP="005D4FCC">
            <w:pPr>
              <w:spacing w:line="276" w:lineRule="auto"/>
              <w:rPr>
                <w:rFonts w:ascii="Arial" w:hAnsi="Arial" w:cs="Arial"/>
                <w:sz w:val="15"/>
                <w:szCs w:val="15"/>
              </w:rPr>
            </w:pPr>
          </w:p>
        </w:tc>
      </w:tr>
      <w:tr w:rsidR="005D4FCC" w:rsidRPr="00370A32" w14:paraId="690CFEAD" w14:textId="77777777" w:rsidTr="008E4248">
        <w:tc>
          <w:tcPr>
            <w:tcW w:w="4061" w:type="dxa"/>
          </w:tcPr>
          <w:p w14:paraId="052C8C00"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2009 A/H1N1, 65-99 years</w:t>
            </w:r>
          </w:p>
        </w:tc>
        <w:tc>
          <w:tcPr>
            <w:tcW w:w="2602" w:type="dxa"/>
            <w:vAlign w:val="bottom"/>
          </w:tcPr>
          <w:p w14:paraId="19039027" w14:textId="77777777" w:rsidR="005D4FCC" w:rsidRPr="00370A32" w:rsidRDefault="005D4FCC" w:rsidP="005D4FCC">
            <w:pPr>
              <w:spacing w:line="276" w:lineRule="auto"/>
              <w:rPr>
                <w:rFonts w:ascii="Arial" w:hAnsi="Arial" w:cs="Arial"/>
                <w:sz w:val="15"/>
                <w:szCs w:val="15"/>
              </w:rPr>
            </w:pPr>
            <w:r w:rsidRPr="00370A32">
              <w:rPr>
                <w:rFonts w:ascii="Arial" w:hAnsi="Arial" w:cs="Arial"/>
                <w:color w:val="000000"/>
                <w:sz w:val="15"/>
                <w:szCs w:val="15"/>
              </w:rPr>
              <w:t>0.00124</w:t>
            </w:r>
          </w:p>
        </w:tc>
        <w:tc>
          <w:tcPr>
            <w:tcW w:w="2357" w:type="dxa"/>
            <w:vMerge/>
          </w:tcPr>
          <w:p w14:paraId="38BDEBD4" w14:textId="77777777" w:rsidR="005D4FCC" w:rsidRPr="00370A32" w:rsidRDefault="005D4FCC" w:rsidP="005D4FCC">
            <w:pPr>
              <w:spacing w:line="276" w:lineRule="auto"/>
              <w:rPr>
                <w:rFonts w:ascii="Arial" w:hAnsi="Arial" w:cs="Arial"/>
                <w:sz w:val="15"/>
                <w:szCs w:val="15"/>
              </w:rPr>
            </w:pPr>
          </w:p>
        </w:tc>
      </w:tr>
      <w:tr w:rsidR="005D4FCC" w:rsidRPr="00370A32" w14:paraId="17DBEC8D" w14:textId="77777777" w:rsidTr="008E4248">
        <w:tc>
          <w:tcPr>
            <w:tcW w:w="4061" w:type="dxa"/>
          </w:tcPr>
          <w:p w14:paraId="32932ACF"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COVID-19, 0-9 years</w:t>
            </w:r>
          </w:p>
        </w:tc>
        <w:tc>
          <w:tcPr>
            <w:tcW w:w="2602" w:type="dxa"/>
            <w:vAlign w:val="bottom"/>
          </w:tcPr>
          <w:p w14:paraId="52DE199F" w14:textId="77777777" w:rsidR="005D4FCC" w:rsidRPr="00370A32" w:rsidRDefault="005D4FCC" w:rsidP="005D4FCC">
            <w:pPr>
              <w:spacing w:line="276" w:lineRule="auto"/>
              <w:rPr>
                <w:rFonts w:ascii="Arial" w:hAnsi="Arial" w:cs="Arial"/>
                <w:sz w:val="15"/>
                <w:szCs w:val="15"/>
              </w:rPr>
            </w:pPr>
            <w:r w:rsidRPr="00370A32">
              <w:rPr>
                <w:rFonts w:ascii="Arial" w:hAnsi="Arial" w:cs="Arial"/>
                <w:color w:val="000000"/>
                <w:sz w:val="15"/>
                <w:szCs w:val="15"/>
              </w:rPr>
              <w:t>0.001</w:t>
            </w:r>
          </w:p>
        </w:tc>
        <w:tc>
          <w:tcPr>
            <w:tcW w:w="2357" w:type="dxa"/>
            <w:vMerge w:val="restart"/>
          </w:tcPr>
          <w:p w14:paraId="2D89BB1C" w14:textId="659E3898" w:rsidR="005D4FCC" w:rsidRPr="00370A32" w:rsidRDefault="005D4FCC" w:rsidP="005D4FCC">
            <w:pPr>
              <w:spacing w:line="276" w:lineRule="auto"/>
              <w:rPr>
                <w:rFonts w:ascii="Arial" w:hAnsi="Arial" w:cs="Arial"/>
                <w:sz w:val="15"/>
                <w:szCs w:val="15"/>
              </w:rPr>
            </w:pPr>
            <w:r w:rsidRPr="00370A32">
              <w:rPr>
                <w:rFonts w:ascii="Arial" w:hAnsi="Arial" w:cs="Arial"/>
                <w:sz w:val="15"/>
                <w:szCs w:val="15"/>
                <w:lang w:val="en-US"/>
              </w:rPr>
              <w:fldChar w:fldCharType="begin"/>
            </w:r>
            <w:r w:rsidR="006A263E">
              <w:rPr>
                <w:rFonts w:ascii="Arial" w:hAnsi="Arial" w:cs="Arial"/>
                <w:sz w:val="15"/>
                <w:szCs w:val="15"/>
                <w:lang w:val="en-US"/>
              </w:rPr>
              <w:instrText xml:space="preserve"> ADDIN ZOTERO_ITEM CSL_CITATION {"citationID":"FXvFUHZ7","properties":{"formattedCitation":"(Verity et al., 2020; Zhang et al., 2020)","plainCitation":"(Verity et al., 2020; Zhang et al., 2020)","noteIndex":0},"citationItems":[{"id":106,"uris":["http://zotero.org/users/local/0pdZPGmr/items/TC6DZ35V","http://zotero.org/users/9596130/items/TC6DZ35V"],"itemData":{"id":106,"type":"article-journal","abstract":"The coronavirus 2019 (COVID-19) pandemic has brought tighter restrictions on the daily lives of millions of people, but we do not yet understand what measures are the most effective. Zhang et al. modeled virus transmission in Wuhan, China, in February 2020, investigating the effects of interventions ranging from patient management to social isolation. Age-mixing patterns were estimated by contact surveys conducted in Wuhan and Shanghai at the beginning of February 2020. Once people reduced their average daily contacts from 14 to 20 down to 2, transmission rapidly fell below the epidemic threshold. The model also showed that preemptive school closures helped to reduce transmission, although alone they would not prevent a COVID-19 outbreak. Limiting human mixing to within households appeared to be the most effective measure. Science, this issue p. 1481 Reducing social contacts on the scale achieved in Wuhan and Shanghai in early 2020 could be sufficient to bring a COVID-19 outbreak under control. Intense nonpharmaceutical interventions were put in place in China to stop transmission of the novel coronavirus disease 2019 (COVID-19). As transmission intensifies in other countries, the interplay between age, contact patterns, social distancing, susceptibility to infection, and COVID-19 dynamics remains unclear. To answer these questions, we analyze contact survey data for Wuhan and Shanghai before and during the outbreak and contact-tracing information from Hunan province. Daily contacts were reduced seven- to eightfold during the COVID-19 social distancing period, with most interactions restricted to the household. We find that children 0 to 14 years of age are less susceptible to severe acute respiratory syndrome coronavirus 2 (SARS-CoV-2) infection than adults 15 to 64 years of age (odds ratio 0.34, 95% confidence interval 0.24 to 0.49), whereas individuals more than 65 years of age are more susceptible to infection (odds ratio 1.47, 95% confidence interval 1.12 to 1.92). Based on these data, we built a transmission model to study the impact of social distancing and school closure on transmission. We find that social distancing alone, as implemented in China during the outbreak, is sufficient to control COVID-19. Although proactive school closures cannot interrupt transmission on their own, they can reduce peak incidence by 40 to 60% and delay the epidemic.","container-title":"Science","DOI":"10.1126/science.abb8001","issue":"6498","journalAbbreviation":"Science","note":"publisher: American Association for the Advancement of Science","page":"1481-1486","title":"Changes in contact patterns shape the dynamics of the COVID-19 outbreak in China","volume":"368","author":[{"family":"Zhang","given":"Juanjuan"},{"family":"Litvinova","given":"Maria"},{"family":"Liang","given":"Yuxia"},{"family":"Wang","given":"Yan"},{"family":"Wang","given":"Wei"},{"family":"Zhao","given":"Shanlu"},{"family":"Wu","given":"Qianhui"},{"family":"Merler","given":"Stefano"},{"family":"Viboud","given":"Cécile"},{"family":"Vespignani","given":"Alessandro"},{"family":"Ajelli","given":"Marco"},{"family":"Yu","given":"Hongjie"}],"issued":{"date-parts":[["2020",6,26]]}}},{"id":193,"uris":["http://zotero.org/users/local/0pdZPGmr/items/PTFSEJUA","http://zotero.org/users/9596130/items/PTFSEJUA"],"itemData":{"id":193,"type":"article-journal","container-title":"The Lancet Infectious Diseases","DOI":"10.1016/S1473-3099(20)30243-7","ISSN":"1473-3099","issue":"6","note":"publisher: Elsevier","page":"669-677","title":"Estimates of the severity of coronavirus disease 2019: a model-based analysis","volume":"20","author":[{"family":"Verity","given":"Robert"},{"family":"Okell","given":"Lucy C"},{"family":"Dorigatti","given":"Ilaria"},{"family":"Winskill","given":"Peter"},{"family":"Whittaker","given":"Charles"},{"family":"Imai","given":"Natsuko"},{"family":"Cuomo-Dannenburg","given":"Gina"},{"family":"Thompson","given":"Hayley"},{"family":"Walker","given":"Patrick G T"},{"family":"Fu","given":"Han"},{"family":"Dighe","given":"Amy"},{"family":"Griffin","given":"Jamie T"},{"family":"Baguelin","given":"Marc"},{"family":"Bhatia","given":"Sangeeta"},{"family":"Boonyasiri","given":"Adhiratha"},{"family":"Cori","given":"Anne"},{"family":"Cucunubá","given":"Zulma"},{"family":"FitzJohn","given":"Rich"},{"family":"Gaythorpe","given":"Katy"},{"family":"Green","given":"Will"},{"family":"Hamlet","given":"Arran"},{"family":"Hinsley","given":"Wes"},{"family":"Laydon","given":"Daniel"},{"family":"Nedjati-Gilani","given":"Gemma"},{"family":"Riley","given":"Steven"},{"family":"Elsland","given":"Sabine","non-dropping-particle":"van"},{"family":"Volz","given":"Erik"},{"family":"Wang","given":"Haowei"},{"family":"Wang","given":"Yuanrong"},{"family":"Xi","given":"Xiaoyue"},{"family":"Donnelly","given":"Christl A"},{"family":"Ghani","given":"Azra C"},{"family":"Ferguson","given":"Neil M"}],"issued":{"date-parts":[["2020",6,1]]}}}],"schema":"https://github.com/citation-style-language/schema/raw/master/csl-citation.json"} </w:instrText>
            </w:r>
            <w:r w:rsidRPr="00370A32">
              <w:rPr>
                <w:rFonts w:ascii="Arial" w:hAnsi="Arial" w:cs="Arial"/>
                <w:sz w:val="15"/>
                <w:szCs w:val="15"/>
                <w:lang w:val="en-US"/>
              </w:rPr>
              <w:fldChar w:fldCharType="separate"/>
            </w:r>
            <w:r w:rsidR="006A263E">
              <w:rPr>
                <w:rFonts w:ascii="Arial" w:hAnsi="Arial" w:cs="Arial"/>
                <w:sz w:val="15"/>
                <w:lang w:val="en-US"/>
              </w:rPr>
              <w:t>(Verity et al., 2020; Zhang et al., 2020)</w:t>
            </w:r>
            <w:r w:rsidRPr="00370A32">
              <w:rPr>
                <w:rFonts w:ascii="Arial" w:hAnsi="Arial" w:cs="Arial"/>
                <w:sz w:val="15"/>
                <w:szCs w:val="15"/>
                <w:lang w:val="en-US"/>
              </w:rPr>
              <w:fldChar w:fldCharType="end"/>
            </w:r>
          </w:p>
        </w:tc>
      </w:tr>
      <w:tr w:rsidR="005D4FCC" w:rsidRPr="00370A32" w14:paraId="478812EE" w14:textId="77777777" w:rsidTr="008E4248">
        <w:tc>
          <w:tcPr>
            <w:tcW w:w="4061" w:type="dxa"/>
          </w:tcPr>
          <w:p w14:paraId="6B0EACB8"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COVID-19, 10-19 years</w:t>
            </w:r>
          </w:p>
        </w:tc>
        <w:tc>
          <w:tcPr>
            <w:tcW w:w="2602" w:type="dxa"/>
            <w:vAlign w:val="bottom"/>
          </w:tcPr>
          <w:p w14:paraId="2D050455" w14:textId="77777777" w:rsidR="005D4FCC" w:rsidRPr="00370A32" w:rsidRDefault="005D4FCC" w:rsidP="005D4FCC">
            <w:pPr>
              <w:spacing w:line="276" w:lineRule="auto"/>
              <w:rPr>
                <w:rFonts w:ascii="Arial" w:hAnsi="Arial" w:cs="Arial"/>
                <w:sz w:val="15"/>
                <w:szCs w:val="15"/>
              </w:rPr>
            </w:pPr>
            <w:r w:rsidRPr="00370A32">
              <w:rPr>
                <w:rFonts w:ascii="Arial" w:hAnsi="Arial" w:cs="Arial"/>
                <w:color w:val="000000"/>
                <w:sz w:val="15"/>
                <w:szCs w:val="15"/>
              </w:rPr>
              <w:t>0.003</w:t>
            </w:r>
          </w:p>
        </w:tc>
        <w:tc>
          <w:tcPr>
            <w:tcW w:w="2357" w:type="dxa"/>
            <w:vMerge/>
          </w:tcPr>
          <w:p w14:paraId="34840387" w14:textId="77777777" w:rsidR="005D4FCC" w:rsidRPr="00370A32" w:rsidRDefault="005D4FCC" w:rsidP="005D4FCC">
            <w:pPr>
              <w:spacing w:line="276" w:lineRule="auto"/>
              <w:rPr>
                <w:rFonts w:ascii="Arial" w:hAnsi="Arial" w:cs="Arial"/>
                <w:sz w:val="15"/>
                <w:szCs w:val="15"/>
              </w:rPr>
            </w:pPr>
          </w:p>
        </w:tc>
      </w:tr>
      <w:tr w:rsidR="005D4FCC" w:rsidRPr="00370A32" w14:paraId="4E2FEA54" w14:textId="77777777" w:rsidTr="008E4248">
        <w:tc>
          <w:tcPr>
            <w:tcW w:w="4061" w:type="dxa"/>
          </w:tcPr>
          <w:p w14:paraId="4A4B19D7"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COVID-19, 20-29 years</w:t>
            </w:r>
          </w:p>
        </w:tc>
        <w:tc>
          <w:tcPr>
            <w:tcW w:w="2602" w:type="dxa"/>
            <w:vAlign w:val="bottom"/>
          </w:tcPr>
          <w:p w14:paraId="3E2B1DBB" w14:textId="77777777" w:rsidR="005D4FCC" w:rsidRPr="00370A32" w:rsidRDefault="005D4FCC" w:rsidP="005D4FCC">
            <w:pPr>
              <w:spacing w:line="276" w:lineRule="auto"/>
              <w:rPr>
                <w:rFonts w:ascii="Arial" w:hAnsi="Arial" w:cs="Arial"/>
                <w:sz w:val="15"/>
                <w:szCs w:val="15"/>
              </w:rPr>
            </w:pPr>
            <w:r w:rsidRPr="00370A32">
              <w:rPr>
                <w:rFonts w:ascii="Arial" w:hAnsi="Arial" w:cs="Arial"/>
                <w:color w:val="000000"/>
                <w:sz w:val="15"/>
                <w:szCs w:val="15"/>
              </w:rPr>
              <w:t>0.012</w:t>
            </w:r>
          </w:p>
        </w:tc>
        <w:tc>
          <w:tcPr>
            <w:tcW w:w="2357" w:type="dxa"/>
            <w:vMerge/>
          </w:tcPr>
          <w:p w14:paraId="1720537F" w14:textId="77777777" w:rsidR="005D4FCC" w:rsidRPr="00370A32" w:rsidRDefault="005D4FCC" w:rsidP="005D4FCC">
            <w:pPr>
              <w:spacing w:line="276" w:lineRule="auto"/>
              <w:rPr>
                <w:rFonts w:ascii="Arial" w:hAnsi="Arial" w:cs="Arial"/>
                <w:sz w:val="15"/>
                <w:szCs w:val="15"/>
              </w:rPr>
            </w:pPr>
          </w:p>
        </w:tc>
      </w:tr>
      <w:tr w:rsidR="005D4FCC" w:rsidRPr="00370A32" w14:paraId="3E7022E1" w14:textId="77777777" w:rsidTr="008E4248">
        <w:tc>
          <w:tcPr>
            <w:tcW w:w="4061" w:type="dxa"/>
          </w:tcPr>
          <w:p w14:paraId="1F3D8564"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lastRenderedPageBreak/>
              <w:t>COVID-19, 30-39 years</w:t>
            </w:r>
          </w:p>
        </w:tc>
        <w:tc>
          <w:tcPr>
            <w:tcW w:w="2602" w:type="dxa"/>
            <w:vAlign w:val="bottom"/>
          </w:tcPr>
          <w:p w14:paraId="1632FDE2" w14:textId="77777777" w:rsidR="005D4FCC" w:rsidRPr="00370A32" w:rsidRDefault="005D4FCC" w:rsidP="005D4FCC">
            <w:pPr>
              <w:spacing w:line="276" w:lineRule="auto"/>
              <w:rPr>
                <w:rFonts w:ascii="Arial" w:hAnsi="Arial" w:cs="Arial"/>
                <w:sz w:val="15"/>
                <w:szCs w:val="15"/>
              </w:rPr>
            </w:pPr>
            <w:r w:rsidRPr="00370A32">
              <w:rPr>
                <w:rFonts w:ascii="Arial" w:hAnsi="Arial" w:cs="Arial"/>
                <w:color w:val="000000"/>
                <w:sz w:val="15"/>
                <w:szCs w:val="15"/>
              </w:rPr>
              <w:t>0.032</w:t>
            </w:r>
          </w:p>
        </w:tc>
        <w:tc>
          <w:tcPr>
            <w:tcW w:w="2357" w:type="dxa"/>
            <w:vMerge/>
          </w:tcPr>
          <w:p w14:paraId="3D42958D" w14:textId="77777777" w:rsidR="005D4FCC" w:rsidRPr="00370A32" w:rsidRDefault="005D4FCC" w:rsidP="005D4FCC">
            <w:pPr>
              <w:spacing w:line="276" w:lineRule="auto"/>
              <w:rPr>
                <w:rFonts w:ascii="Arial" w:hAnsi="Arial" w:cs="Arial"/>
                <w:sz w:val="15"/>
                <w:szCs w:val="15"/>
              </w:rPr>
            </w:pPr>
          </w:p>
        </w:tc>
      </w:tr>
      <w:tr w:rsidR="005D4FCC" w:rsidRPr="00370A32" w14:paraId="1A523657" w14:textId="77777777" w:rsidTr="008E4248">
        <w:tc>
          <w:tcPr>
            <w:tcW w:w="4061" w:type="dxa"/>
          </w:tcPr>
          <w:p w14:paraId="6EF6F7B7"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COVID-19, 40-49 years</w:t>
            </w:r>
          </w:p>
        </w:tc>
        <w:tc>
          <w:tcPr>
            <w:tcW w:w="2602" w:type="dxa"/>
            <w:vAlign w:val="bottom"/>
          </w:tcPr>
          <w:p w14:paraId="138A097D" w14:textId="77777777" w:rsidR="005D4FCC" w:rsidRPr="00370A32" w:rsidRDefault="005D4FCC" w:rsidP="005D4FCC">
            <w:pPr>
              <w:spacing w:line="276" w:lineRule="auto"/>
              <w:rPr>
                <w:rFonts w:ascii="Arial" w:hAnsi="Arial" w:cs="Arial"/>
                <w:sz w:val="15"/>
                <w:szCs w:val="15"/>
              </w:rPr>
            </w:pPr>
            <w:r w:rsidRPr="00370A32">
              <w:rPr>
                <w:rFonts w:ascii="Arial" w:hAnsi="Arial" w:cs="Arial"/>
                <w:color w:val="000000"/>
                <w:sz w:val="15"/>
                <w:szCs w:val="15"/>
              </w:rPr>
              <w:t>0.049</w:t>
            </w:r>
          </w:p>
        </w:tc>
        <w:tc>
          <w:tcPr>
            <w:tcW w:w="2357" w:type="dxa"/>
            <w:vMerge/>
          </w:tcPr>
          <w:p w14:paraId="319ACA5E" w14:textId="77777777" w:rsidR="005D4FCC" w:rsidRPr="00370A32" w:rsidRDefault="005D4FCC" w:rsidP="005D4FCC">
            <w:pPr>
              <w:spacing w:line="276" w:lineRule="auto"/>
              <w:rPr>
                <w:rFonts w:ascii="Arial" w:hAnsi="Arial" w:cs="Arial"/>
                <w:sz w:val="15"/>
                <w:szCs w:val="15"/>
              </w:rPr>
            </w:pPr>
          </w:p>
        </w:tc>
      </w:tr>
      <w:tr w:rsidR="005D4FCC" w:rsidRPr="00370A32" w14:paraId="24CF9A2B" w14:textId="77777777" w:rsidTr="008E4248">
        <w:tc>
          <w:tcPr>
            <w:tcW w:w="4061" w:type="dxa"/>
          </w:tcPr>
          <w:p w14:paraId="5EFB784D"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COVID-19, 50-59 years</w:t>
            </w:r>
          </w:p>
        </w:tc>
        <w:tc>
          <w:tcPr>
            <w:tcW w:w="2602" w:type="dxa"/>
            <w:vAlign w:val="bottom"/>
          </w:tcPr>
          <w:p w14:paraId="704313DC" w14:textId="77777777" w:rsidR="005D4FCC" w:rsidRPr="00370A32" w:rsidRDefault="005D4FCC" w:rsidP="005D4FCC">
            <w:pPr>
              <w:spacing w:line="276" w:lineRule="auto"/>
              <w:rPr>
                <w:rFonts w:ascii="Arial" w:hAnsi="Arial" w:cs="Arial"/>
                <w:sz w:val="15"/>
                <w:szCs w:val="15"/>
              </w:rPr>
            </w:pPr>
            <w:r w:rsidRPr="00370A32">
              <w:rPr>
                <w:rFonts w:ascii="Arial" w:hAnsi="Arial" w:cs="Arial"/>
                <w:color w:val="000000"/>
                <w:sz w:val="15"/>
                <w:szCs w:val="15"/>
              </w:rPr>
              <w:t>0.102</w:t>
            </w:r>
          </w:p>
        </w:tc>
        <w:tc>
          <w:tcPr>
            <w:tcW w:w="2357" w:type="dxa"/>
            <w:vMerge/>
          </w:tcPr>
          <w:p w14:paraId="585DE2B8" w14:textId="77777777" w:rsidR="005D4FCC" w:rsidRPr="00370A32" w:rsidRDefault="005D4FCC" w:rsidP="005D4FCC">
            <w:pPr>
              <w:spacing w:line="276" w:lineRule="auto"/>
              <w:rPr>
                <w:rFonts w:ascii="Arial" w:hAnsi="Arial" w:cs="Arial"/>
                <w:sz w:val="15"/>
                <w:szCs w:val="15"/>
              </w:rPr>
            </w:pPr>
          </w:p>
        </w:tc>
      </w:tr>
      <w:tr w:rsidR="005D4FCC" w:rsidRPr="00370A32" w14:paraId="7DAC6881" w14:textId="77777777" w:rsidTr="008E4248">
        <w:tc>
          <w:tcPr>
            <w:tcW w:w="4061" w:type="dxa"/>
          </w:tcPr>
          <w:p w14:paraId="4B5A179F"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COVID-19, 60-69 years</w:t>
            </w:r>
          </w:p>
        </w:tc>
        <w:tc>
          <w:tcPr>
            <w:tcW w:w="2602" w:type="dxa"/>
            <w:vAlign w:val="bottom"/>
          </w:tcPr>
          <w:p w14:paraId="5A490AD9" w14:textId="77777777" w:rsidR="005D4FCC" w:rsidRPr="00370A32" w:rsidRDefault="005D4FCC" w:rsidP="005D4FCC">
            <w:pPr>
              <w:spacing w:line="276" w:lineRule="auto"/>
              <w:rPr>
                <w:rFonts w:ascii="Arial" w:hAnsi="Arial" w:cs="Arial"/>
                <w:sz w:val="15"/>
                <w:szCs w:val="15"/>
              </w:rPr>
            </w:pPr>
            <w:r w:rsidRPr="00370A32">
              <w:rPr>
                <w:rFonts w:ascii="Arial" w:hAnsi="Arial" w:cs="Arial"/>
                <w:color w:val="000000"/>
                <w:sz w:val="15"/>
                <w:szCs w:val="15"/>
              </w:rPr>
              <w:t>0.166</w:t>
            </w:r>
          </w:p>
        </w:tc>
        <w:tc>
          <w:tcPr>
            <w:tcW w:w="2357" w:type="dxa"/>
            <w:vMerge/>
          </w:tcPr>
          <w:p w14:paraId="3F3209BD" w14:textId="77777777" w:rsidR="005D4FCC" w:rsidRPr="00370A32" w:rsidRDefault="005D4FCC" w:rsidP="005D4FCC">
            <w:pPr>
              <w:spacing w:line="276" w:lineRule="auto"/>
              <w:rPr>
                <w:rFonts w:ascii="Arial" w:hAnsi="Arial" w:cs="Arial"/>
                <w:sz w:val="15"/>
                <w:szCs w:val="15"/>
              </w:rPr>
            </w:pPr>
          </w:p>
        </w:tc>
      </w:tr>
      <w:tr w:rsidR="005D4FCC" w:rsidRPr="00370A32" w14:paraId="4CEF57B3" w14:textId="77777777" w:rsidTr="008E4248">
        <w:tc>
          <w:tcPr>
            <w:tcW w:w="4061" w:type="dxa"/>
          </w:tcPr>
          <w:p w14:paraId="5A321CB1"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COVID-19, 70-79 years</w:t>
            </w:r>
          </w:p>
        </w:tc>
        <w:tc>
          <w:tcPr>
            <w:tcW w:w="2602" w:type="dxa"/>
            <w:vAlign w:val="bottom"/>
          </w:tcPr>
          <w:p w14:paraId="4F8387A5" w14:textId="77777777" w:rsidR="005D4FCC" w:rsidRPr="00370A32" w:rsidRDefault="005D4FCC" w:rsidP="005D4FCC">
            <w:pPr>
              <w:spacing w:line="276" w:lineRule="auto"/>
              <w:rPr>
                <w:rFonts w:ascii="Arial" w:hAnsi="Arial" w:cs="Arial"/>
                <w:sz w:val="15"/>
                <w:szCs w:val="15"/>
              </w:rPr>
            </w:pPr>
            <w:r w:rsidRPr="00370A32">
              <w:rPr>
                <w:rFonts w:ascii="Arial" w:hAnsi="Arial" w:cs="Arial"/>
                <w:color w:val="000000"/>
                <w:sz w:val="15"/>
                <w:szCs w:val="15"/>
              </w:rPr>
              <w:t>0.243</w:t>
            </w:r>
          </w:p>
        </w:tc>
        <w:tc>
          <w:tcPr>
            <w:tcW w:w="2357" w:type="dxa"/>
            <w:vMerge/>
          </w:tcPr>
          <w:p w14:paraId="03F79A83" w14:textId="77777777" w:rsidR="005D4FCC" w:rsidRPr="00370A32" w:rsidRDefault="005D4FCC" w:rsidP="005D4FCC">
            <w:pPr>
              <w:spacing w:line="276" w:lineRule="auto"/>
              <w:rPr>
                <w:rFonts w:ascii="Arial" w:hAnsi="Arial" w:cs="Arial"/>
                <w:sz w:val="15"/>
                <w:szCs w:val="15"/>
              </w:rPr>
            </w:pPr>
          </w:p>
        </w:tc>
      </w:tr>
      <w:tr w:rsidR="005D4FCC" w:rsidRPr="00370A32" w14:paraId="775FEE7E" w14:textId="77777777" w:rsidTr="008E4248">
        <w:tc>
          <w:tcPr>
            <w:tcW w:w="4061" w:type="dxa"/>
            <w:tcBorders>
              <w:bottom w:val="single" w:sz="4" w:space="0" w:color="auto"/>
            </w:tcBorders>
          </w:tcPr>
          <w:p w14:paraId="15044C24"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COVID-19, 80-99 years</w:t>
            </w:r>
          </w:p>
        </w:tc>
        <w:tc>
          <w:tcPr>
            <w:tcW w:w="2602" w:type="dxa"/>
            <w:tcBorders>
              <w:bottom w:val="single" w:sz="4" w:space="0" w:color="auto"/>
            </w:tcBorders>
            <w:vAlign w:val="bottom"/>
          </w:tcPr>
          <w:p w14:paraId="60E9B9F2" w14:textId="77777777" w:rsidR="005D4FCC" w:rsidRPr="00370A32" w:rsidRDefault="005D4FCC" w:rsidP="005D4FCC">
            <w:pPr>
              <w:spacing w:line="276" w:lineRule="auto"/>
              <w:rPr>
                <w:rFonts w:ascii="Arial" w:hAnsi="Arial" w:cs="Arial"/>
                <w:sz w:val="15"/>
                <w:szCs w:val="15"/>
              </w:rPr>
            </w:pPr>
            <w:r w:rsidRPr="00370A32">
              <w:rPr>
                <w:rFonts w:ascii="Arial" w:hAnsi="Arial" w:cs="Arial"/>
                <w:color w:val="000000"/>
                <w:sz w:val="15"/>
                <w:szCs w:val="15"/>
              </w:rPr>
              <w:t>0.273</w:t>
            </w:r>
          </w:p>
        </w:tc>
        <w:tc>
          <w:tcPr>
            <w:tcW w:w="2357" w:type="dxa"/>
            <w:vMerge/>
            <w:tcBorders>
              <w:bottom w:val="single" w:sz="4" w:space="0" w:color="auto"/>
            </w:tcBorders>
          </w:tcPr>
          <w:p w14:paraId="018F73F3" w14:textId="77777777" w:rsidR="005D4FCC" w:rsidRPr="00370A32" w:rsidRDefault="005D4FCC" w:rsidP="005D4FCC">
            <w:pPr>
              <w:spacing w:line="276" w:lineRule="auto"/>
              <w:rPr>
                <w:rFonts w:ascii="Arial" w:hAnsi="Arial" w:cs="Arial"/>
                <w:sz w:val="15"/>
                <w:szCs w:val="15"/>
                <w:lang w:val="en-US"/>
              </w:rPr>
            </w:pPr>
          </w:p>
        </w:tc>
      </w:tr>
      <w:tr w:rsidR="005D4FCC" w:rsidRPr="00370A32" w14:paraId="6F50C865" w14:textId="77777777" w:rsidTr="008E4248">
        <w:tc>
          <w:tcPr>
            <w:tcW w:w="4061" w:type="dxa"/>
            <w:tcBorders>
              <w:top w:val="single" w:sz="4" w:space="0" w:color="auto"/>
              <w:bottom w:val="single" w:sz="4" w:space="0" w:color="auto"/>
            </w:tcBorders>
          </w:tcPr>
          <w:p w14:paraId="364D40FA" w14:textId="77777777" w:rsidR="005D4FCC" w:rsidRPr="00370A32" w:rsidRDefault="005D4FCC" w:rsidP="005D4FCC">
            <w:pPr>
              <w:spacing w:line="276" w:lineRule="auto"/>
              <w:rPr>
                <w:rFonts w:ascii="Arial" w:hAnsi="Arial" w:cs="Arial"/>
                <w:i/>
                <w:sz w:val="15"/>
                <w:szCs w:val="15"/>
              </w:rPr>
            </w:pPr>
            <w:r w:rsidRPr="00370A32">
              <w:rPr>
                <w:rFonts w:ascii="Arial" w:hAnsi="Arial" w:cs="Arial"/>
                <w:i/>
                <w:sz w:val="15"/>
                <w:szCs w:val="15"/>
              </w:rPr>
              <w:t>Basic reproduction number (</w:t>
            </w:r>
            <m:oMath>
              <m:sSub>
                <m:sSubPr>
                  <m:ctrlPr>
                    <w:rPr>
                      <w:rFonts w:ascii="Cambria Math" w:hAnsi="Cambria Math" w:cs="Arial"/>
                      <w:i/>
                      <w:sz w:val="15"/>
                      <w:szCs w:val="15"/>
                    </w:rPr>
                  </m:ctrlPr>
                </m:sSubPr>
                <m:e>
                  <m:r>
                    <w:rPr>
                      <w:rFonts w:ascii="Cambria Math" w:hAnsi="Cambria Math" w:cs="Arial"/>
                      <w:sz w:val="15"/>
                      <w:szCs w:val="15"/>
                    </w:rPr>
                    <m:t>R</m:t>
                  </m:r>
                </m:e>
                <m:sub>
                  <m:r>
                    <w:rPr>
                      <w:rFonts w:ascii="Cambria Math" w:hAnsi="Cambria Math" w:cs="Arial"/>
                      <w:sz w:val="15"/>
                      <w:szCs w:val="15"/>
                    </w:rPr>
                    <m:t>0</m:t>
                  </m:r>
                </m:sub>
              </m:sSub>
            </m:oMath>
            <w:r w:rsidRPr="00370A32">
              <w:rPr>
                <w:rFonts w:ascii="Arial" w:hAnsi="Arial" w:cs="Arial"/>
                <w:i/>
                <w:sz w:val="15"/>
                <w:szCs w:val="15"/>
              </w:rPr>
              <w:t>)</w:t>
            </w:r>
          </w:p>
        </w:tc>
        <w:tc>
          <w:tcPr>
            <w:tcW w:w="2602" w:type="dxa"/>
            <w:tcBorders>
              <w:top w:val="single" w:sz="4" w:space="0" w:color="auto"/>
              <w:bottom w:val="single" w:sz="4" w:space="0" w:color="auto"/>
            </w:tcBorders>
          </w:tcPr>
          <w:p w14:paraId="4CC276BC" w14:textId="77777777" w:rsidR="005D4FCC" w:rsidRPr="00370A32" w:rsidRDefault="005D4FCC" w:rsidP="005D4FCC">
            <w:pPr>
              <w:spacing w:line="276" w:lineRule="auto"/>
              <w:rPr>
                <w:rFonts w:ascii="Arial" w:hAnsi="Arial" w:cs="Arial"/>
                <w:i/>
                <w:sz w:val="15"/>
                <w:szCs w:val="15"/>
              </w:rPr>
            </w:pPr>
          </w:p>
        </w:tc>
        <w:tc>
          <w:tcPr>
            <w:tcW w:w="2357" w:type="dxa"/>
            <w:tcBorders>
              <w:top w:val="single" w:sz="4" w:space="0" w:color="auto"/>
              <w:bottom w:val="single" w:sz="4" w:space="0" w:color="auto"/>
            </w:tcBorders>
          </w:tcPr>
          <w:p w14:paraId="5B51E1D0" w14:textId="77777777" w:rsidR="005D4FCC" w:rsidRPr="00370A32" w:rsidRDefault="005D4FCC" w:rsidP="005D4FCC">
            <w:pPr>
              <w:spacing w:line="276" w:lineRule="auto"/>
              <w:rPr>
                <w:rFonts w:ascii="Arial" w:hAnsi="Arial" w:cs="Arial"/>
                <w:i/>
                <w:sz w:val="15"/>
                <w:szCs w:val="15"/>
                <w:lang w:val="en-US"/>
              </w:rPr>
            </w:pPr>
          </w:p>
        </w:tc>
      </w:tr>
      <w:tr w:rsidR="005D4FCC" w:rsidRPr="00370A32" w14:paraId="16AA9717" w14:textId="77777777" w:rsidTr="008E4248">
        <w:tc>
          <w:tcPr>
            <w:tcW w:w="4061" w:type="dxa"/>
            <w:tcBorders>
              <w:top w:val="single" w:sz="4" w:space="0" w:color="auto"/>
            </w:tcBorders>
          </w:tcPr>
          <w:p w14:paraId="0924B0BF"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1918 A/H1N1</w:t>
            </w:r>
          </w:p>
        </w:tc>
        <w:tc>
          <w:tcPr>
            <w:tcW w:w="2602" w:type="dxa"/>
            <w:tcBorders>
              <w:top w:val="single" w:sz="4" w:space="0" w:color="auto"/>
            </w:tcBorders>
          </w:tcPr>
          <w:p w14:paraId="5F9D5225"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2.0</w:t>
            </w:r>
          </w:p>
        </w:tc>
        <w:tc>
          <w:tcPr>
            <w:tcW w:w="2357" w:type="dxa"/>
            <w:vMerge w:val="restart"/>
            <w:tcBorders>
              <w:top w:val="single" w:sz="4" w:space="0" w:color="auto"/>
            </w:tcBorders>
          </w:tcPr>
          <w:p w14:paraId="31654F93" w14:textId="31EB01B8" w:rsidR="005D4FCC" w:rsidRPr="00370A32" w:rsidRDefault="005D4FCC" w:rsidP="005D4FCC">
            <w:pPr>
              <w:spacing w:line="276" w:lineRule="auto"/>
              <w:rPr>
                <w:rFonts w:ascii="Arial" w:hAnsi="Arial" w:cs="Arial"/>
                <w:sz w:val="15"/>
                <w:szCs w:val="15"/>
                <w:lang w:val="en-US"/>
              </w:rPr>
            </w:pPr>
            <w:r w:rsidRPr="00370A32">
              <w:rPr>
                <w:rFonts w:ascii="Arial" w:hAnsi="Arial" w:cs="Arial"/>
                <w:sz w:val="15"/>
                <w:szCs w:val="15"/>
                <w:lang w:val="en-US"/>
              </w:rPr>
              <w:fldChar w:fldCharType="begin"/>
            </w:r>
            <w:r w:rsidR="006A263E">
              <w:rPr>
                <w:rFonts w:ascii="Arial" w:hAnsi="Arial" w:cs="Arial"/>
                <w:sz w:val="15"/>
                <w:szCs w:val="15"/>
                <w:lang w:val="en-US"/>
              </w:rPr>
              <w:instrText xml:space="preserve"> ADDIN ZOTERO_ITEM CSL_CITATION {"citationID":"RNnYIhD5","properties":{"formattedCitation":"(Biggerstaff et al., 2014)","plainCitation":"(Biggerstaff et al., 2014)","noteIndex":0},"citationItems":[{"id":199,"uris":["http://zotero.org/users/local/0pdZPGmr/items/MGCU7AUS","http://zotero.org/users/9596130/items/MGCU7AUS"],"itemData":{"id":199,"type":"article-journal","abstract":"The potential impact of an influenza pandemic can be assessed by calculating a set of transmissibility parameters, the most important being the reproduction number (R), which is defined as the average number of secondary cases generated per typical infectious case.","container-title":"BMC Infectious Diseases","DOI":"10.1186/1471-2334-14-480","ISSN":"1471-2334","issue":"1","journalAbbreviation":"BMC Infectious Diseases","page":"480","title":"Estimates of the reproduction number for seasonal, pandemic, and zoonotic influenza: a systematic review of the literature","volume":"14","author":[{"family":"Biggerstaff","given":"Matthew"},{"family":"Cauchemez","given":"Simon"},{"family":"Reed","given":"Carrie"},{"family":"Gambhir","given":"Manoj"},{"family":"Finelli","given":"Lyn"}],"issued":{"date-parts":[["2014",9,4]]}}}],"schema":"https://github.com/citation-style-language/schema/raw/master/csl-citation.json"} </w:instrText>
            </w:r>
            <w:r w:rsidRPr="00370A32">
              <w:rPr>
                <w:rFonts w:ascii="Arial" w:hAnsi="Arial" w:cs="Arial"/>
                <w:sz w:val="15"/>
                <w:szCs w:val="15"/>
                <w:lang w:val="en-US"/>
              </w:rPr>
              <w:fldChar w:fldCharType="separate"/>
            </w:r>
            <w:r w:rsidR="006A263E">
              <w:rPr>
                <w:rFonts w:ascii="Arial" w:hAnsi="Arial" w:cs="Arial"/>
                <w:sz w:val="15"/>
                <w:lang w:val="en-US"/>
              </w:rPr>
              <w:t>(Biggerstaff et al., 2014)</w:t>
            </w:r>
            <w:r w:rsidRPr="00370A32">
              <w:rPr>
                <w:rFonts w:ascii="Arial" w:hAnsi="Arial" w:cs="Arial"/>
                <w:sz w:val="15"/>
                <w:szCs w:val="15"/>
                <w:lang w:val="en-US"/>
              </w:rPr>
              <w:fldChar w:fldCharType="end"/>
            </w:r>
          </w:p>
        </w:tc>
      </w:tr>
      <w:tr w:rsidR="005D4FCC" w:rsidRPr="00370A32" w14:paraId="35DC3F56" w14:textId="77777777" w:rsidTr="008E4248">
        <w:tc>
          <w:tcPr>
            <w:tcW w:w="4061" w:type="dxa"/>
          </w:tcPr>
          <w:p w14:paraId="29731B48"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1968 A/H3N2</w:t>
            </w:r>
          </w:p>
        </w:tc>
        <w:tc>
          <w:tcPr>
            <w:tcW w:w="2602" w:type="dxa"/>
          </w:tcPr>
          <w:p w14:paraId="3FEA6F66"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1.8</w:t>
            </w:r>
          </w:p>
        </w:tc>
        <w:tc>
          <w:tcPr>
            <w:tcW w:w="2357" w:type="dxa"/>
            <w:vMerge/>
          </w:tcPr>
          <w:p w14:paraId="1FC07885" w14:textId="77777777" w:rsidR="005D4FCC" w:rsidRPr="00370A32" w:rsidRDefault="005D4FCC" w:rsidP="005D4FCC">
            <w:pPr>
              <w:spacing w:line="276" w:lineRule="auto"/>
              <w:rPr>
                <w:rFonts w:ascii="Arial" w:hAnsi="Arial" w:cs="Arial"/>
                <w:sz w:val="15"/>
                <w:szCs w:val="15"/>
                <w:lang w:val="en-US"/>
              </w:rPr>
            </w:pPr>
          </w:p>
        </w:tc>
      </w:tr>
      <w:tr w:rsidR="005D4FCC" w:rsidRPr="00370A32" w14:paraId="45BE6BBC" w14:textId="77777777" w:rsidTr="008E4248">
        <w:tc>
          <w:tcPr>
            <w:tcW w:w="4061" w:type="dxa"/>
          </w:tcPr>
          <w:p w14:paraId="5D76A8D9"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2009 A/H1N1</w:t>
            </w:r>
          </w:p>
        </w:tc>
        <w:tc>
          <w:tcPr>
            <w:tcW w:w="2602" w:type="dxa"/>
          </w:tcPr>
          <w:p w14:paraId="2C38682C"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1.5</w:t>
            </w:r>
          </w:p>
        </w:tc>
        <w:tc>
          <w:tcPr>
            <w:tcW w:w="2357" w:type="dxa"/>
            <w:vMerge/>
          </w:tcPr>
          <w:p w14:paraId="0B012393" w14:textId="77777777" w:rsidR="005D4FCC" w:rsidRPr="00370A32" w:rsidRDefault="005D4FCC" w:rsidP="005D4FCC">
            <w:pPr>
              <w:spacing w:line="276" w:lineRule="auto"/>
              <w:rPr>
                <w:rFonts w:ascii="Arial" w:hAnsi="Arial" w:cs="Arial"/>
                <w:sz w:val="15"/>
                <w:szCs w:val="15"/>
                <w:lang w:val="en-US"/>
              </w:rPr>
            </w:pPr>
          </w:p>
        </w:tc>
      </w:tr>
      <w:tr w:rsidR="005D4FCC" w:rsidRPr="00370A32" w14:paraId="55BBD221" w14:textId="77777777" w:rsidTr="008E4248">
        <w:tc>
          <w:tcPr>
            <w:tcW w:w="4061" w:type="dxa"/>
          </w:tcPr>
          <w:p w14:paraId="3537E104"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COVID-19</w:t>
            </w:r>
          </w:p>
        </w:tc>
        <w:tc>
          <w:tcPr>
            <w:tcW w:w="2602" w:type="dxa"/>
          </w:tcPr>
          <w:p w14:paraId="3BC02880"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3.0</w:t>
            </w:r>
          </w:p>
        </w:tc>
        <w:tc>
          <w:tcPr>
            <w:tcW w:w="2357" w:type="dxa"/>
          </w:tcPr>
          <w:p w14:paraId="55DE8C5E" w14:textId="0B369896" w:rsidR="005D4FCC" w:rsidRPr="00370A32" w:rsidRDefault="005D4FCC" w:rsidP="005D4FCC">
            <w:pPr>
              <w:spacing w:line="276" w:lineRule="auto"/>
              <w:rPr>
                <w:rFonts w:ascii="Arial" w:hAnsi="Arial" w:cs="Arial"/>
                <w:sz w:val="15"/>
                <w:szCs w:val="15"/>
                <w:lang w:val="en-US"/>
              </w:rPr>
            </w:pPr>
            <w:r w:rsidRPr="00370A32">
              <w:rPr>
                <w:rFonts w:ascii="Arial" w:hAnsi="Arial" w:cs="Arial"/>
                <w:sz w:val="15"/>
                <w:szCs w:val="15"/>
                <w:lang w:val="en-US"/>
              </w:rPr>
              <w:fldChar w:fldCharType="begin"/>
            </w:r>
            <w:r w:rsidR="006A263E">
              <w:rPr>
                <w:rFonts w:ascii="Arial" w:hAnsi="Arial" w:cs="Arial"/>
                <w:sz w:val="15"/>
                <w:szCs w:val="15"/>
                <w:lang w:val="en-US"/>
              </w:rPr>
              <w:instrText xml:space="preserve"> ADDIN ZOTERO_ITEM CSL_CITATION {"citationID":"kkAWAb0K","properties":{"formattedCitation":"(Zhao et al., 2020)","plainCitation":"(Zhao et al., 2020)","noteIndex":0},"citationItems":[{"id":200,"uris":["http://zotero.org/users/local/0pdZPGmr/items/ZPSRUEM6","http://zotero.org/users/9596130/items/ZPSRUEM6"],"itemData":{"id":200,"type":"article-journal","abstract":"Backgrounds\nAn ongoing outbreak of a novel coronavirus (2019-nCoV) pneumonia hit a major city in China, Wuhan, December 2019 and subsequently reached other provinces/regions of China and other countries. We present estimates of the basic reproduction number, R0, of 2019-nCoV in the early phase of the outbreak.\nMethods\nAccounting for the impact of the variations in disease reporting rate, we modelled the epidemic curve of 2019-nCoV cases time series, in mainland China from January 10 to January 24, 2020, through the exponential growth. With the estimated intrinsic growth rate (γ), we estimated R0 by using the serial intervals (SI) of two other well-known coronavirus diseases, MERS and SARS, as approximations for the true unknown SI.\nFindings\nThe early outbreak data largely follows the exponential growth. We estimated that the mean R0 ranges from 2.24 (95%CI: 1.96–2.55) to 3.58 (95%CI: 2.89–4.39) associated with 8-fold to 2-fold increase in the reporting rate. We demonstrated that changes in reporting rate substantially affect estimates of R0.\nConclusion\nThe mean estimate of R0 for the 2019-nCoV ranges from 2.24 to 3.58, and is significantly larger than 1. Our findings indicate the potential of 2019-nCoV to cause outbreaks.","container-title":"International Journal of Infectious Diseases","DOI":"10.1016/j.ijid.2020.01.050","ISSN":"1201-9712","journalAbbreviation":"International Journal of Infectious Diseases","page":"214-217","title":"Preliminary estimation of the basic reproduction number of novel coronavirus (2019-nCoV) in China, from 2019 to 2020: A data-driven analysis in the early phase of the outbreak","volume":"92","author":[{"family":"Zhao","given":"Shi"},{"family":"Lin","given":"Qianyin"},{"family":"Ran","given":"Jinjun"},{"family":"Musa","given":"Salihu S."},{"family":"Yang","given":"Guangpu"},{"family":"Wang","given":"Weiming"},{"family":"Lou","given":"Yijun"},{"family":"Gao","given":"Daozhou"},{"family":"Yang","given":"Lin"},{"family":"He","given":"Daihai"},{"family":"Wang","given":"Maggie H."}],"issued":{"date-parts":[["2020",3,1]]}}}],"schema":"https://github.com/citation-style-language/schema/raw/master/csl-citation.json"} </w:instrText>
            </w:r>
            <w:r w:rsidRPr="00370A32">
              <w:rPr>
                <w:rFonts w:ascii="Arial" w:hAnsi="Arial" w:cs="Arial"/>
                <w:sz w:val="15"/>
                <w:szCs w:val="15"/>
                <w:lang w:val="en-US"/>
              </w:rPr>
              <w:fldChar w:fldCharType="separate"/>
            </w:r>
            <w:r w:rsidR="006A263E">
              <w:rPr>
                <w:rFonts w:ascii="Arial" w:hAnsi="Arial" w:cs="Arial"/>
                <w:sz w:val="15"/>
                <w:lang w:val="en-US"/>
              </w:rPr>
              <w:t>(Zhao et al., 2020)</w:t>
            </w:r>
            <w:r w:rsidRPr="00370A32">
              <w:rPr>
                <w:rFonts w:ascii="Arial" w:hAnsi="Arial" w:cs="Arial"/>
                <w:sz w:val="15"/>
                <w:szCs w:val="15"/>
                <w:lang w:val="en-US"/>
              </w:rPr>
              <w:fldChar w:fldCharType="end"/>
            </w:r>
          </w:p>
        </w:tc>
      </w:tr>
      <w:tr w:rsidR="005D4FCC" w:rsidRPr="00370A32" w14:paraId="035D9F83" w14:textId="77777777" w:rsidTr="008E4248">
        <w:tc>
          <w:tcPr>
            <w:tcW w:w="4061" w:type="dxa"/>
            <w:tcBorders>
              <w:top w:val="single" w:sz="4" w:space="0" w:color="auto"/>
            </w:tcBorders>
          </w:tcPr>
          <w:p w14:paraId="21792FFB"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Probability of asymptomatic infection (</w:t>
            </w:r>
            <m:oMath>
              <m:sSub>
                <m:sSubPr>
                  <m:ctrlPr>
                    <w:rPr>
                      <w:rFonts w:ascii="Cambria Math" w:hAnsi="Cambria Math" w:cs="Arial"/>
                      <w:i/>
                      <w:sz w:val="15"/>
                      <w:szCs w:val="15"/>
                      <w:lang w:val="en-US"/>
                    </w:rPr>
                  </m:ctrlPr>
                </m:sSubPr>
                <m:e>
                  <m:r>
                    <w:rPr>
                      <w:rFonts w:ascii="Cambria Math" w:hAnsi="Cambria Math" w:cs="Arial"/>
                      <w:sz w:val="15"/>
                      <w:szCs w:val="15"/>
                      <w:lang w:val="en-US"/>
                    </w:rPr>
                    <m:t>p</m:t>
                  </m:r>
                </m:e>
                <m:sub>
                  <m:r>
                    <m:rPr>
                      <m:nor/>
                    </m:rPr>
                    <w:rPr>
                      <w:rFonts w:ascii="Arial" w:hAnsi="Arial" w:cs="Arial"/>
                      <w:sz w:val="15"/>
                      <w:szCs w:val="15"/>
                      <w:lang w:val="en-US"/>
                    </w:rPr>
                    <m:t>asymptomatic</m:t>
                  </m:r>
                </m:sub>
              </m:sSub>
            </m:oMath>
            <w:r w:rsidRPr="00370A32">
              <w:rPr>
                <w:rFonts w:ascii="Arial" w:hAnsi="Arial" w:cs="Arial"/>
                <w:sz w:val="15"/>
                <w:szCs w:val="15"/>
                <w:lang w:val="en-US"/>
              </w:rPr>
              <w:t>)</w:t>
            </w:r>
          </w:p>
        </w:tc>
        <w:tc>
          <w:tcPr>
            <w:tcW w:w="2602" w:type="dxa"/>
            <w:tcBorders>
              <w:top w:val="single" w:sz="4" w:space="0" w:color="auto"/>
            </w:tcBorders>
          </w:tcPr>
          <w:p w14:paraId="41326A8E"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0.16</w:t>
            </w:r>
          </w:p>
        </w:tc>
        <w:tc>
          <w:tcPr>
            <w:tcW w:w="2357" w:type="dxa"/>
            <w:tcBorders>
              <w:top w:val="single" w:sz="4" w:space="0" w:color="auto"/>
            </w:tcBorders>
          </w:tcPr>
          <w:p w14:paraId="462E902B" w14:textId="56CB8651" w:rsidR="005D4FCC" w:rsidRPr="00370A32" w:rsidRDefault="005D4FCC" w:rsidP="005D4FCC">
            <w:pPr>
              <w:spacing w:line="276" w:lineRule="auto"/>
              <w:rPr>
                <w:rFonts w:ascii="Arial" w:hAnsi="Arial" w:cs="Arial"/>
                <w:sz w:val="15"/>
                <w:szCs w:val="15"/>
              </w:rPr>
            </w:pPr>
            <w:r w:rsidRPr="00370A32">
              <w:rPr>
                <w:rFonts w:ascii="Arial" w:hAnsi="Arial" w:cs="Arial"/>
                <w:sz w:val="15"/>
                <w:szCs w:val="15"/>
                <w:lang w:val="en-US"/>
              </w:rPr>
              <w:fldChar w:fldCharType="begin"/>
            </w:r>
            <w:r w:rsidR="006A263E">
              <w:rPr>
                <w:rFonts w:ascii="Arial" w:hAnsi="Arial" w:cs="Arial"/>
                <w:sz w:val="15"/>
                <w:szCs w:val="15"/>
                <w:lang w:val="en-US"/>
              </w:rPr>
              <w:instrText xml:space="preserve"> ADDIN ZOTERO_ITEM CSL_CITATION {"citationID":"5Pbv1Zai","properties":{"formattedCitation":"(Leung et al., 2015)","plainCitation":"(Leung et al., 2015)","noteIndex":0},"citationItems":[{"id":110,"uris":["http://zotero.org/users/local/0pdZPGmr/items/5PRSKE77","http://zotero.org/users/9596130/items/5PRSKE77"],"itemData":{"id":110,"type":"article-journal","abstract":"Background: \n\nThe fraction of persons with influenza virus infection, who do not report any signs or symptoms throughout the course of infection is referred to as the asymptomatic fraction.\n\nMethods:\n\nWe conducted a systematic review and meta-analysis of published estimates of the asymptomatic fraction of influenza virus infections. We found that estimates of the asymptomatic fraction were reported from two different types of studies: first, outbreak investigations with short-term follow-up of potentially exposed persons and virologic confirmation of infections; second, studies conducted across epidemics typically evaluating rates of acute respiratory illness among persons with serologic evidence of infection, in some cases adjusting for background rates of illness from other causes.\n\nResults:\n\nMost point estimates from studies of outbreak investigations fell in the range 4%–28% with low heterogeneity (I2 = 0%) with a pooled mean of 16% (95% confidence interval = 13%, 19%). Estimates from the studies conducted across epidemics without adjustment were very heterogeneous (point estimates 0%–100%; I 2 = 97%), while estimates from studies that adjusted for background illnesses were more consistent with point estimates in the range 65%–85% and moderate heterogeneity (I2 = 58%). Variation in estimates could be partially explained by differences in study design and analysis, and inclusion of mild symptomatic illnesses as asymptomatic in some studies.\n\nConclusions:\n\nEstimates of the asymptomatic fraction are affected by the study design, and the definitions of infection and symptomatic illness. Considerable differences between the asymptomatic fraction of infections confirmed by virologic versus serologic testing may indicate fundamental differences in the interpretation of these two indicators.","container-title":"Epidemiology","ISSN":"1044-3983","issue":"6","title":"Review Article: The Fraction of Influenza Virus Infections That Are Asymptomatic: A Systematic Review and Meta-analysis","URL":"https://journals.lww.com/epidem/fulltext/2015/11000/review_article__the_fraction_of_influenza_virus.13.aspx","volume":"26","author":[{"family":"Leung","given":"Nancy H. L."},{"family":"Xu","given":"Cuiling"},{"family":"Ip","given":"Dennis K. M."},{"family":"Cowling","given":"Benjamin J."}],"issued":{"date-parts":[["2015"]]}}}],"schema":"https://github.com/citation-style-language/schema/raw/master/csl-citation.json"} </w:instrText>
            </w:r>
            <w:r w:rsidRPr="00370A32">
              <w:rPr>
                <w:rFonts w:ascii="Arial" w:hAnsi="Arial" w:cs="Arial"/>
                <w:sz w:val="15"/>
                <w:szCs w:val="15"/>
                <w:lang w:val="en-US"/>
              </w:rPr>
              <w:fldChar w:fldCharType="separate"/>
            </w:r>
            <w:r w:rsidR="006A263E">
              <w:rPr>
                <w:rFonts w:ascii="Arial" w:hAnsi="Arial" w:cs="Arial"/>
                <w:sz w:val="15"/>
                <w:lang w:val="en-US"/>
              </w:rPr>
              <w:t>(Leung et al., 2015)</w:t>
            </w:r>
            <w:r w:rsidRPr="00370A32">
              <w:rPr>
                <w:rFonts w:ascii="Arial" w:hAnsi="Arial" w:cs="Arial"/>
                <w:sz w:val="15"/>
                <w:szCs w:val="15"/>
                <w:lang w:val="en-US"/>
              </w:rPr>
              <w:fldChar w:fldCharType="end"/>
            </w:r>
          </w:p>
        </w:tc>
      </w:tr>
      <w:tr w:rsidR="005D4FCC" w:rsidRPr="00370A32" w14:paraId="28FA21F6" w14:textId="77777777" w:rsidTr="008E4248">
        <w:tc>
          <w:tcPr>
            <w:tcW w:w="4061" w:type="dxa"/>
          </w:tcPr>
          <w:p w14:paraId="39BD088E"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Sensitivity of diagnostic test (</w:t>
            </w:r>
            <m:oMath>
              <m:r>
                <w:rPr>
                  <w:rFonts w:ascii="Cambria Math" w:hAnsi="Cambria Math" w:cs="Arial"/>
                  <w:sz w:val="15"/>
                  <w:szCs w:val="15"/>
                  <w:lang w:val="en-US"/>
                </w:rPr>
                <m:t>ψ</m:t>
              </m:r>
            </m:oMath>
            <w:r w:rsidRPr="00370A32">
              <w:rPr>
                <w:rFonts w:ascii="Arial" w:hAnsi="Arial" w:cs="Arial"/>
                <w:sz w:val="15"/>
                <w:szCs w:val="15"/>
                <w:lang w:val="en-US"/>
              </w:rPr>
              <w:t>)</w:t>
            </w:r>
          </w:p>
        </w:tc>
        <w:tc>
          <w:tcPr>
            <w:tcW w:w="2602" w:type="dxa"/>
          </w:tcPr>
          <w:p w14:paraId="23FE109F"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0.70</w:t>
            </w:r>
          </w:p>
        </w:tc>
        <w:tc>
          <w:tcPr>
            <w:tcW w:w="2357" w:type="dxa"/>
          </w:tcPr>
          <w:p w14:paraId="64D05FDA" w14:textId="46CBED5F" w:rsidR="005D4FCC" w:rsidRPr="00370A32" w:rsidRDefault="005D4FCC" w:rsidP="005D4FCC">
            <w:pPr>
              <w:spacing w:line="276" w:lineRule="auto"/>
              <w:rPr>
                <w:rFonts w:ascii="Arial" w:hAnsi="Arial" w:cs="Arial"/>
                <w:sz w:val="15"/>
                <w:szCs w:val="15"/>
              </w:rPr>
            </w:pPr>
            <w:r w:rsidRPr="00370A32">
              <w:rPr>
                <w:rFonts w:ascii="Arial" w:hAnsi="Arial" w:cs="Arial"/>
                <w:sz w:val="15"/>
                <w:szCs w:val="15"/>
                <w:lang w:val="en-US"/>
              </w:rPr>
              <w:fldChar w:fldCharType="begin"/>
            </w:r>
            <w:r w:rsidR="006A263E">
              <w:rPr>
                <w:rFonts w:ascii="Arial" w:hAnsi="Arial" w:cs="Arial"/>
                <w:sz w:val="15"/>
                <w:szCs w:val="15"/>
                <w:lang w:val="en-US"/>
              </w:rPr>
              <w:instrText xml:space="preserve"> ADDIN ZOTERO_ITEM CSL_CITATION {"citationID":"lncSgMHd","properties":{"formattedCitation":"(Merckx et al., 2017)","plainCitation":"(Merckx et al., 2017)","noteIndex":0},"citationItems":[{"id":177,"uris":["http://zotero.org/users/local/0pdZPGmr/items/WU8BFN3C","http://zotero.org/users/9596130/items/WU8BFN3C"],"itemData":{"id":177,"type":"article-journal","abstract":"Background: Rapid and accurate influenza diagnostics can improve patient care. Purpose: To summarize and compare accuracy of traditional rapid influenza diagnostic tests (RIDTs), digital immunoassays (DIAs), and rapid nucleic acid amplification tests (NAATs) in children and adults with suspected influenza. Data Sources: 6 databases from their inception through May 2017. Study Selection: Studies in English, French, or Spanish comparing commercialized rapid tests (that is, providing results in &lt;30 minutes) with reverse transcriptase polymerase chain reaction reference standard for influenza diagnosis. Data Extraction: Data were extracted using a standardized form; quality was assessed using QUADAS-2 (Quality Assessment of Diagnostic Accuracy Studies 2) criteria. Data Synthesis: 162 studies were included (130 of RIDTs, 19 of DIAs, and 13 of NAATs). Pooled sensitivities for detecting influenza A from Bayesian bivariate random-effects models were 54.4% (95% credible interval [CrI], 48.9% to 59.8%) for RIDTs, 80.0% (CrI, 73.4% to 85.6%) for DIAs, and 91.6% (CrI, 84.9% to 95.9%) for NAATs. Those for detecting influenza B were 53.2% (CrI, 41.7% to 64.4%) for RIDTs, 76.8% (CrI, 65.4% to 85.4%) for DIAs, and 95.4% (CrI, 87.3% to 98.7%) for NAATs. Pooled specificities were uniformly high (&gt;98%). Forty-six influenza A and 24 influenza B studies presented pediatric-specific data; 35 influenza A and 16 influenza B studies presented adult-specific data. Pooled sensitivities were higher in children by 12.1 to 31.8 percentage points, except for influenza A by rapid NAATs (2.7 percentage points). Pooled sensitivities favored industry-sponsored studies by 6.2 to 34.0 percentage points. Incomplete reporting frequently led to unclear risk of bias. Limitations: Underreporting of clinical variables limited exploration of heterogeneity. Few NAAT studies reported adult-specific data, and none evaluated point-of-care testing. Many studies had unclear risk of bias. Conclusion: Novel DIAs and rapid NAATs had markedly higher sensitivities for influenza A and B in both children and adults than did traditional RIDTs, with equally high specificities. Primary Funding Source: Québec Health Research Fund and BD Diagnostic Systems.","container-title":"Annals of Internal Medicine","DOI":"10.7326/M17-0848","ISSN":"0003-4819","issue":"6","journalAbbreviation":"Ann Intern Med","note":"publisher: American College of Physicians","page":"394-409","title":"Diagnostic Accuracy of Novel and Traditional Rapid Tests for Influenza Infection Compared With Reverse Transcriptase Polymerase Chain Reaction","volume":"167","author":[{"family":"Merckx","given":"Joanna"},{"family":"Wali","given":"Rehab"},{"family":"Schiller","given":"Ian"},{"family":"Caya","given":"Chelsea"},{"family":"Gore","given":"Genevieve C."},{"family":"Chartrand","given":"Caroline"},{"family":"Dendukuri","given":"Nandini"},{"family":"Papenburg","given":"Jesse"}],"issued":{"date-parts":[["2017",9,19]]}}}],"schema":"https://github.com/citation-style-language/schema/raw/master/csl-citation.json"} </w:instrText>
            </w:r>
            <w:r w:rsidRPr="00370A32">
              <w:rPr>
                <w:rFonts w:ascii="Arial" w:hAnsi="Arial" w:cs="Arial"/>
                <w:sz w:val="15"/>
                <w:szCs w:val="15"/>
                <w:lang w:val="en-US"/>
              </w:rPr>
              <w:fldChar w:fldCharType="separate"/>
            </w:r>
            <w:r w:rsidR="006A263E">
              <w:rPr>
                <w:rFonts w:ascii="Arial" w:hAnsi="Arial" w:cs="Arial"/>
                <w:sz w:val="15"/>
                <w:lang w:val="en-US"/>
              </w:rPr>
              <w:t>(Merckx et al., 2017)</w:t>
            </w:r>
            <w:r w:rsidRPr="00370A32">
              <w:rPr>
                <w:rFonts w:ascii="Arial" w:hAnsi="Arial" w:cs="Arial"/>
                <w:sz w:val="15"/>
                <w:szCs w:val="15"/>
                <w:lang w:val="en-US"/>
              </w:rPr>
              <w:fldChar w:fldCharType="end"/>
            </w:r>
          </w:p>
        </w:tc>
      </w:tr>
      <w:tr w:rsidR="005D4FCC" w:rsidRPr="00370A32" w14:paraId="00B392B9" w14:textId="77777777" w:rsidTr="008E4248">
        <w:tc>
          <w:tcPr>
            <w:tcW w:w="4061" w:type="dxa"/>
          </w:tcPr>
          <w:p w14:paraId="1EF5A632"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Adherence to treatment, BXM</w:t>
            </w:r>
          </w:p>
        </w:tc>
        <w:tc>
          <w:tcPr>
            <w:tcW w:w="2602" w:type="dxa"/>
          </w:tcPr>
          <w:p w14:paraId="50F59F1C"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0.95</w:t>
            </w:r>
          </w:p>
        </w:tc>
        <w:tc>
          <w:tcPr>
            <w:tcW w:w="2357" w:type="dxa"/>
          </w:tcPr>
          <w:p w14:paraId="79E5D1EE"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Assumed</w:t>
            </w:r>
          </w:p>
        </w:tc>
      </w:tr>
      <w:tr w:rsidR="005D4FCC" w:rsidRPr="00370A32" w14:paraId="7EC65E7D" w14:textId="77777777" w:rsidTr="008E4248">
        <w:tc>
          <w:tcPr>
            <w:tcW w:w="4061" w:type="dxa"/>
            <w:tcBorders>
              <w:bottom w:val="single" w:sz="4" w:space="0" w:color="auto"/>
            </w:tcBorders>
          </w:tcPr>
          <w:p w14:paraId="04106F0B"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Adherence to treatment, oseltamivir</w:t>
            </w:r>
          </w:p>
        </w:tc>
        <w:tc>
          <w:tcPr>
            <w:tcW w:w="2602" w:type="dxa"/>
            <w:tcBorders>
              <w:bottom w:val="single" w:sz="4" w:space="0" w:color="auto"/>
            </w:tcBorders>
          </w:tcPr>
          <w:p w14:paraId="0580B671" w14:textId="77777777" w:rsidR="005D4FCC" w:rsidRPr="00370A32" w:rsidRDefault="005D4FCC" w:rsidP="005D4FCC">
            <w:pPr>
              <w:spacing w:line="276" w:lineRule="auto"/>
              <w:rPr>
                <w:rFonts w:ascii="Arial" w:hAnsi="Arial" w:cs="Arial"/>
                <w:sz w:val="15"/>
                <w:szCs w:val="15"/>
              </w:rPr>
            </w:pPr>
            <w:r w:rsidRPr="00370A32">
              <w:rPr>
                <w:rFonts w:ascii="Arial" w:hAnsi="Arial" w:cs="Arial"/>
                <w:sz w:val="15"/>
                <w:szCs w:val="15"/>
              </w:rPr>
              <w:t>0.65</w:t>
            </w:r>
          </w:p>
        </w:tc>
        <w:tc>
          <w:tcPr>
            <w:tcW w:w="2357" w:type="dxa"/>
            <w:tcBorders>
              <w:bottom w:val="single" w:sz="4" w:space="0" w:color="auto"/>
            </w:tcBorders>
          </w:tcPr>
          <w:p w14:paraId="35E3C9ED" w14:textId="0059CD1A" w:rsidR="005D4FCC" w:rsidRPr="00370A32" w:rsidRDefault="005D4FCC" w:rsidP="005D4FCC">
            <w:pPr>
              <w:spacing w:line="276" w:lineRule="auto"/>
              <w:rPr>
                <w:rFonts w:ascii="Arial" w:hAnsi="Arial" w:cs="Arial"/>
                <w:sz w:val="15"/>
                <w:szCs w:val="15"/>
              </w:rPr>
            </w:pPr>
            <w:r w:rsidRPr="00370A32">
              <w:rPr>
                <w:rFonts w:ascii="Arial" w:hAnsi="Arial" w:cs="Arial"/>
                <w:sz w:val="15"/>
                <w:szCs w:val="15"/>
                <w:lang w:val="en-US"/>
              </w:rPr>
              <w:fldChar w:fldCharType="begin"/>
            </w:r>
            <w:r w:rsidR="006A263E">
              <w:rPr>
                <w:rFonts w:ascii="Arial" w:hAnsi="Arial" w:cs="Arial"/>
                <w:sz w:val="15"/>
                <w:szCs w:val="15"/>
                <w:lang w:val="en-US"/>
              </w:rPr>
              <w:instrText xml:space="preserve"> ADDIN ZOTERO_ITEM CSL_CITATION {"citationID":"IMDZ60Bg","properties":{"formattedCitation":"(Smith et al., 2016)","plainCitation":"(Smith et al., 2016)","noteIndex":0},"citationItems":[{"id":181,"uris":["http://zotero.org/users/local/0pdZPGmr/items/UASRZYYR","http://zotero.org/users/9596130/items/UASRZYYR"],"itemData":{"id":181,"type":"article-journal","abstract":"The aim of this review was to identify factors predicting actual or intended adherence to antivirals as treatment or prophylaxis for influenza. Literature from inception to March 2015 was systematically reviewed to find studies reporting predictors of adherence to antivirals and self-reported reasons for non-adherence to antivirals. Twenty-six studies were included in the review; twenty identified through the literature search and six through other means. Of these studies, 18 assessed predictors of actual adherence to antivirals, whereas eight assessed predictors of intended adherence. The most commonly found predictor of, and self-reported reason for, non-adherence was the occurrence of side effects. Other predictors include perceptions surrounding self-efficacy, response efficacy and perceived personal consequences as well as social influences of others' experiences of taking antivirals. Predictors identified in this review can be used to help inform communications to increase adherence to antivirals in both seasonal and pandemic influenza.","container-title":"Influenza and Other Respiratory Viruses","DOI":"10.1111/irv.12406","ISSN":"1750-2640","issue":"6","journalAbbreviation":"Influenza and Other Respiratory Viruses","note":"publisher: John Wiley &amp; Sons, Ltd","page":"462-478","title":"A systematic review of factors affecting intended and actual adherence with antiviral medication as treatment or prophylaxis in seasonal and pandemic flu","volume":"10","author":[{"family":"Smith","given":"Louise E."},{"family":"D'Antoni","given":"Donatella"},{"family":"Jain","given":"Vageesh"},{"family":"Pearce","given":"Julia M."},{"family":"Weinman","given":"John"},{"family":"Rubin","given":"G. James"}],"issued":{"date-parts":[["2016",11,1]]}}}],"schema":"https://github.com/citation-style-language/schema/raw/master/csl-citation.json"} </w:instrText>
            </w:r>
            <w:r w:rsidRPr="00370A32">
              <w:rPr>
                <w:rFonts w:ascii="Arial" w:hAnsi="Arial" w:cs="Arial"/>
                <w:sz w:val="15"/>
                <w:szCs w:val="15"/>
                <w:lang w:val="en-US"/>
              </w:rPr>
              <w:fldChar w:fldCharType="separate"/>
            </w:r>
            <w:r w:rsidR="006A263E">
              <w:rPr>
                <w:rFonts w:ascii="Arial" w:hAnsi="Arial" w:cs="Arial"/>
                <w:sz w:val="15"/>
                <w:lang w:val="en-US"/>
              </w:rPr>
              <w:t>(Smith et al., 2016)</w:t>
            </w:r>
            <w:r w:rsidRPr="00370A32">
              <w:rPr>
                <w:rFonts w:ascii="Arial" w:hAnsi="Arial" w:cs="Arial"/>
                <w:sz w:val="15"/>
                <w:szCs w:val="15"/>
                <w:lang w:val="en-US"/>
              </w:rPr>
              <w:fldChar w:fldCharType="end"/>
            </w:r>
          </w:p>
        </w:tc>
      </w:tr>
    </w:tbl>
    <w:p w14:paraId="1B23E48A" w14:textId="77777777" w:rsidR="005D4FCC" w:rsidRPr="00257ABA" w:rsidRDefault="005D4FCC" w:rsidP="005D4FCC">
      <w:pPr>
        <w:rPr>
          <w:b/>
        </w:rPr>
      </w:pPr>
    </w:p>
    <w:p w14:paraId="4B0330D0" w14:textId="77777777" w:rsidR="005D4FCC" w:rsidRDefault="005D4FCC" w:rsidP="005D4FCC"/>
    <w:p w14:paraId="54747B9F" w14:textId="77777777" w:rsidR="005D4FCC" w:rsidRDefault="005D4FCC" w:rsidP="005D4FCC">
      <w:pPr>
        <w:rPr>
          <w:b/>
        </w:rPr>
      </w:pPr>
      <w:r>
        <w:rPr>
          <w:b/>
        </w:rPr>
        <w:br w:type="page"/>
      </w:r>
    </w:p>
    <w:p w14:paraId="7B9F1AAB" w14:textId="69BF5089" w:rsidR="005D4FCC" w:rsidRDefault="005D4FCC" w:rsidP="005D4FCC">
      <w:pPr>
        <w:rPr>
          <w:b/>
        </w:rPr>
      </w:pPr>
      <w:r>
        <w:rPr>
          <w:b/>
        </w:rPr>
        <w:lastRenderedPageBreak/>
        <w:t>Appendix</w:t>
      </w:r>
      <w:r>
        <w:rPr>
          <w:b/>
        </w:rPr>
        <w:t xml:space="preserve"> Table 2</w:t>
      </w:r>
      <w:r w:rsidRPr="00257ABA">
        <w:rPr>
          <w:b/>
        </w:rPr>
        <w:t xml:space="preserve">. </w:t>
      </w:r>
      <w:r>
        <w:rPr>
          <w:b/>
        </w:rPr>
        <w:t>Key assumptions in the between-host transmission model</w:t>
      </w:r>
      <w:r w:rsidRPr="00257ABA">
        <w:rPr>
          <w:b/>
        </w:rPr>
        <w:t>.</w:t>
      </w:r>
    </w:p>
    <w:tbl>
      <w:tblPr>
        <w:tblW w:w="5000" w:type="pct"/>
        <w:tblCellMar>
          <w:top w:w="57" w:type="dxa"/>
          <w:bottom w:w="57" w:type="dxa"/>
        </w:tblCellMar>
        <w:tblLook w:val="04A0" w:firstRow="1" w:lastRow="0" w:firstColumn="1" w:lastColumn="0" w:noHBand="0" w:noVBand="1"/>
      </w:tblPr>
      <w:tblGrid>
        <w:gridCol w:w="465"/>
        <w:gridCol w:w="3264"/>
        <w:gridCol w:w="5291"/>
      </w:tblGrid>
      <w:tr w:rsidR="005D4FCC" w:rsidRPr="003022AB" w14:paraId="7319E603" w14:textId="77777777" w:rsidTr="004D4519">
        <w:trPr>
          <w:trHeight w:val="283"/>
        </w:trPr>
        <w:tc>
          <w:tcPr>
            <w:tcW w:w="241" w:type="pct"/>
            <w:tcBorders>
              <w:top w:val="single" w:sz="4" w:space="0" w:color="auto"/>
              <w:left w:val="nil"/>
              <w:bottom w:val="single" w:sz="4" w:space="0" w:color="auto"/>
              <w:right w:val="nil"/>
            </w:tcBorders>
            <w:shd w:val="clear" w:color="auto" w:fill="auto"/>
            <w:hideMark/>
          </w:tcPr>
          <w:p w14:paraId="21CEFF72" w14:textId="77777777" w:rsidR="005D4FCC" w:rsidRPr="003022AB" w:rsidRDefault="005D4FCC" w:rsidP="005D4FCC">
            <w:pPr>
              <w:spacing w:line="276" w:lineRule="auto"/>
              <w:rPr>
                <w:rFonts w:ascii="Arial" w:hAnsi="Arial" w:cs="Arial"/>
                <w:color w:val="000000"/>
                <w:sz w:val="16"/>
                <w:szCs w:val="16"/>
              </w:rPr>
            </w:pPr>
            <w:r w:rsidRPr="003022AB">
              <w:rPr>
                <w:rFonts w:ascii="Arial" w:hAnsi="Arial" w:cs="Arial"/>
                <w:color w:val="000000"/>
                <w:sz w:val="16"/>
                <w:szCs w:val="16"/>
              </w:rPr>
              <w:t>No.</w:t>
            </w:r>
          </w:p>
        </w:tc>
        <w:tc>
          <w:tcPr>
            <w:tcW w:w="1818" w:type="pct"/>
            <w:tcBorders>
              <w:top w:val="single" w:sz="4" w:space="0" w:color="auto"/>
              <w:left w:val="nil"/>
              <w:bottom w:val="single" w:sz="4" w:space="0" w:color="auto"/>
              <w:right w:val="nil"/>
            </w:tcBorders>
            <w:shd w:val="clear" w:color="auto" w:fill="auto"/>
            <w:hideMark/>
          </w:tcPr>
          <w:p w14:paraId="1D2A6C7E" w14:textId="77777777" w:rsidR="005D4FCC" w:rsidRPr="003022AB" w:rsidRDefault="005D4FCC" w:rsidP="005D4FCC">
            <w:pPr>
              <w:spacing w:line="276" w:lineRule="auto"/>
              <w:rPr>
                <w:rFonts w:ascii="Arial" w:hAnsi="Arial" w:cs="Arial"/>
                <w:color w:val="000000"/>
                <w:sz w:val="16"/>
                <w:szCs w:val="16"/>
              </w:rPr>
            </w:pPr>
            <w:r w:rsidRPr="003022AB">
              <w:rPr>
                <w:rFonts w:ascii="Arial" w:hAnsi="Arial" w:cs="Arial"/>
                <w:color w:val="000000"/>
                <w:sz w:val="16"/>
                <w:szCs w:val="16"/>
              </w:rPr>
              <w:t>Assumption</w:t>
            </w:r>
          </w:p>
        </w:tc>
        <w:tc>
          <w:tcPr>
            <w:tcW w:w="2941" w:type="pct"/>
            <w:tcBorders>
              <w:top w:val="single" w:sz="4" w:space="0" w:color="auto"/>
              <w:left w:val="nil"/>
              <w:bottom w:val="single" w:sz="4" w:space="0" w:color="auto"/>
              <w:right w:val="nil"/>
            </w:tcBorders>
            <w:shd w:val="clear" w:color="auto" w:fill="auto"/>
            <w:hideMark/>
          </w:tcPr>
          <w:p w14:paraId="7F90DA76" w14:textId="77777777" w:rsidR="005D4FCC" w:rsidRPr="003022AB" w:rsidRDefault="005D4FCC" w:rsidP="005D4FCC">
            <w:pPr>
              <w:spacing w:line="276" w:lineRule="auto"/>
              <w:rPr>
                <w:rFonts w:ascii="Arial" w:hAnsi="Arial" w:cs="Arial"/>
                <w:color w:val="000000"/>
                <w:sz w:val="16"/>
                <w:szCs w:val="16"/>
              </w:rPr>
            </w:pPr>
            <w:r w:rsidRPr="003022AB">
              <w:rPr>
                <w:rFonts w:ascii="Arial" w:hAnsi="Arial" w:cs="Arial"/>
                <w:color w:val="000000"/>
                <w:sz w:val="16"/>
                <w:szCs w:val="16"/>
              </w:rPr>
              <w:t>Implication</w:t>
            </w:r>
          </w:p>
        </w:tc>
      </w:tr>
      <w:tr w:rsidR="005D4FCC" w:rsidRPr="003022AB" w14:paraId="044D8CD8" w14:textId="77777777" w:rsidTr="004D4519">
        <w:trPr>
          <w:trHeight w:val="283"/>
        </w:trPr>
        <w:tc>
          <w:tcPr>
            <w:tcW w:w="241" w:type="pct"/>
            <w:tcBorders>
              <w:top w:val="single" w:sz="4" w:space="0" w:color="auto"/>
              <w:left w:val="nil"/>
              <w:bottom w:val="nil"/>
              <w:right w:val="nil"/>
            </w:tcBorders>
            <w:shd w:val="clear" w:color="auto" w:fill="auto"/>
            <w:hideMark/>
          </w:tcPr>
          <w:p w14:paraId="4399F8C0" w14:textId="77777777" w:rsidR="005D4FCC" w:rsidRPr="003022AB" w:rsidRDefault="005D4FCC" w:rsidP="005D4FCC">
            <w:pPr>
              <w:spacing w:line="276" w:lineRule="auto"/>
              <w:rPr>
                <w:rFonts w:ascii="Arial" w:hAnsi="Arial" w:cs="Arial"/>
                <w:color w:val="000000"/>
                <w:sz w:val="16"/>
                <w:szCs w:val="16"/>
              </w:rPr>
            </w:pPr>
            <w:r w:rsidRPr="003022AB">
              <w:rPr>
                <w:rFonts w:ascii="Arial" w:hAnsi="Arial" w:cs="Arial"/>
                <w:color w:val="000000"/>
                <w:sz w:val="16"/>
                <w:szCs w:val="16"/>
              </w:rPr>
              <w:t>1</w:t>
            </w:r>
          </w:p>
        </w:tc>
        <w:tc>
          <w:tcPr>
            <w:tcW w:w="1818" w:type="pct"/>
            <w:tcBorders>
              <w:top w:val="single" w:sz="4" w:space="0" w:color="auto"/>
              <w:left w:val="nil"/>
              <w:bottom w:val="nil"/>
              <w:right w:val="nil"/>
            </w:tcBorders>
            <w:shd w:val="clear" w:color="auto" w:fill="auto"/>
            <w:hideMark/>
          </w:tcPr>
          <w:p w14:paraId="04E8BABD" w14:textId="77777777" w:rsidR="005D4FCC" w:rsidRPr="003022AB" w:rsidRDefault="005D4FCC" w:rsidP="005D4FCC">
            <w:pPr>
              <w:spacing w:line="276" w:lineRule="auto"/>
              <w:rPr>
                <w:rFonts w:ascii="Arial" w:hAnsi="Arial" w:cs="Arial"/>
                <w:color w:val="000000"/>
                <w:sz w:val="16"/>
                <w:szCs w:val="16"/>
              </w:rPr>
            </w:pPr>
            <w:r w:rsidRPr="003022AB">
              <w:rPr>
                <w:rFonts w:ascii="Arial" w:hAnsi="Arial" w:cs="Arial"/>
                <w:color w:val="000000"/>
                <w:sz w:val="16"/>
                <w:szCs w:val="16"/>
              </w:rPr>
              <w:t>SIR compartmental model with population structured in 5-year age bins using contact rate matrices estimated by Prem et al. (2021).</w:t>
            </w:r>
          </w:p>
        </w:tc>
        <w:tc>
          <w:tcPr>
            <w:tcW w:w="2941" w:type="pct"/>
            <w:tcBorders>
              <w:top w:val="single" w:sz="4" w:space="0" w:color="auto"/>
              <w:left w:val="nil"/>
              <w:bottom w:val="nil"/>
              <w:right w:val="nil"/>
            </w:tcBorders>
            <w:shd w:val="clear" w:color="auto" w:fill="auto"/>
            <w:hideMark/>
          </w:tcPr>
          <w:p w14:paraId="6F50A818" w14:textId="77777777" w:rsidR="005D4FCC" w:rsidRPr="003022AB" w:rsidRDefault="005D4FCC" w:rsidP="005D4FCC">
            <w:pPr>
              <w:spacing w:line="276" w:lineRule="auto"/>
              <w:rPr>
                <w:rFonts w:ascii="Arial" w:hAnsi="Arial" w:cs="Arial"/>
                <w:color w:val="000000"/>
                <w:sz w:val="16"/>
                <w:szCs w:val="16"/>
              </w:rPr>
            </w:pPr>
            <w:r w:rsidRPr="003022AB">
              <w:rPr>
                <w:rFonts w:ascii="Arial" w:hAnsi="Arial" w:cs="Arial"/>
                <w:color w:val="000000"/>
                <w:sz w:val="16"/>
                <w:szCs w:val="16"/>
              </w:rPr>
              <w:t xml:space="preserve">Country-level estimation of transmission dynamics with no further spatial delineation. Population contact rates are only structured by age demography. As such, the estimated antiviral demand and impact represent country-level antiviral needs and burden reduction. </w:t>
            </w:r>
          </w:p>
        </w:tc>
      </w:tr>
      <w:tr w:rsidR="005D4FCC" w:rsidRPr="003022AB" w14:paraId="25DE7CAF" w14:textId="77777777" w:rsidTr="004D4519">
        <w:trPr>
          <w:trHeight w:val="283"/>
        </w:trPr>
        <w:tc>
          <w:tcPr>
            <w:tcW w:w="241" w:type="pct"/>
            <w:tcBorders>
              <w:top w:val="nil"/>
              <w:left w:val="nil"/>
              <w:bottom w:val="nil"/>
              <w:right w:val="nil"/>
            </w:tcBorders>
            <w:shd w:val="clear" w:color="auto" w:fill="auto"/>
            <w:hideMark/>
          </w:tcPr>
          <w:p w14:paraId="2E20F224" w14:textId="77777777" w:rsidR="005D4FCC" w:rsidRPr="003022AB" w:rsidRDefault="005D4FCC" w:rsidP="005D4FCC">
            <w:pPr>
              <w:spacing w:line="276" w:lineRule="auto"/>
              <w:rPr>
                <w:rFonts w:ascii="Arial" w:hAnsi="Arial" w:cs="Arial"/>
                <w:color w:val="000000"/>
                <w:sz w:val="16"/>
                <w:szCs w:val="16"/>
              </w:rPr>
            </w:pPr>
            <w:r w:rsidRPr="003022AB">
              <w:rPr>
                <w:rFonts w:ascii="Arial" w:hAnsi="Arial" w:cs="Arial"/>
                <w:color w:val="000000"/>
                <w:sz w:val="16"/>
                <w:szCs w:val="16"/>
              </w:rPr>
              <w:t>2</w:t>
            </w:r>
          </w:p>
        </w:tc>
        <w:tc>
          <w:tcPr>
            <w:tcW w:w="1818" w:type="pct"/>
            <w:tcBorders>
              <w:top w:val="nil"/>
              <w:left w:val="nil"/>
              <w:bottom w:val="nil"/>
              <w:right w:val="nil"/>
            </w:tcBorders>
            <w:shd w:val="clear" w:color="auto" w:fill="auto"/>
            <w:hideMark/>
          </w:tcPr>
          <w:p w14:paraId="40F62758" w14:textId="77777777" w:rsidR="005D4FCC" w:rsidRPr="003022AB" w:rsidRDefault="005D4FCC" w:rsidP="005D4FCC">
            <w:pPr>
              <w:spacing w:line="276" w:lineRule="auto"/>
              <w:rPr>
                <w:rFonts w:ascii="Arial" w:hAnsi="Arial" w:cs="Arial"/>
                <w:color w:val="000000"/>
                <w:sz w:val="16"/>
                <w:szCs w:val="16"/>
              </w:rPr>
            </w:pPr>
            <w:r w:rsidRPr="003022AB">
              <w:rPr>
                <w:rFonts w:ascii="Arial" w:hAnsi="Arial" w:cs="Arial"/>
                <w:color w:val="000000"/>
                <w:sz w:val="16"/>
                <w:szCs w:val="16"/>
              </w:rPr>
              <w:t>Rapid diagnostic testing and antiviral drug administration is assumed to during the same clinical visit.</w:t>
            </w:r>
          </w:p>
        </w:tc>
        <w:tc>
          <w:tcPr>
            <w:tcW w:w="2941" w:type="pct"/>
            <w:tcBorders>
              <w:top w:val="nil"/>
              <w:left w:val="nil"/>
              <w:bottom w:val="nil"/>
              <w:right w:val="nil"/>
            </w:tcBorders>
            <w:shd w:val="clear" w:color="auto" w:fill="auto"/>
            <w:hideMark/>
          </w:tcPr>
          <w:p w14:paraId="3E5033C2" w14:textId="77777777" w:rsidR="005D4FCC" w:rsidRPr="003022AB" w:rsidRDefault="005D4FCC" w:rsidP="005D4FCC">
            <w:pPr>
              <w:spacing w:line="276" w:lineRule="auto"/>
              <w:rPr>
                <w:rFonts w:ascii="Arial" w:hAnsi="Arial" w:cs="Arial"/>
                <w:color w:val="000000"/>
                <w:sz w:val="16"/>
                <w:szCs w:val="16"/>
              </w:rPr>
            </w:pPr>
            <w:r w:rsidRPr="003022AB">
              <w:rPr>
                <w:rFonts w:ascii="Arial" w:hAnsi="Arial" w:cs="Arial"/>
                <w:color w:val="000000"/>
                <w:sz w:val="16"/>
                <w:szCs w:val="16"/>
              </w:rPr>
              <w:t xml:space="preserve">No delay between obtaining test result and antiviral administration. If there are any delays, the effect would be equivalent to delayed time to seeking test-and-treat, which we had investigated. </w:t>
            </w:r>
          </w:p>
        </w:tc>
      </w:tr>
      <w:tr w:rsidR="005D4FCC" w:rsidRPr="003022AB" w14:paraId="727F33F3" w14:textId="77777777" w:rsidTr="004D4519">
        <w:trPr>
          <w:trHeight w:val="283"/>
        </w:trPr>
        <w:tc>
          <w:tcPr>
            <w:tcW w:w="241" w:type="pct"/>
            <w:tcBorders>
              <w:top w:val="nil"/>
              <w:left w:val="nil"/>
              <w:bottom w:val="nil"/>
              <w:right w:val="nil"/>
            </w:tcBorders>
            <w:shd w:val="clear" w:color="auto" w:fill="auto"/>
            <w:hideMark/>
          </w:tcPr>
          <w:p w14:paraId="63620BEE" w14:textId="77777777" w:rsidR="005D4FCC" w:rsidRPr="003022AB" w:rsidRDefault="005D4FCC" w:rsidP="005D4FCC">
            <w:pPr>
              <w:spacing w:line="276" w:lineRule="auto"/>
              <w:rPr>
                <w:rFonts w:ascii="Arial" w:hAnsi="Arial" w:cs="Arial"/>
                <w:color w:val="000000"/>
                <w:sz w:val="16"/>
                <w:szCs w:val="16"/>
              </w:rPr>
            </w:pPr>
            <w:r w:rsidRPr="003022AB">
              <w:rPr>
                <w:rFonts w:ascii="Arial" w:hAnsi="Arial" w:cs="Arial"/>
                <w:color w:val="000000"/>
                <w:sz w:val="16"/>
                <w:szCs w:val="16"/>
              </w:rPr>
              <w:t>3</w:t>
            </w:r>
          </w:p>
        </w:tc>
        <w:tc>
          <w:tcPr>
            <w:tcW w:w="1818" w:type="pct"/>
            <w:tcBorders>
              <w:top w:val="nil"/>
              <w:left w:val="nil"/>
              <w:bottom w:val="nil"/>
              <w:right w:val="nil"/>
            </w:tcBorders>
            <w:shd w:val="clear" w:color="auto" w:fill="auto"/>
            <w:hideMark/>
          </w:tcPr>
          <w:p w14:paraId="437098CE" w14:textId="77777777" w:rsidR="005D4FCC" w:rsidRPr="003022AB" w:rsidRDefault="005D4FCC" w:rsidP="005D4FCC">
            <w:pPr>
              <w:spacing w:line="276" w:lineRule="auto"/>
              <w:rPr>
                <w:rFonts w:ascii="Arial" w:hAnsi="Arial" w:cs="Arial"/>
                <w:color w:val="000000"/>
                <w:sz w:val="16"/>
                <w:szCs w:val="16"/>
              </w:rPr>
            </w:pPr>
            <w:r w:rsidRPr="003022AB">
              <w:rPr>
                <w:rFonts w:ascii="Arial" w:hAnsi="Arial" w:cs="Arial"/>
                <w:color w:val="000000"/>
                <w:sz w:val="16"/>
                <w:szCs w:val="16"/>
              </w:rPr>
              <w:t xml:space="preserve">No supply and accessibility constraints to diagnostic tests and antivirals. </w:t>
            </w:r>
          </w:p>
        </w:tc>
        <w:tc>
          <w:tcPr>
            <w:tcW w:w="2941" w:type="pct"/>
            <w:tcBorders>
              <w:top w:val="nil"/>
              <w:left w:val="nil"/>
              <w:bottom w:val="nil"/>
              <w:right w:val="nil"/>
            </w:tcBorders>
            <w:shd w:val="clear" w:color="auto" w:fill="auto"/>
            <w:hideMark/>
          </w:tcPr>
          <w:p w14:paraId="51A2ED87" w14:textId="5845D2AE" w:rsidR="005D4FCC" w:rsidRPr="003022AB" w:rsidRDefault="005D4FCC" w:rsidP="005D4FCC">
            <w:pPr>
              <w:spacing w:line="276" w:lineRule="auto"/>
              <w:rPr>
                <w:rFonts w:ascii="Arial" w:hAnsi="Arial" w:cs="Arial"/>
                <w:color w:val="000000"/>
                <w:sz w:val="16"/>
                <w:szCs w:val="16"/>
              </w:rPr>
            </w:pPr>
            <w:r w:rsidRPr="003022AB">
              <w:rPr>
                <w:rFonts w:ascii="Arial" w:hAnsi="Arial" w:cs="Arial"/>
                <w:color w:val="000000"/>
                <w:sz w:val="16"/>
                <w:szCs w:val="16"/>
              </w:rPr>
              <w:t xml:space="preserve">The key goal of this work is to generate the quantitative evidence to inform antiviral stockpiling efforts prior to the next pandemic. To that end, we focused on estimating the theoretical upper limit of antiviral demand during a nascent influenza pandemic under the ideal assumption of no constraints on diagnostic test and antiviral supply , which in turn informs the capacity needed to meet surge demand. We did, however, investigate the impact of rationing baloxavir marboxil by age and provided estimates on the per-capita amount of diagnostic tests required for each country in </w:t>
            </w:r>
            <w:r>
              <w:rPr>
                <w:rFonts w:ascii="Arial" w:hAnsi="Arial" w:cs="Arial"/>
                <w:color w:val="000000"/>
                <w:sz w:val="16"/>
                <w:szCs w:val="16"/>
              </w:rPr>
              <w:t>Appendix</w:t>
            </w:r>
            <w:r w:rsidRPr="003022AB">
              <w:rPr>
                <w:rFonts w:ascii="Arial" w:hAnsi="Arial" w:cs="Arial"/>
                <w:color w:val="000000"/>
                <w:sz w:val="16"/>
                <w:szCs w:val="16"/>
              </w:rPr>
              <w:t xml:space="preserve"> Table 3. We also discussed the critical need to expand access to pandemic medicines before the next influenza pandemic in the main text.  </w:t>
            </w:r>
          </w:p>
        </w:tc>
      </w:tr>
      <w:tr w:rsidR="005D4FCC" w:rsidRPr="003022AB" w14:paraId="2A0940FD" w14:textId="77777777" w:rsidTr="004D4519">
        <w:trPr>
          <w:trHeight w:val="283"/>
        </w:trPr>
        <w:tc>
          <w:tcPr>
            <w:tcW w:w="241" w:type="pct"/>
            <w:tcBorders>
              <w:top w:val="nil"/>
              <w:left w:val="nil"/>
              <w:bottom w:val="nil"/>
              <w:right w:val="nil"/>
            </w:tcBorders>
            <w:shd w:val="clear" w:color="auto" w:fill="auto"/>
            <w:hideMark/>
          </w:tcPr>
          <w:p w14:paraId="14F8DE4D" w14:textId="77777777" w:rsidR="005D4FCC" w:rsidRPr="003022AB" w:rsidRDefault="005D4FCC" w:rsidP="005D4FCC">
            <w:pPr>
              <w:spacing w:line="276" w:lineRule="auto"/>
              <w:rPr>
                <w:rFonts w:ascii="Arial" w:hAnsi="Arial" w:cs="Arial"/>
                <w:color w:val="000000"/>
                <w:sz w:val="16"/>
                <w:szCs w:val="16"/>
              </w:rPr>
            </w:pPr>
            <w:r w:rsidRPr="003022AB">
              <w:rPr>
                <w:rFonts w:ascii="Arial" w:hAnsi="Arial" w:cs="Arial"/>
                <w:color w:val="000000"/>
                <w:sz w:val="16"/>
                <w:szCs w:val="16"/>
              </w:rPr>
              <w:t>4</w:t>
            </w:r>
          </w:p>
        </w:tc>
        <w:tc>
          <w:tcPr>
            <w:tcW w:w="1818" w:type="pct"/>
            <w:tcBorders>
              <w:top w:val="nil"/>
              <w:left w:val="nil"/>
              <w:bottom w:val="nil"/>
              <w:right w:val="nil"/>
            </w:tcBorders>
            <w:shd w:val="clear" w:color="auto" w:fill="auto"/>
            <w:hideMark/>
          </w:tcPr>
          <w:p w14:paraId="2A74EE8A" w14:textId="77777777" w:rsidR="005D4FCC" w:rsidRPr="003022AB" w:rsidRDefault="005D4FCC" w:rsidP="005D4FCC">
            <w:pPr>
              <w:spacing w:line="276" w:lineRule="auto"/>
              <w:rPr>
                <w:rFonts w:ascii="Arial" w:hAnsi="Arial" w:cs="Arial"/>
                <w:color w:val="000000"/>
                <w:sz w:val="16"/>
                <w:szCs w:val="16"/>
              </w:rPr>
            </w:pPr>
            <w:r w:rsidRPr="003022AB">
              <w:rPr>
                <w:rFonts w:ascii="Arial" w:hAnsi="Arial" w:cs="Arial"/>
                <w:color w:val="000000"/>
                <w:sz w:val="16"/>
                <w:szCs w:val="16"/>
              </w:rPr>
              <w:t>High uptake rate (95%) of test-and-treat</w:t>
            </w:r>
          </w:p>
        </w:tc>
        <w:tc>
          <w:tcPr>
            <w:tcW w:w="2941" w:type="pct"/>
            <w:tcBorders>
              <w:top w:val="nil"/>
              <w:left w:val="nil"/>
              <w:bottom w:val="nil"/>
              <w:right w:val="nil"/>
            </w:tcBorders>
            <w:shd w:val="clear" w:color="auto" w:fill="auto"/>
            <w:hideMark/>
          </w:tcPr>
          <w:p w14:paraId="62EFF14F" w14:textId="77777777" w:rsidR="005D4FCC" w:rsidRPr="003022AB" w:rsidRDefault="005D4FCC" w:rsidP="005D4FCC">
            <w:pPr>
              <w:spacing w:line="276" w:lineRule="auto"/>
              <w:rPr>
                <w:rFonts w:ascii="Arial" w:hAnsi="Arial" w:cs="Arial"/>
                <w:color w:val="000000"/>
                <w:sz w:val="16"/>
                <w:szCs w:val="16"/>
              </w:rPr>
            </w:pPr>
            <w:r w:rsidRPr="003022AB">
              <w:rPr>
                <w:rFonts w:ascii="Arial" w:hAnsi="Arial" w:cs="Arial"/>
                <w:color w:val="000000"/>
                <w:sz w:val="16"/>
                <w:szCs w:val="16"/>
              </w:rPr>
              <w:t xml:space="preserve">Similar to above, we conservatively assumed a high uptake rate of test-and-treat for estimation of the upper limit of test-and-treat demand. We did, however, subsequently investigated how heterogeneity in healthcare-seeking behaviour would lead to heterogenous timing to seeking test-and-treat since symptom onset. </w:t>
            </w:r>
          </w:p>
        </w:tc>
      </w:tr>
      <w:tr w:rsidR="005D4FCC" w:rsidRPr="003022AB" w14:paraId="40C8C556" w14:textId="77777777" w:rsidTr="004D4519">
        <w:trPr>
          <w:trHeight w:val="283"/>
        </w:trPr>
        <w:tc>
          <w:tcPr>
            <w:tcW w:w="241" w:type="pct"/>
            <w:tcBorders>
              <w:top w:val="nil"/>
              <w:left w:val="nil"/>
              <w:right w:val="nil"/>
            </w:tcBorders>
            <w:shd w:val="clear" w:color="auto" w:fill="auto"/>
            <w:hideMark/>
          </w:tcPr>
          <w:p w14:paraId="400EE2DB" w14:textId="77777777" w:rsidR="005D4FCC" w:rsidRPr="003022AB" w:rsidRDefault="005D4FCC" w:rsidP="005D4FCC">
            <w:pPr>
              <w:spacing w:line="276" w:lineRule="auto"/>
              <w:rPr>
                <w:rFonts w:ascii="Arial" w:hAnsi="Arial" w:cs="Arial"/>
                <w:color w:val="000000"/>
                <w:sz w:val="16"/>
                <w:szCs w:val="16"/>
              </w:rPr>
            </w:pPr>
            <w:r w:rsidRPr="003022AB">
              <w:rPr>
                <w:rFonts w:ascii="Arial" w:hAnsi="Arial" w:cs="Arial"/>
                <w:color w:val="000000"/>
                <w:sz w:val="16"/>
                <w:szCs w:val="16"/>
              </w:rPr>
              <w:t>5</w:t>
            </w:r>
          </w:p>
        </w:tc>
        <w:tc>
          <w:tcPr>
            <w:tcW w:w="1818" w:type="pct"/>
            <w:tcBorders>
              <w:top w:val="nil"/>
              <w:left w:val="nil"/>
              <w:right w:val="nil"/>
            </w:tcBorders>
            <w:shd w:val="clear" w:color="auto" w:fill="auto"/>
            <w:hideMark/>
          </w:tcPr>
          <w:p w14:paraId="1621C733" w14:textId="77777777" w:rsidR="005D4FCC" w:rsidRPr="003022AB" w:rsidRDefault="005D4FCC" w:rsidP="005D4FCC">
            <w:pPr>
              <w:spacing w:line="276" w:lineRule="auto"/>
              <w:rPr>
                <w:rFonts w:ascii="Arial" w:hAnsi="Arial" w:cs="Arial"/>
                <w:color w:val="000000"/>
                <w:sz w:val="16"/>
                <w:szCs w:val="16"/>
              </w:rPr>
            </w:pPr>
            <w:r w:rsidRPr="003022AB">
              <w:rPr>
                <w:rFonts w:ascii="Arial" w:hAnsi="Arial" w:cs="Arial"/>
                <w:color w:val="000000"/>
                <w:sz w:val="16"/>
                <w:szCs w:val="16"/>
              </w:rPr>
              <w:t xml:space="preserve">No uptake of pre-pandemic vaccines  </w:t>
            </w:r>
          </w:p>
        </w:tc>
        <w:tc>
          <w:tcPr>
            <w:tcW w:w="2941" w:type="pct"/>
            <w:tcBorders>
              <w:top w:val="nil"/>
              <w:left w:val="nil"/>
              <w:right w:val="nil"/>
            </w:tcBorders>
            <w:shd w:val="clear" w:color="auto" w:fill="auto"/>
            <w:hideMark/>
          </w:tcPr>
          <w:p w14:paraId="28E3A8A0" w14:textId="08CDBFDA" w:rsidR="005D4FCC" w:rsidRPr="003022AB" w:rsidRDefault="005D4FCC" w:rsidP="005D4FCC">
            <w:pPr>
              <w:spacing w:line="276" w:lineRule="auto"/>
              <w:rPr>
                <w:rFonts w:ascii="Arial" w:hAnsi="Arial" w:cs="Arial"/>
                <w:color w:val="000000"/>
                <w:sz w:val="16"/>
                <w:szCs w:val="16"/>
              </w:rPr>
            </w:pPr>
            <w:r w:rsidRPr="003022AB">
              <w:rPr>
                <w:rFonts w:ascii="Arial" w:hAnsi="Arial" w:cs="Arial"/>
                <w:color w:val="000000"/>
                <w:sz w:val="16"/>
                <w:szCs w:val="16"/>
              </w:rPr>
              <w:t>We focused on the scenario where the antiviral stockpile was used to limit the impact prior to the availability of vaccines. We have showed in previous work that vaccination is the more resource-efficient intervention compared to test-and-treat during a pandemic</w:t>
            </w:r>
            <w:r w:rsidR="00FF6897">
              <w:rPr>
                <w:rFonts w:ascii="Arial" w:hAnsi="Arial" w:cs="Arial"/>
                <w:color w:val="000000"/>
                <w:sz w:val="16"/>
                <w:szCs w:val="16"/>
              </w:rPr>
              <w:t xml:space="preserve"> </w:t>
            </w:r>
            <w:r w:rsidRPr="003022AB">
              <w:rPr>
                <w:rFonts w:ascii="Arial" w:hAnsi="Arial" w:cs="Arial"/>
                <w:color w:val="000000"/>
                <w:sz w:val="16"/>
                <w:szCs w:val="16"/>
              </w:rPr>
              <w:fldChar w:fldCharType="begin"/>
            </w:r>
            <w:r w:rsidR="006A263E">
              <w:rPr>
                <w:rFonts w:ascii="Arial" w:hAnsi="Arial" w:cs="Arial"/>
                <w:color w:val="000000"/>
                <w:sz w:val="16"/>
                <w:szCs w:val="16"/>
              </w:rPr>
              <w:instrText xml:space="preserve"> ADDIN ZOTERO_ITEM CSL_CITATION {"citationID":"ohQovZ37","properties":{"formattedCitation":"(Han et al., 2023)","plainCitation":"(Han et al., 2023)","noteIndex":0},"citationItems":[{"id":19,"uris":["http://zotero.org/users/local/0pdZPGmr/items/XZABVFG3","http://zotero.org/users/9596130/items/XZABVFG3"],"itemData":{"id":19,"type":"article-journal","abstract":"Oral antivirals have the potential to reduce the public health burden of COVID-19. However, now that we have exited the emergency-phase of the COVID-19 pandemic, declining SARS-CoV-2 clinical testing rates (average testing rates = $$\\ll$$10 tests/100,000 people/day in low-and-middle income countries; &lt;100 tests/100,000 people/day in high-income countries; September 2023) make the development of effective test-and-treat programs challenging. We used an agent-based model to investigate how testing rates and strategies affect the use and effectiveness of oral antiviral test-to-treat programs in four country archetypes of different income levels and demographies. We find that in the post-emergency-phase of the pandemic, in countries where low testing rates are driven by limited testing capacity, significant population-level impact of test-and-treat programs can only be achieved by both increasing testing rates and prioritizing individuals with greater risk of severe disease. However, for all countries, significant reductions in severe cases with antivirals are only possible if testing rates were substantially increased with high willingness of people to seek testing. Comparing the potential population-level reductions in severe disease outcomes of test-to-treat programs and vaccination shows that test-and-treat strategies are likely substantially more resource intensive requiring very high levels of testing (</w:instrText>
            </w:r>
            <w:r w:rsidR="006A263E">
              <w:rPr>
                <w:rFonts w:ascii="Cambria Math" w:hAnsi="Cambria Math" w:cs="Cambria Math"/>
                <w:color w:val="000000"/>
                <w:sz w:val="16"/>
                <w:szCs w:val="16"/>
              </w:rPr>
              <w:instrText>≫</w:instrText>
            </w:r>
            <w:r w:rsidR="006A263E">
              <w:rPr>
                <w:rFonts w:ascii="Arial" w:hAnsi="Arial" w:cs="Arial"/>
                <w:color w:val="000000"/>
                <w:sz w:val="16"/>
                <w:szCs w:val="16"/>
              </w:rPr>
              <w:instrText xml:space="preserve">100 tests/100,000 people/day) and antiviral use suggesting that vaccination should be a higher priority.","container-title":"Nature Communications","DOI":"10.1038/s41467-023-43769-z","ISSN":"2041-1723","issue":"1","journalAbbreviation":"Nature Communications","page":"7981","title":"Estimating the potential impact and diagnostic requirements for SARS-CoV-2 test-and-treat programs","volume":"14","author":[{"family":"Han","given":"Alvin X."},{"family":"Hannay","given":"Emma"},{"family":"Carmona","given":"Sergio"},{"family":"Rodriguez","given":"Bill"},{"family":"Nichols","given":"Brooke E."},{"family":"Russell","given":"Colin A."}],"issued":{"date-parts":[["2023",12,2]]}}}],"schema":"https://github.com/citation-style-language/schema/raw/master/csl-citation.json"} </w:instrText>
            </w:r>
            <w:r w:rsidRPr="003022AB">
              <w:rPr>
                <w:rFonts w:ascii="Arial" w:hAnsi="Arial" w:cs="Arial"/>
                <w:color w:val="000000"/>
                <w:sz w:val="16"/>
                <w:szCs w:val="16"/>
              </w:rPr>
              <w:fldChar w:fldCharType="separate"/>
            </w:r>
            <w:r w:rsidR="006A263E">
              <w:rPr>
                <w:rFonts w:ascii="Arial" w:hAnsi="Arial" w:cs="Arial"/>
                <w:color w:val="000000"/>
                <w:sz w:val="16"/>
                <w:lang w:val="en-US"/>
              </w:rPr>
              <w:t>(Han et al., 2023)</w:t>
            </w:r>
            <w:r w:rsidRPr="003022AB">
              <w:rPr>
                <w:rFonts w:ascii="Arial" w:hAnsi="Arial" w:cs="Arial"/>
                <w:color w:val="000000"/>
                <w:sz w:val="16"/>
                <w:szCs w:val="16"/>
              </w:rPr>
              <w:fldChar w:fldCharType="end"/>
            </w:r>
            <w:r w:rsidR="00FF6897">
              <w:rPr>
                <w:rFonts w:ascii="Arial" w:hAnsi="Arial" w:cs="Arial"/>
                <w:color w:val="000000"/>
                <w:sz w:val="16"/>
                <w:szCs w:val="16"/>
              </w:rPr>
              <w:t>.</w:t>
            </w:r>
            <w:r w:rsidRPr="003022AB">
              <w:rPr>
                <w:rFonts w:ascii="Arial" w:hAnsi="Arial" w:cs="Arial"/>
                <w:color w:val="000000"/>
                <w:sz w:val="16"/>
                <w:szCs w:val="16"/>
              </w:rPr>
              <w:t xml:space="preserve"> </w:t>
            </w:r>
          </w:p>
        </w:tc>
      </w:tr>
      <w:tr w:rsidR="005D4FCC" w:rsidRPr="003022AB" w14:paraId="257512C9" w14:textId="77777777" w:rsidTr="004D4519">
        <w:trPr>
          <w:trHeight w:val="283"/>
        </w:trPr>
        <w:tc>
          <w:tcPr>
            <w:tcW w:w="241" w:type="pct"/>
            <w:tcBorders>
              <w:top w:val="nil"/>
              <w:left w:val="nil"/>
              <w:bottom w:val="single" w:sz="4" w:space="0" w:color="auto"/>
              <w:right w:val="nil"/>
            </w:tcBorders>
            <w:shd w:val="clear" w:color="auto" w:fill="auto"/>
            <w:hideMark/>
          </w:tcPr>
          <w:p w14:paraId="71474B75" w14:textId="77777777" w:rsidR="005D4FCC" w:rsidRPr="003022AB" w:rsidRDefault="005D4FCC" w:rsidP="005D4FCC">
            <w:pPr>
              <w:spacing w:line="276" w:lineRule="auto"/>
              <w:rPr>
                <w:rFonts w:ascii="Arial" w:hAnsi="Arial" w:cs="Arial"/>
                <w:color w:val="000000"/>
                <w:sz w:val="16"/>
                <w:szCs w:val="16"/>
              </w:rPr>
            </w:pPr>
            <w:r w:rsidRPr="003022AB">
              <w:rPr>
                <w:rFonts w:ascii="Arial" w:hAnsi="Arial" w:cs="Arial"/>
                <w:color w:val="000000"/>
                <w:sz w:val="16"/>
                <w:szCs w:val="16"/>
              </w:rPr>
              <w:t>6</w:t>
            </w:r>
          </w:p>
        </w:tc>
        <w:tc>
          <w:tcPr>
            <w:tcW w:w="1818" w:type="pct"/>
            <w:tcBorders>
              <w:top w:val="nil"/>
              <w:left w:val="nil"/>
              <w:bottom w:val="single" w:sz="4" w:space="0" w:color="auto"/>
              <w:right w:val="nil"/>
            </w:tcBorders>
            <w:shd w:val="clear" w:color="auto" w:fill="auto"/>
            <w:hideMark/>
          </w:tcPr>
          <w:p w14:paraId="5726B1D3" w14:textId="77777777" w:rsidR="005D4FCC" w:rsidRPr="003022AB" w:rsidRDefault="005D4FCC" w:rsidP="005D4FCC">
            <w:pPr>
              <w:spacing w:line="276" w:lineRule="auto"/>
              <w:rPr>
                <w:rFonts w:ascii="Arial" w:hAnsi="Arial" w:cs="Arial"/>
                <w:color w:val="000000"/>
                <w:sz w:val="16"/>
                <w:szCs w:val="16"/>
              </w:rPr>
            </w:pPr>
            <w:r w:rsidRPr="003022AB">
              <w:rPr>
                <w:rFonts w:ascii="Arial" w:hAnsi="Arial" w:cs="Arial"/>
                <w:color w:val="000000"/>
                <w:sz w:val="16"/>
                <w:szCs w:val="16"/>
              </w:rPr>
              <w:t>No implementation of non-pharmaceutical interventions (NPIs)</w:t>
            </w:r>
          </w:p>
        </w:tc>
        <w:tc>
          <w:tcPr>
            <w:tcW w:w="2941" w:type="pct"/>
            <w:tcBorders>
              <w:top w:val="nil"/>
              <w:left w:val="nil"/>
              <w:bottom w:val="single" w:sz="4" w:space="0" w:color="auto"/>
              <w:right w:val="nil"/>
            </w:tcBorders>
            <w:shd w:val="clear" w:color="auto" w:fill="auto"/>
            <w:hideMark/>
          </w:tcPr>
          <w:p w14:paraId="0280E245" w14:textId="775461D4" w:rsidR="005D4FCC" w:rsidRPr="003022AB" w:rsidRDefault="005D4FCC" w:rsidP="005D4FCC">
            <w:pPr>
              <w:spacing w:line="276" w:lineRule="auto"/>
              <w:rPr>
                <w:rFonts w:ascii="Arial" w:hAnsi="Arial" w:cs="Arial"/>
                <w:color w:val="000000"/>
                <w:sz w:val="16"/>
                <w:szCs w:val="16"/>
              </w:rPr>
            </w:pPr>
            <w:r w:rsidRPr="003022AB">
              <w:rPr>
                <w:rFonts w:ascii="Arial" w:hAnsi="Arial" w:cs="Arial"/>
                <w:color w:val="000000"/>
                <w:sz w:val="16"/>
                <w:szCs w:val="16"/>
              </w:rPr>
              <w:t>NPIs could lower antiviral demand and augment burden reduction. However, the effectiveness of NPIs are often context dependent, with varying degrees of socio-economic impacts</w:t>
            </w:r>
            <w:r w:rsidR="00FF6897">
              <w:rPr>
                <w:rFonts w:ascii="Arial" w:hAnsi="Arial" w:cs="Arial"/>
                <w:color w:val="000000"/>
                <w:sz w:val="16"/>
                <w:szCs w:val="16"/>
              </w:rPr>
              <w:t xml:space="preserve"> </w:t>
            </w:r>
            <w:r w:rsidRPr="003022AB">
              <w:rPr>
                <w:rFonts w:ascii="Arial" w:hAnsi="Arial" w:cs="Arial"/>
                <w:color w:val="000000"/>
                <w:sz w:val="16"/>
                <w:szCs w:val="16"/>
              </w:rPr>
              <w:fldChar w:fldCharType="begin"/>
            </w:r>
            <w:r w:rsidR="006A263E">
              <w:rPr>
                <w:rFonts w:ascii="Arial" w:hAnsi="Arial" w:cs="Arial"/>
                <w:color w:val="000000"/>
                <w:sz w:val="16"/>
                <w:szCs w:val="16"/>
              </w:rPr>
              <w:instrText xml:space="preserve"> ADDIN ZOTERO_ITEM CSL_CITATION {"citationID":"Xb1EzFzK","properties":{"formattedCitation":"(Haug et al., 2020)","plainCitation":"(Haug et al., 2020)","noteIndex":0},"citationItems":[{"id":226,"uris":["http://zotero.org/users/local/0pdZPGmr/items/HJP6QG57","http://zotero.org/users/9596130/items/HJP6QG57"],"itemData":{"id":226,"type":"article-journal","abstract":"Assessing the effectiveness of non-pharmaceutical interventions (NPIs) to mitigate the spread of SARS-CoV-2 is critical to inform future preparedness response plans. Here we quantify the impact of 6,068 hierarchically coded NPIs implemented in 79 territories on the effective reproduction number, Rt, of COVID-19. We propose a modelling approach that combines four computational techniques merging statistical, inference and artificial intelligence tools. We validate our findings with two external datasets recording 42,151 additional NPIs from 226 countries. Our results indicate that a suitable combination of NPIs is necessary to curb the spread of the virus. Less disruptive and costly NPIs can be as effective as more intrusive, drastic, ones (for example, a national lockdown). Using country-specific ‘what-if’ scenarios, we assess how the effectiveness of NPIs depends on the local context such as timing of their adoption, opening the way for forecasting the effectiveness of future interventions.","container-title":"Nature Human Behaviour","DOI":"10.1038/s41562-020-01009-0","ISSN":"2397-3374","issue":"12","journalAbbreviation":"Nature Human Behaviour","page":"1303-1312","title":"Ranking the effectiveness of worldwide COVID-19 government interventions","volume":"4","author":[{"family":"Haug","given":"Nina"},{"family":"Geyrhofer","given":"Lukas"},{"family":"Londei","given":"Alessandro"},{"family":"Dervic","given":"Elma"},{"family":"Desvars-Larrive","given":"Amélie"},{"family":"Loreto","given":"Vittorio"},{"family":"Pinior","given":"Beate"},{"family":"Thurner","given":"Stefan"},{"family":"Klimek","given":"Peter"}],"issued":{"date-parts":[["2020",12,1]]}}}],"schema":"https://github.com/citation-style-language/schema/raw/master/csl-citation.json"} </w:instrText>
            </w:r>
            <w:r w:rsidRPr="003022AB">
              <w:rPr>
                <w:rFonts w:ascii="Arial" w:hAnsi="Arial" w:cs="Arial"/>
                <w:color w:val="000000"/>
                <w:sz w:val="16"/>
                <w:szCs w:val="16"/>
              </w:rPr>
              <w:fldChar w:fldCharType="separate"/>
            </w:r>
            <w:r w:rsidR="006A263E">
              <w:rPr>
                <w:rFonts w:ascii="Arial" w:hAnsi="Arial" w:cs="Arial"/>
                <w:color w:val="000000"/>
                <w:sz w:val="16"/>
                <w:lang w:val="en-US"/>
              </w:rPr>
              <w:t>(Haug et al., 2020)</w:t>
            </w:r>
            <w:r w:rsidRPr="003022AB">
              <w:rPr>
                <w:rFonts w:ascii="Arial" w:hAnsi="Arial" w:cs="Arial"/>
                <w:color w:val="000000"/>
                <w:sz w:val="16"/>
                <w:szCs w:val="16"/>
              </w:rPr>
              <w:fldChar w:fldCharType="end"/>
            </w:r>
            <w:r w:rsidRPr="003022AB">
              <w:rPr>
                <w:rFonts w:ascii="Arial" w:hAnsi="Arial" w:cs="Arial"/>
                <w:color w:val="000000"/>
                <w:sz w:val="16"/>
                <w:szCs w:val="16"/>
              </w:rPr>
              <w:t xml:space="preserve"> associated with different NPIs that must be carefully considered alongside the cost effectiveness of mass test-and-treat distribution, which is outside the scope of this work. </w:t>
            </w:r>
          </w:p>
        </w:tc>
      </w:tr>
    </w:tbl>
    <w:p w14:paraId="175E78D3" w14:textId="77777777" w:rsidR="005D4FCC" w:rsidRDefault="005D4FCC" w:rsidP="005D4FCC">
      <w:pPr>
        <w:rPr>
          <w:b/>
        </w:rPr>
      </w:pPr>
    </w:p>
    <w:p w14:paraId="1E4DEBEE" w14:textId="77777777" w:rsidR="005D4FCC" w:rsidRDefault="005D4FCC" w:rsidP="005D4FCC">
      <w:pPr>
        <w:rPr>
          <w:b/>
        </w:rPr>
      </w:pPr>
    </w:p>
    <w:p w14:paraId="2E60C28F" w14:textId="77777777" w:rsidR="005D4FCC" w:rsidRDefault="005D4FCC" w:rsidP="005D4FCC">
      <w:pPr>
        <w:rPr>
          <w:b/>
        </w:rPr>
      </w:pPr>
      <w:r>
        <w:rPr>
          <w:b/>
        </w:rPr>
        <w:br w:type="page"/>
      </w:r>
    </w:p>
    <w:p w14:paraId="5114AB29" w14:textId="23864F63" w:rsidR="005D4FCC" w:rsidRPr="001C66B2" w:rsidRDefault="005D4FCC" w:rsidP="005D4FCC">
      <w:r>
        <w:rPr>
          <w:b/>
        </w:rPr>
        <w:lastRenderedPageBreak/>
        <w:t>Appendix</w:t>
      </w:r>
      <w:r>
        <w:rPr>
          <w:b/>
        </w:rPr>
        <w:t xml:space="preserve"> Table 3</w:t>
      </w:r>
      <w:r w:rsidRPr="001C66B2">
        <w:rPr>
          <w:b/>
        </w:rPr>
        <w:t xml:space="preserve">. </w:t>
      </w:r>
      <w:r>
        <w:rPr>
          <w:b/>
          <w:lang w:val="en-US"/>
        </w:rPr>
        <w:t>Mean</w:t>
      </w:r>
      <w:r w:rsidRPr="001C66B2">
        <w:rPr>
          <w:b/>
          <w:lang w:val="en-US"/>
        </w:rPr>
        <w:t xml:space="preserve"> deaths averted by test-and-treat with oral antivirals</w:t>
      </w:r>
      <w:r>
        <w:rPr>
          <w:b/>
          <w:lang w:val="en-US"/>
        </w:rPr>
        <w:t xml:space="preserve"> (baloxavir marboxil (BXM) or oseltamivir (OSL), and the corresponding antiviral and rapid testing demand</w:t>
      </w:r>
      <w:r w:rsidRPr="001C66B2">
        <w:rPr>
          <w:b/>
          <w:lang w:val="en-US"/>
        </w:rPr>
        <w:t xml:space="preserve"> in 186 countries under ideal</w:t>
      </w:r>
      <w:r>
        <w:rPr>
          <w:b/>
          <w:lang w:val="en-US"/>
        </w:rPr>
        <w:t>ise</w:t>
      </w:r>
      <w:r w:rsidRPr="001C66B2">
        <w:rPr>
          <w:b/>
          <w:lang w:val="en-US"/>
        </w:rPr>
        <w:t>d assumptions</w:t>
      </w:r>
      <w:r>
        <w:rPr>
          <w:b/>
          <w:lang w:val="en-US"/>
        </w:rPr>
        <w:t xml:space="preserve">. </w:t>
      </w:r>
      <w:r>
        <w:rPr>
          <w:lang w:val="en-US"/>
        </w:rPr>
        <w:t xml:space="preserve"> [Supplementary file]</w:t>
      </w:r>
    </w:p>
    <w:p w14:paraId="20F71B1D" w14:textId="77777777" w:rsidR="005D4FCC" w:rsidRDefault="005D4FCC" w:rsidP="005D4FCC"/>
    <w:p w14:paraId="7072374F" w14:textId="1AAC3EE6" w:rsidR="005D4FCC" w:rsidRDefault="005D4FCC" w:rsidP="005D4FCC">
      <w:r>
        <w:rPr>
          <w:b/>
        </w:rPr>
        <w:t>Appendix</w:t>
      </w:r>
      <w:r>
        <w:rPr>
          <w:b/>
        </w:rPr>
        <w:t xml:space="preserve"> Table 4</w:t>
      </w:r>
      <w:r w:rsidRPr="001C66B2">
        <w:rPr>
          <w:b/>
        </w:rPr>
        <w:t xml:space="preserve">. </w:t>
      </w:r>
      <w:r>
        <w:rPr>
          <w:b/>
          <w:lang w:val="en-US"/>
        </w:rPr>
        <w:t xml:space="preserve">Breakdown of baloxavir marboxil (BXM) and oseltamivir stockpile when performing age-based rationing of BXM. </w:t>
      </w:r>
      <w:r>
        <w:rPr>
          <w:lang w:val="en-US"/>
        </w:rPr>
        <w:t xml:space="preserve">Countries are differentiated by their income groups (low-income, LIC; lower-middle income, LMIC; upper-middle income, UMIC; and high-income, HIC). The median and interquartile range (IQR) of the percentage of stockpile comprising of BXM, and the corresponding per-capita BXM and oseltamivir demand are tabulated. </w:t>
      </w:r>
    </w:p>
    <w:tbl>
      <w:tblPr>
        <w:tblW w:w="5000" w:type="pct"/>
        <w:tblLayout w:type="fixed"/>
        <w:tblLook w:val="04A0" w:firstRow="1" w:lastRow="0" w:firstColumn="1" w:lastColumn="0" w:noHBand="0" w:noVBand="1"/>
      </w:tblPr>
      <w:tblGrid>
        <w:gridCol w:w="1062"/>
        <w:gridCol w:w="1128"/>
        <w:gridCol w:w="880"/>
        <w:gridCol w:w="992"/>
        <w:gridCol w:w="992"/>
        <w:gridCol w:w="992"/>
        <w:gridCol w:w="992"/>
        <w:gridCol w:w="992"/>
        <w:gridCol w:w="990"/>
      </w:tblGrid>
      <w:tr w:rsidR="005D4FCC" w:rsidRPr="005E2F89" w14:paraId="38CAB808" w14:textId="77777777" w:rsidTr="004D4519">
        <w:trPr>
          <w:trHeight w:val="397"/>
        </w:trPr>
        <w:tc>
          <w:tcPr>
            <w:tcW w:w="588" w:type="pct"/>
            <w:vMerge w:val="restart"/>
            <w:tcBorders>
              <w:top w:val="single" w:sz="4" w:space="0" w:color="auto"/>
              <w:left w:val="nil"/>
              <w:right w:val="nil"/>
            </w:tcBorders>
            <w:shd w:val="clear" w:color="auto" w:fill="auto"/>
            <w:noWrap/>
            <w:vAlign w:val="center"/>
            <w:hideMark/>
          </w:tcPr>
          <w:p w14:paraId="68C0B92C" w14:textId="77777777" w:rsidR="005D4FCC" w:rsidRPr="005E2F89" w:rsidRDefault="005D4FCC" w:rsidP="005D4FCC">
            <w:pPr>
              <w:spacing w:line="276" w:lineRule="auto"/>
              <w:rPr>
                <w:rFonts w:ascii="Arial" w:hAnsi="Arial" w:cs="Arial"/>
                <w:b/>
                <w:color w:val="000000"/>
                <w:sz w:val="14"/>
                <w:szCs w:val="14"/>
              </w:rPr>
            </w:pPr>
            <w:r w:rsidRPr="005E2F89">
              <w:rPr>
                <w:rFonts w:ascii="Arial" w:hAnsi="Arial" w:cs="Arial"/>
                <w:b/>
                <w:color w:val="000000"/>
                <w:sz w:val="14"/>
                <w:szCs w:val="14"/>
              </w:rPr>
              <w:t> </w:t>
            </w:r>
          </w:p>
          <w:p w14:paraId="448CC758" w14:textId="77777777" w:rsidR="005D4FCC" w:rsidRDefault="005D4FCC" w:rsidP="005D4FCC">
            <w:pPr>
              <w:spacing w:line="276" w:lineRule="auto"/>
              <w:rPr>
                <w:rFonts w:ascii="Arial" w:hAnsi="Arial" w:cs="Arial"/>
                <w:b/>
                <w:color w:val="000000"/>
                <w:sz w:val="14"/>
                <w:szCs w:val="14"/>
              </w:rPr>
            </w:pPr>
            <w:r>
              <w:rPr>
                <w:rFonts w:ascii="Arial" w:hAnsi="Arial" w:cs="Arial"/>
                <w:b/>
                <w:color w:val="000000"/>
                <w:sz w:val="14"/>
                <w:szCs w:val="14"/>
              </w:rPr>
              <w:t>Country i</w:t>
            </w:r>
            <w:r w:rsidRPr="005E2F89">
              <w:rPr>
                <w:rFonts w:ascii="Arial" w:hAnsi="Arial" w:cs="Arial"/>
                <w:b/>
                <w:color w:val="000000"/>
                <w:sz w:val="14"/>
                <w:szCs w:val="14"/>
              </w:rPr>
              <w:t xml:space="preserve">ncome </w:t>
            </w:r>
          </w:p>
          <w:p w14:paraId="67C84632" w14:textId="77777777" w:rsidR="005D4FCC" w:rsidRPr="005E2F89" w:rsidRDefault="005D4FCC" w:rsidP="005D4FCC">
            <w:pPr>
              <w:spacing w:line="276" w:lineRule="auto"/>
              <w:rPr>
                <w:rFonts w:ascii="Arial" w:hAnsi="Arial" w:cs="Arial"/>
                <w:b/>
                <w:color w:val="000000"/>
                <w:sz w:val="14"/>
                <w:szCs w:val="14"/>
              </w:rPr>
            </w:pPr>
            <w:r w:rsidRPr="005E2F89">
              <w:rPr>
                <w:rFonts w:ascii="Arial" w:hAnsi="Arial" w:cs="Arial"/>
                <w:b/>
                <w:color w:val="000000"/>
                <w:sz w:val="14"/>
                <w:szCs w:val="14"/>
              </w:rPr>
              <w:t>group</w:t>
            </w:r>
          </w:p>
        </w:tc>
        <w:tc>
          <w:tcPr>
            <w:tcW w:w="625" w:type="pct"/>
            <w:vMerge w:val="restart"/>
            <w:tcBorders>
              <w:top w:val="single" w:sz="4" w:space="0" w:color="auto"/>
              <w:left w:val="nil"/>
              <w:right w:val="nil"/>
            </w:tcBorders>
            <w:shd w:val="clear" w:color="auto" w:fill="auto"/>
            <w:noWrap/>
            <w:vAlign w:val="center"/>
            <w:hideMark/>
          </w:tcPr>
          <w:p w14:paraId="0939D418" w14:textId="77777777" w:rsidR="005D4FCC" w:rsidRPr="005E2F89" w:rsidRDefault="005D4FCC" w:rsidP="005D4FCC">
            <w:pPr>
              <w:spacing w:line="276" w:lineRule="auto"/>
              <w:rPr>
                <w:rFonts w:ascii="Arial" w:hAnsi="Arial" w:cs="Arial"/>
                <w:b/>
                <w:color w:val="000000"/>
                <w:sz w:val="14"/>
                <w:szCs w:val="14"/>
              </w:rPr>
            </w:pPr>
            <w:r w:rsidRPr="005E2F89">
              <w:rPr>
                <w:rFonts w:ascii="Arial" w:hAnsi="Arial" w:cs="Arial"/>
                <w:b/>
                <w:color w:val="000000"/>
                <w:sz w:val="14"/>
                <w:szCs w:val="14"/>
              </w:rPr>
              <w:t> </w:t>
            </w:r>
          </w:p>
          <w:p w14:paraId="0A8A4DBA" w14:textId="77777777" w:rsidR="005D4FCC" w:rsidRPr="005E2F89" w:rsidRDefault="005D4FCC" w:rsidP="005D4FCC">
            <w:pPr>
              <w:spacing w:line="276" w:lineRule="auto"/>
              <w:rPr>
                <w:rFonts w:ascii="Arial" w:hAnsi="Arial" w:cs="Arial"/>
                <w:b/>
                <w:color w:val="000000"/>
                <w:sz w:val="14"/>
                <w:szCs w:val="14"/>
              </w:rPr>
            </w:pPr>
            <w:r w:rsidRPr="005E2F89">
              <w:rPr>
                <w:rFonts w:ascii="Arial" w:hAnsi="Arial" w:cs="Arial"/>
                <w:b/>
                <w:color w:val="000000"/>
                <w:sz w:val="14"/>
                <w:szCs w:val="14"/>
              </w:rPr>
              <w:t>Ration age group</w:t>
            </w:r>
          </w:p>
        </w:tc>
        <w:tc>
          <w:tcPr>
            <w:tcW w:w="488" w:type="pct"/>
            <w:vMerge w:val="restart"/>
            <w:tcBorders>
              <w:top w:val="single" w:sz="4" w:space="0" w:color="auto"/>
              <w:left w:val="nil"/>
              <w:right w:val="nil"/>
            </w:tcBorders>
            <w:shd w:val="clear" w:color="auto" w:fill="auto"/>
            <w:noWrap/>
            <w:vAlign w:val="center"/>
            <w:hideMark/>
          </w:tcPr>
          <w:p w14:paraId="76D4841A" w14:textId="77777777" w:rsidR="005D4FCC" w:rsidRPr="005E2F89" w:rsidRDefault="005D4FCC" w:rsidP="005D4FCC">
            <w:pPr>
              <w:spacing w:line="276" w:lineRule="auto"/>
              <w:rPr>
                <w:rFonts w:ascii="Arial" w:hAnsi="Arial" w:cs="Arial"/>
                <w:b/>
                <w:color w:val="000000"/>
                <w:sz w:val="14"/>
                <w:szCs w:val="14"/>
              </w:rPr>
            </w:pPr>
            <w:r w:rsidRPr="005E2F89">
              <w:rPr>
                <w:rFonts w:ascii="Arial" w:hAnsi="Arial" w:cs="Arial"/>
                <w:b/>
                <w:color w:val="000000"/>
                <w:sz w:val="14"/>
                <w:szCs w:val="14"/>
              </w:rPr>
              <w:t> </w:t>
            </w:r>
          </w:p>
          <w:p w14:paraId="51DCC7BD" w14:textId="77777777" w:rsidR="005D4FCC" w:rsidRPr="005E2F89" w:rsidRDefault="005D4FCC" w:rsidP="005D4FCC">
            <w:pPr>
              <w:spacing w:line="276" w:lineRule="auto"/>
              <w:rPr>
                <w:rFonts w:ascii="Arial" w:hAnsi="Arial" w:cs="Arial"/>
                <w:b/>
                <w:color w:val="000000"/>
                <w:sz w:val="14"/>
                <w:szCs w:val="14"/>
              </w:rPr>
            </w:pPr>
            <w:r w:rsidRPr="005E2F89">
              <w:rPr>
                <w:rFonts w:ascii="Arial" w:hAnsi="Arial" w:cs="Arial"/>
                <w:b/>
                <w:color w:val="000000"/>
                <w:sz w:val="14"/>
                <w:szCs w:val="14"/>
              </w:rPr>
              <w:t>Pandemic</w:t>
            </w:r>
          </w:p>
        </w:tc>
        <w:tc>
          <w:tcPr>
            <w:tcW w:w="1100" w:type="pct"/>
            <w:gridSpan w:val="2"/>
            <w:tcBorders>
              <w:top w:val="single" w:sz="4" w:space="0" w:color="auto"/>
              <w:left w:val="nil"/>
              <w:bottom w:val="single" w:sz="4" w:space="0" w:color="auto"/>
              <w:right w:val="nil"/>
            </w:tcBorders>
            <w:shd w:val="clear" w:color="auto" w:fill="auto"/>
            <w:noWrap/>
            <w:vAlign w:val="center"/>
            <w:hideMark/>
          </w:tcPr>
          <w:p w14:paraId="1DE785E3" w14:textId="77777777" w:rsidR="005D4FCC" w:rsidRPr="005E2F89" w:rsidRDefault="005D4FCC" w:rsidP="005D4FCC">
            <w:pPr>
              <w:spacing w:line="276" w:lineRule="auto"/>
              <w:rPr>
                <w:rFonts w:ascii="Arial" w:hAnsi="Arial" w:cs="Arial"/>
                <w:b/>
                <w:color w:val="000000"/>
                <w:sz w:val="14"/>
                <w:szCs w:val="14"/>
              </w:rPr>
            </w:pPr>
            <w:r w:rsidRPr="005E2F89">
              <w:rPr>
                <w:rFonts w:ascii="Arial" w:hAnsi="Arial" w:cs="Arial"/>
                <w:b/>
                <w:color w:val="000000"/>
                <w:sz w:val="14"/>
                <w:szCs w:val="14"/>
              </w:rPr>
              <w:t>Percentage of stockpile comprising of BXM</w:t>
            </w:r>
          </w:p>
        </w:tc>
        <w:tc>
          <w:tcPr>
            <w:tcW w:w="1100" w:type="pct"/>
            <w:gridSpan w:val="2"/>
            <w:tcBorders>
              <w:top w:val="single" w:sz="4" w:space="0" w:color="auto"/>
              <w:left w:val="nil"/>
              <w:bottom w:val="single" w:sz="4" w:space="0" w:color="auto"/>
              <w:right w:val="nil"/>
            </w:tcBorders>
            <w:shd w:val="clear" w:color="auto" w:fill="auto"/>
            <w:noWrap/>
            <w:vAlign w:val="center"/>
            <w:hideMark/>
          </w:tcPr>
          <w:p w14:paraId="56082257" w14:textId="77777777" w:rsidR="005D4FCC" w:rsidRPr="005E2F89" w:rsidRDefault="005D4FCC" w:rsidP="005D4FCC">
            <w:pPr>
              <w:spacing w:line="276" w:lineRule="auto"/>
              <w:rPr>
                <w:rFonts w:ascii="Arial" w:hAnsi="Arial" w:cs="Arial"/>
                <w:b/>
                <w:color w:val="000000"/>
                <w:sz w:val="14"/>
                <w:szCs w:val="14"/>
              </w:rPr>
            </w:pPr>
            <w:r w:rsidRPr="005E2F89">
              <w:rPr>
                <w:rFonts w:ascii="Arial" w:hAnsi="Arial" w:cs="Arial"/>
                <w:b/>
                <w:color w:val="000000"/>
                <w:sz w:val="14"/>
                <w:szCs w:val="14"/>
              </w:rPr>
              <w:t>Per-capita BXM demand</w:t>
            </w:r>
          </w:p>
        </w:tc>
        <w:tc>
          <w:tcPr>
            <w:tcW w:w="1100" w:type="pct"/>
            <w:gridSpan w:val="2"/>
            <w:tcBorders>
              <w:top w:val="single" w:sz="4" w:space="0" w:color="auto"/>
              <w:left w:val="nil"/>
              <w:bottom w:val="single" w:sz="4" w:space="0" w:color="auto"/>
              <w:right w:val="nil"/>
            </w:tcBorders>
            <w:shd w:val="clear" w:color="auto" w:fill="auto"/>
            <w:noWrap/>
            <w:vAlign w:val="center"/>
            <w:hideMark/>
          </w:tcPr>
          <w:p w14:paraId="111A4B62" w14:textId="77777777" w:rsidR="005D4FCC" w:rsidRPr="005E2F89" w:rsidRDefault="005D4FCC" w:rsidP="005D4FCC">
            <w:pPr>
              <w:spacing w:line="276" w:lineRule="auto"/>
              <w:rPr>
                <w:rFonts w:ascii="Arial" w:hAnsi="Arial" w:cs="Arial"/>
                <w:b/>
                <w:color w:val="000000"/>
                <w:sz w:val="14"/>
                <w:szCs w:val="14"/>
              </w:rPr>
            </w:pPr>
            <w:r w:rsidRPr="005E2F89">
              <w:rPr>
                <w:rFonts w:ascii="Arial" w:hAnsi="Arial" w:cs="Arial"/>
                <w:b/>
                <w:color w:val="000000"/>
                <w:sz w:val="14"/>
                <w:szCs w:val="14"/>
              </w:rPr>
              <w:t>Per-capita oseltamivir demand</w:t>
            </w:r>
          </w:p>
        </w:tc>
      </w:tr>
      <w:tr w:rsidR="005D4FCC" w:rsidRPr="005E2F89" w14:paraId="653D9FD6" w14:textId="77777777" w:rsidTr="004D4519">
        <w:trPr>
          <w:trHeight w:val="397"/>
        </w:trPr>
        <w:tc>
          <w:tcPr>
            <w:tcW w:w="588" w:type="pct"/>
            <w:vMerge/>
            <w:tcBorders>
              <w:left w:val="nil"/>
              <w:bottom w:val="single" w:sz="4" w:space="0" w:color="auto"/>
              <w:right w:val="nil"/>
            </w:tcBorders>
            <w:shd w:val="clear" w:color="auto" w:fill="auto"/>
            <w:noWrap/>
            <w:vAlign w:val="center"/>
            <w:hideMark/>
          </w:tcPr>
          <w:p w14:paraId="5402E50B" w14:textId="77777777" w:rsidR="005D4FCC" w:rsidRPr="005E2F89" w:rsidRDefault="005D4FCC" w:rsidP="005D4FCC">
            <w:pPr>
              <w:spacing w:line="276" w:lineRule="auto"/>
              <w:rPr>
                <w:rFonts w:ascii="Arial" w:hAnsi="Arial" w:cs="Arial"/>
                <w:color w:val="000000"/>
                <w:sz w:val="14"/>
                <w:szCs w:val="14"/>
              </w:rPr>
            </w:pPr>
          </w:p>
        </w:tc>
        <w:tc>
          <w:tcPr>
            <w:tcW w:w="625" w:type="pct"/>
            <w:vMerge/>
            <w:tcBorders>
              <w:left w:val="nil"/>
              <w:bottom w:val="single" w:sz="4" w:space="0" w:color="auto"/>
              <w:right w:val="nil"/>
            </w:tcBorders>
            <w:shd w:val="clear" w:color="auto" w:fill="auto"/>
            <w:noWrap/>
            <w:vAlign w:val="center"/>
            <w:hideMark/>
          </w:tcPr>
          <w:p w14:paraId="0E19C48B" w14:textId="77777777" w:rsidR="005D4FCC" w:rsidRPr="005E2F89" w:rsidRDefault="005D4FCC" w:rsidP="005D4FCC">
            <w:pPr>
              <w:spacing w:line="276" w:lineRule="auto"/>
              <w:rPr>
                <w:rFonts w:ascii="Arial" w:hAnsi="Arial" w:cs="Arial"/>
                <w:color w:val="000000"/>
                <w:sz w:val="14"/>
                <w:szCs w:val="14"/>
              </w:rPr>
            </w:pPr>
          </w:p>
        </w:tc>
        <w:tc>
          <w:tcPr>
            <w:tcW w:w="488" w:type="pct"/>
            <w:vMerge/>
            <w:tcBorders>
              <w:left w:val="nil"/>
              <w:bottom w:val="single" w:sz="4" w:space="0" w:color="auto"/>
              <w:right w:val="nil"/>
            </w:tcBorders>
            <w:shd w:val="clear" w:color="auto" w:fill="auto"/>
            <w:noWrap/>
            <w:vAlign w:val="center"/>
            <w:hideMark/>
          </w:tcPr>
          <w:p w14:paraId="0D95D168" w14:textId="77777777" w:rsidR="005D4FCC" w:rsidRPr="005E2F89" w:rsidRDefault="005D4FCC" w:rsidP="005D4FCC">
            <w:pPr>
              <w:spacing w:line="276" w:lineRule="auto"/>
              <w:rPr>
                <w:rFonts w:ascii="Arial" w:hAnsi="Arial" w:cs="Arial"/>
                <w:color w:val="000000"/>
                <w:sz w:val="14"/>
                <w:szCs w:val="14"/>
              </w:rPr>
            </w:pPr>
          </w:p>
        </w:tc>
        <w:tc>
          <w:tcPr>
            <w:tcW w:w="550" w:type="pct"/>
            <w:tcBorders>
              <w:top w:val="nil"/>
              <w:left w:val="nil"/>
              <w:bottom w:val="single" w:sz="4" w:space="0" w:color="auto"/>
              <w:right w:val="nil"/>
            </w:tcBorders>
            <w:shd w:val="clear" w:color="auto" w:fill="auto"/>
            <w:noWrap/>
            <w:vAlign w:val="center"/>
            <w:hideMark/>
          </w:tcPr>
          <w:p w14:paraId="478F2C24" w14:textId="77777777" w:rsidR="005D4FCC" w:rsidRPr="005E2F89" w:rsidRDefault="005D4FCC" w:rsidP="005D4FCC">
            <w:pPr>
              <w:spacing w:line="276" w:lineRule="auto"/>
              <w:rPr>
                <w:rFonts w:ascii="Arial" w:hAnsi="Arial" w:cs="Arial"/>
                <w:b/>
                <w:color w:val="000000"/>
                <w:sz w:val="14"/>
                <w:szCs w:val="14"/>
              </w:rPr>
            </w:pPr>
            <w:r w:rsidRPr="005E2F89">
              <w:rPr>
                <w:rFonts w:ascii="Arial" w:hAnsi="Arial" w:cs="Arial"/>
                <w:b/>
                <w:color w:val="000000"/>
                <w:sz w:val="14"/>
                <w:szCs w:val="14"/>
              </w:rPr>
              <w:t xml:space="preserve">Median </w:t>
            </w:r>
          </w:p>
        </w:tc>
        <w:tc>
          <w:tcPr>
            <w:tcW w:w="550" w:type="pct"/>
            <w:tcBorders>
              <w:top w:val="nil"/>
              <w:left w:val="nil"/>
              <w:bottom w:val="single" w:sz="4" w:space="0" w:color="auto"/>
              <w:right w:val="nil"/>
            </w:tcBorders>
            <w:shd w:val="clear" w:color="auto" w:fill="auto"/>
            <w:noWrap/>
            <w:vAlign w:val="center"/>
            <w:hideMark/>
          </w:tcPr>
          <w:p w14:paraId="5A9D451B" w14:textId="77777777" w:rsidR="005D4FCC" w:rsidRPr="005E2F89" w:rsidRDefault="005D4FCC" w:rsidP="005D4FCC">
            <w:pPr>
              <w:spacing w:line="276" w:lineRule="auto"/>
              <w:rPr>
                <w:rFonts w:ascii="Arial" w:hAnsi="Arial" w:cs="Arial"/>
                <w:b/>
                <w:color w:val="000000"/>
                <w:sz w:val="14"/>
                <w:szCs w:val="14"/>
              </w:rPr>
            </w:pPr>
            <w:r>
              <w:rPr>
                <w:rFonts w:ascii="Arial" w:hAnsi="Arial" w:cs="Arial"/>
                <w:b/>
                <w:color w:val="000000"/>
                <w:sz w:val="14"/>
                <w:szCs w:val="14"/>
              </w:rPr>
              <w:t>IQR</w:t>
            </w:r>
          </w:p>
        </w:tc>
        <w:tc>
          <w:tcPr>
            <w:tcW w:w="550" w:type="pct"/>
            <w:tcBorders>
              <w:top w:val="nil"/>
              <w:left w:val="nil"/>
              <w:bottom w:val="single" w:sz="4" w:space="0" w:color="auto"/>
              <w:right w:val="nil"/>
            </w:tcBorders>
            <w:shd w:val="clear" w:color="auto" w:fill="auto"/>
            <w:noWrap/>
            <w:vAlign w:val="center"/>
            <w:hideMark/>
          </w:tcPr>
          <w:p w14:paraId="5E710974" w14:textId="77777777" w:rsidR="005D4FCC" w:rsidRPr="005E2F89" w:rsidRDefault="005D4FCC" w:rsidP="005D4FCC">
            <w:pPr>
              <w:spacing w:line="276" w:lineRule="auto"/>
              <w:rPr>
                <w:rFonts w:ascii="Arial" w:hAnsi="Arial" w:cs="Arial"/>
                <w:b/>
                <w:color w:val="000000"/>
                <w:sz w:val="14"/>
                <w:szCs w:val="14"/>
              </w:rPr>
            </w:pPr>
            <w:r w:rsidRPr="005E2F89">
              <w:rPr>
                <w:rFonts w:ascii="Arial" w:hAnsi="Arial" w:cs="Arial"/>
                <w:b/>
                <w:color w:val="000000"/>
                <w:sz w:val="14"/>
                <w:szCs w:val="14"/>
              </w:rPr>
              <w:t xml:space="preserve">Median </w:t>
            </w:r>
          </w:p>
        </w:tc>
        <w:tc>
          <w:tcPr>
            <w:tcW w:w="550" w:type="pct"/>
            <w:tcBorders>
              <w:top w:val="nil"/>
              <w:left w:val="nil"/>
              <w:bottom w:val="single" w:sz="4" w:space="0" w:color="auto"/>
              <w:right w:val="nil"/>
            </w:tcBorders>
            <w:shd w:val="clear" w:color="auto" w:fill="auto"/>
            <w:noWrap/>
            <w:vAlign w:val="center"/>
            <w:hideMark/>
          </w:tcPr>
          <w:p w14:paraId="31848F84" w14:textId="77777777" w:rsidR="005D4FCC" w:rsidRPr="005E2F89" w:rsidRDefault="005D4FCC" w:rsidP="005D4FCC">
            <w:pPr>
              <w:spacing w:line="276" w:lineRule="auto"/>
              <w:rPr>
                <w:rFonts w:ascii="Arial" w:hAnsi="Arial" w:cs="Arial"/>
                <w:b/>
                <w:color w:val="000000"/>
                <w:sz w:val="14"/>
                <w:szCs w:val="14"/>
              </w:rPr>
            </w:pPr>
            <w:r>
              <w:rPr>
                <w:rFonts w:ascii="Arial" w:hAnsi="Arial" w:cs="Arial"/>
                <w:b/>
                <w:color w:val="000000"/>
                <w:sz w:val="14"/>
                <w:szCs w:val="14"/>
              </w:rPr>
              <w:t>IQR</w:t>
            </w:r>
          </w:p>
        </w:tc>
        <w:tc>
          <w:tcPr>
            <w:tcW w:w="550" w:type="pct"/>
            <w:tcBorders>
              <w:top w:val="nil"/>
              <w:left w:val="nil"/>
              <w:bottom w:val="single" w:sz="4" w:space="0" w:color="auto"/>
              <w:right w:val="nil"/>
            </w:tcBorders>
            <w:shd w:val="clear" w:color="auto" w:fill="auto"/>
            <w:noWrap/>
            <w:vAlign w:val="center"/>
            <w:hideMark/>
          </w:tcPr>
          <w:p w14:paraId="458295C4" w14:textId="77777777" w:rsidR="005D4FCC" w:rsidRPr="005E2F89" w:rsidRDefault="005D4FCC" w:rsidP="005D4FCC">
            <w:pPr>
              <w:spacing w:line="276" w:lineRule="auto"/>
              <w:rPr>
                <w:rFonts w:ascii="Arial" w:hAnsi="Arial" w:cs="Arial"/>
                <w:b/>
                <w:color w:val="000000"/>
                <w:sz w:val="14"/>
                <w:szCs w:val="14"/>
              </w:rPr>
            </w:pPr>
            <w:r w:rsidRPr="005E2F89">
              <w:rPr>
                <w:rFonts w:ascii="Arial" w:hAnsi="Arial" w:cs="Arial"/>
                <w:b/>
                <w:color w:val="000000"/>
                <w:sz w:val="14"/>
                <w:szCs w:val="14"/>
              </w:rPr>
              <w:t xml:space="preserve">Median </w:t>
            </w:r>
          </w:p>
        </w:tc>
        <w:tc>
          <w:tcPr>
            <w:tcW w:w="550" w:type="pct"/>
            <w:tcBorders>
              <w:top w:val="nil"/>
              <w:left w:val="nil"/>
              <w:bottom w:val="single" w:sz="4" w:space="0" w:color="auto"/>
              <w:right w:val="nil"/>
            </w:tcBorders>
            <w:shd w:val="clear" w:color="auto" w:fill="auto"/>
            <w:noWrap/>
            <w:vAlign w:val="center"/>
            <w:hideMark/>
          </w:tcPr>
          <w:p w14:paraId="3DB85FBD" w14:textId="77777777" w:rsidR="005D4FCC" w:rsidRPr="005E2F89" w:rsidRDefault="005D4FCC" w:rsidP="005D4FCC">
            <w:pPr>
              <w:spacing w:line="276" w:lineRule="auto"/>
              <w:rPr>
                <w:rFonts w:ascii="Arial" w:hAnsi="Arial" w:cs="Arial"/>
                <w:b/>
                <w:color w:val="000000"/>
                <w:sz w:val="14"/>
                <w:szCs w:val="14"/>
              </w:rPr>
            </w:pPr>
            <w:r>
              <w:rPr>
                <w:rFonts w:ascii="Arial" w:hAnsi="Arial" w:cs="Arial"/>
                <w:b/>
                <w:color w:val="000000"/>
                <w:sz w:val="14"/>
                <w:szCs w:val="14"/>
              </w:rPr>
              <w:t>IQR</w:t>
            </w:r>
          </w:p>
        </w:tc>
      </w:tr>
      <w:tr w:rsidR="005D4FCC" w:rsidRPr="005E2F89" w14:paraId="3467A1DE" w14:textId="77777777" w:rsidTr="004D4519">
        <w:trPr>
          <w:trHeight w:val="397"/>
        </w:trPr>
        <w:tc>
          <w:tcPr>
            <w:tcW w:w="588" w:type="pct"/>
            <w:vMerge w:val="restart"/>
            <w:tcBorders>
              <w:top w:val="nil"/>
              <w:left w:val="nil"/>
              <w:bottom w:val="single" w:sz="4" w:space="0" w:color="000000"/>
              <w:right w:val="nil"/>
            </w:tcBorders>
            <w:shd w:val="clear" w:color="auto" w:fill="auto"/>
            <w:noWrap/>
            <w:vAlign w:val="center"/>
            <w:hideMark/>
          </w:tcPr>
          <w:p w14:paraId="0829CE34"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LIC</w:t>
            </w:r>
          </w:p>
        </w:tc>
        <w:tc>
          <w:tcPr>
            <w:tcW w:w="625" w:type="pct"/>
            <w:vMerge w:val="restart"/>
            <w:tcBorders>
              <w:top w:val="nil"/>
              <w:left w:val="nil"/>
              <w:bottom w:val="single" w:sz="4" w:space="0" w:color="000000"/>
              <w:right w:val="nil"/>
            </w:tcBorders>
            <w:shd w:val="clear" w:color="auto" w:fill="auto"/>
            <w:noWrap/>
            <w:vAlign w:val="center"/>
            <w:hideMark/>
          </w:tcPr>
          <w:p w14:paraId="46D8653A"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5-24y</w:t>
            </w:r>
          </w:p>
        </w:tc>
        <w:tc>
          <w:tcPr>
            <w:tcW w:w="488" w:type="pct"/>
            <w:tcBorders>
              <w:top w:val="nil"/>
              <w:left w:val="nil"/>
              <w:bottom w:val="nil"/>
              <w:right w:val="nil"/>
            </w:tcBorders>
            <w:shd w:val="clear" w:color="auto" w:fill="auto"/>
            <w:noWrap/>
            <w:vAlign w:val="center"/>
            <w:hideMark/>
          </w:tcPr>
          <w:p w14:paraId="76B02EB8"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5FFD4213"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64.1%</w:t>
            </w:r>
          </w:p>
        </w:tc>
        <w:tc>
          <w:tcPr>
            <w:tcW w:w="550" w:type="pct"/>
            <w:tcBorders>
              <w:top w:val="nil"/>
              <w:left w:val="nil"/>
              <w:bottom w:val="nil"/>
              <w:right w:val="nil"/>
            </w:tcBorders>
            <w:shd w:val="clear" w:color="auto" w:fill="auto"/>
            <w:noWrap/>
            <w:vAlign w:val="center"/>
            <w:hideMark/>
          </w:tcPr>
          <w:p w14:paraId="11DCCF36"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58.4% - 67.7%</w:t>
            </w:r>
          </w:p>
        </w:tc>
        <w:tc>
          <w:tcPr>
            <w:tcW w:w="550" w:type="pct"/>
            <w:tcBorders>
              <w:top w:val="nil"/>
              <w:left w:val="nil"/>
              <w:bottom w:val="nil"/>
              <w:right w:val="nil"/>
            </w:tcBorders>
            <w:shd w:val="clear" w:color="auto" w:fill="auto"/>
            <w:noWrap/>
            <w:vAlign w:val="center"/>
            <w:hideMark/>
          </w:tcPr>
          <w:p w14:paraId="5F060B34"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18.3%</w:t>
            </w:r>
          </w:p>
        </w:tc>
        <w:tc>
          <w:tcPr>
            <w:tcW w:w="550" w:type="pct"/>
            <w:tcBorders>
              <w:top w:val="nil"/>
              <w:left w:val="nil"/>
              <w:bottom w:val="nil"/>
              <w:right w:val="nil"/>
            </w:tcBorders>
            <w:shd w:val="clear" w:color="auto" w:fill="auto"/>
            <w:noWrap/>
            <w:vAlign w:val="center"/>
            <w:hideMark/>
          </w:tcPr>
          <w:p w14:paraId="05E8B9C3"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15.6% - 55.2%</w:t>
            </w:r>
          </w:p>
        </w:tc>
        <w:tc>
          <w:tcPr>
            <w:tcW w:w="550" w:type="pct"/>
            <w:tcBorders>
              <w:top w:val="nil"/>
              <w:left w:val="nil"/>
              <w:bottom w:val="nil"/>
              <w:right w:val="nil"/>
            </w:tcBorders>
            <w:shd w:val="clear" w:color="auto" w:fill="auto"/>
            <w:noWrap/>
            <w:vAlign w:val="center"/>
            <w:hideMark/>
          </w:tcPr>
          <w:p w14:paraId="4C2B2895"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13.7%</w:t>
            </w:r>
          </w:p>
        </w:tc>
        <w:tc>
          <w:tcPr>
            <w:tcW w:w="550" w:type="pct"/>
            <w:tcBorders>
              <w:top w:val="nil"/>
              <w:left w:val="nil"/>
              <w:bottom w:val="nil"/>
              <w:right w:val="nil"/>
            </w:tcBorders>
            <w:shd w:val="clear" w:color="auto" w:fill="auto"/>
            <w:noWrap/>
            <w:vAlign w:val="center"/>
            <w:hideMark/>
          </w:tcPr>
          <w:p w14:paraId="2EC0C58E"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10.3% - 28.5%</w:t>
            </w:r>
          </w:p>
        </w:tc>
      </w:tr>
      <w:tr w:rsidR="005D4FCC" w:rsidRPr="005E2F89" w14:paraId="4DED1A30" w14:textId="77777777" w:rsidTr="004D4519">
        <w:trPr>
          <w:trHeight w:val="397"/>
        </w:trPr>
        <w:tc>
          <w:tcPr>
            <w:tcW w:w="588" w:type="pct"/>
            <w:vMerge/>
            <w:tcBorders>
              <w:top w:val="nil"/>
              <w:left w:val="nil"/>
              <w:bottom w:val="single" w:sz="4" w:space="0" w:color="000000"/>
              <w:right w:val="nil"/>
            </w:tcBorders>
            <w:vAlign w:val="center"/>
            <w:hideMark/>
          </w:tcPr>
          <w:p w14:paraId="06B98DDB" w14:textId="77777777" w:rsidR="005D4FCC" w:rsidRPr="005E2F89" w:rsidRDefault="005D4FCC" w:rsidP="005D4FCC">
            <w:pPr>
              <w:spacing w:line="276" w:lineRule="auto"/>
              <w:rPr>
                <w:rFonts w:ascii="Arial" w:hAnsi="Arial" w:cs="Arial"/>
                <w:color w:val="000000"/>
                <w:sz w:val="14"/>
                <w:szCs w:val="14"/>
              </w:rPr>
            </w:pPr>
          </w:p>
        </w:tc>
        <w:tc>
          <w:tcPr>
            <w:tcW w:w="625" w:type="pct"/>
            <w:vMerge/>
            <w:tcBorders>
              <w:top w:val="nil"/>
              <w:left w:val="nil"/>
              <w:bottom w:val="single" w:sz="4" w:space="0" w:color="000000"/>
              <w:right w:val="nil"/>
            </w:tcBorders>
            <w:vAlign w:val="center"/>
            <w:hideMark/>
          </w:tcPr>
          <w:p w14:paraId="1783B39F" w14:textId="77777777" w:rsidR="005D4FCC" w:rsidRPr="005E2F89" w:rsidRDefault="005D4FCC" w:rsidP="005D4FCC">
            <w:pPr>
              <w:spacing w:line="276" w:lineRule="auto"/>
              <w:rPr>
                <w:rFonts w:ascii="Arial"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328EA2EB"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250CE824"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61.6%</w:t>
            </w:r>
          </w:p>
        </w:tc>
        <w:tc>
          <w:tcPr>
            <w:tcW w:w="550" w:type="pct"/>
            <w:tcBorders>
              <w:top w:val="nil"/>
              <w:left w:val="nil"/>
              <w:bottom w:val="nil"/>
              <w:right w:val="nil"/>
            </w:tcBorders>
            <w:shd w:val="clear" w:color="auto" w:fill="auto"/>
            <w:noWrap/>
            <w:vAlign w:val="center"/>
            <w:hideMark/>
          </w:tcPr>
          <w:p w14:paraId="7B326D97"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55.9% - 66.0%</w:t>
            </w:r>
          </w:p>
        </w:tc>
        <w:tc>
          <w:tcPr>
            <w:tcW w:w="550" w:type="pct"/>
            <w:tcBorders>
              <w:top w:val="nil"/>
              <w:left w:val="nil"/>
              <w:bottom w:val="nil"/>
              <w:right w:val="nil"/>
            </w:tcBorders>
            <w:shd w:val="clear" w:color="auto" w:fill="auto"/>
            <w:noWrap/>
            <w:vAlign w:val="center"/>
            <w:hideMark/>
          </w:tcPr>
          <w:p w14:paraId="58A322C1"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27.7%</w:t>
            </w:r>
          </w:p>
        </w:tc>
        <w:tc>
          <w:tcPr>
            <w:tcW w:w="550" w:type="pct"/>
            <w:tcBorders>
              <w:top w:val="nil"/>
              <w:left w:val="nil"/>
              <w:bottom w:val="nil"/>
              <w:right w:val="nil"/>
            </w:tcBorders>
            <w:shd w:val="clear" w:color="auto" w:fill="auto"/>
            <w:noWrap/>
            <w:vAlign w:val="center"/>
            <w:hideMark/>
          </w:tcPr>
          <w:p w14:paraId="05792B58"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14.5% - 56.9%</w:t>
            </w:r>
          </w:p>
        </w:tc>
        <w:tc>
          <w:tcPr>
            <w:tcW w:w="550" w:type="pct"/>
            <w:tcBorders>
              <w:top w:val="nil"/>
              <w:left w:val="nil"/>
              <w:bottom w:val="nil"/>
              <w:right w:val="nil"/>
            </w:tcBorders>
            <w:shd w:val="clear" w:color="auto" w:fill="auto"/>
            <w:noWrap/>
            <w:vAlign w:val="center"/>
            <w:hideMark/>
          </w:tcPr>
          <w:p w14:paraId="148091A8"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16.0%</w:t>
            </w:r>
          </w:p>
        </w:tc>
        <w:tc>
          <w:tcPr>
            <w:tcW w:w="550" w:type="pct"/>
            <w:tcBorders>
              <w:top w:val="nil"/>
              <w:left w:val="nil"/>
              <w:bottom w:val="nil"/>
              <w:right w:val="nil"/>
            </w:tcBorders>
            <w:shd w:val="clear" w:color="auto" w:fill="auto"/>
            <w:noWrap/>
            <w:vAlign w:val="center"/>
            <w:hideMark/>
          </w:tcPr>
          <w:p w14:paraId="2360A6D6"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11.3% - 28.2%</w:t>
            </w:r>
          </w:p>
        </w:tc>
      </w:tr>
      <w:tr w:rsidR="005D4FCC" w:rsidRPr="005E2F89" w14:paraId="0B05AA61" w14:textId="77777777" w:rsidTr="004D4519">
        <w:trPr>
          <w:trHeight w:val="397"/>
        </w:trPr>
        <w:tc>
          <w:tcPr>
            <w:tcW w:w="588" w:type="pct"/>
            <w:vMerge/>
            <w:tcBorders>
              <w:top w:val="nil"/>
              <w:left w:val="nil"/>
              <w:bottom w:val="single" w:sz="4" w:space="0" w:color="000000"/>
              <w:right w:val="nil"/>
            </w:tcBorders>
            <w:vAlign w:val="center"/>
            <w:hideMark/>
          </w:tcPr>
          <w:p w14:paraId="1C1270FE" w14:textId="77777777" w:rsidR="005D4FCC" w:rsidRPr="005E2F89" w:rsidRDefault="005D4FCC" w:rsidP="005D4FCC">
            <w:pPr>
              <w:spacing w:line="276" w:lineRule="auto"/>
              <w:rPr>
                <w:rFonts w:ascii="Arial" w:hAnsi="Arial" w:cs="Arial"/>
                <w:color w:val="000000"/>
                <w:sz w:val="14"/>
                <w:szCs w:val="14"/>
              </w:rPr>
            </w:pPr>
          </w:p>
        </w:tc>
        <w:tc>
          <w:tcPr>
            <w:tcW w:w="625" w:type="pct"/>
            <w:vMerge/>
            <w:tcBorders>
              <w:top w:val="nil"/>
              <w:left w:val="nil"/>
              <w:bottom w:val="single" w:sz="4" w:space="0" w:color="000000"/>
              <w:right w:val="nil"/>
            </w:tcBorders>
            <w:vAlign w:val="center"/>
            <w:hideMark/>
          </w:tcPr>
          <w:p w14:paraId="0A8573AE" w14:textId="77777777" w:rsidR="005D4FCC" w:rsidRPr="005E2F89" w:rsidRDefault="005D4FCC" w:rsidP="005D4FCC">
            <w:pPr>
              <w:spacing w:line="276" w:lineRule="auto"/>
              <w:rPr>
                <w:rFonts w:ascii="Arial"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3CB37E8D"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4D0AC4BC"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68.8%</w:t>
            </w:r>
          </w:p>
        </w:tc>
        <w:tc>
          <w:tcPr>
            <w:tcW w:w="550" w:type="pct"/>
            <w:tcBorders>
              <w:top w:val="nil"/>
              <w:left w:val="nil"/>
              <w:bottom w:val="nil"/>
              <w:right w:val="nil"/>
            </w:tcBorders>
            <w:shd w:val="clear" w:color="auto" w:fill="auto"/>
            <w:noWrap/>
            <w:vAlign w:val="center"/>
            <w:hideMark/>
          </w:tcPr>
          <w:p w14:paraId="312A2E26"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64.5% - 71.7%</w:t>
            </w:r>
          </w:p>
        </w:tc>
        <w:tc>
          <w:tcPr>
            <w:tcW w:w="550" w:type="pct"/>
            <w:tcBorders>
              <w:top w:val="nil"/>
              <w:left w:val="nil"/>
              <w:bottom w:val="nil"/>
              <w:right w:val="nil"/>
            </w:tcBorders>
            <w:shd w:val="clear" w:color="auto" w:fill="auto"/>
            <w:noWrap/>
            <w:vAlign w:val="center"/>
            <w:hideMark/>
          </w:tcPr>
          <w:p w14:paraId="3A393714"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21.5%</w:t>
            </w:r>
          </w:p>
        </w:tc>
        <w:tc>
          <w:tcPr>
            <w:tcW w:w="550" w:type="pct"/>
            <w:tcBorders>
              <w:top w:val="nil"/>
              <w:left w:val="nil"/>
              <w:bottom w:val="nil"/>
              <w:right w:val="nil"/>
            </w:tcBorders>
            <w:shd w:val="clear" w:color="auto" w:fill="auto"/>
            <w:noWrap/>
            <w:vAlign w:val="center"/>
            <w:hideMark/>
          </w:tcPr>
          <w:p w14:paraId="4002DAD9"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11.1% - 43.2%</w:t>
            </w:r>
          </w:p>
        </w:tc>
        <w:tc>
          <w:tcPr>
            <w:tcW w:w="550" w:type="pct"/>
            <w:tcBorders>
              <w:top w:val="nil"/>
              <w:left w:val="nil"/>
              <w:bottom w:val="nil"/>
              <w:right w:val="nil"/>
            </w:tcBorders>
            <w:shd w:val="clear" w:color="auto" w:fill="auto"/>
            <w:noWrap/>
            <w:vAlign w:val="center"/>
            <w:hideMark/>
          </w:tcPr>
          <w:p w14:paraId="489295D7"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11.2%</w:t>
            </w:r>
          </w:p>
        </w:tc>
        <w:tc>
          <w:tcPr>
            <w:tcW w:w="550" w:type="pct"/>
            <w:tcBorders>
              <w:top w:val="nil"/>
              <w:left w:val="nil"/>
              <w:bottom w:val="nil"/>
              <w:right w:val="nil"/>
            </w:tcBorders>
            <w:shd w:val="clear" w:color="auto" w:fill="auto"/>
            <w:noWrap/>
            <w:vAlign w:val="center"/>
            <w:hideMark/>
          </w:tcPr>
          <w:p w14:paraId="3A8B3F3C"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4.4% - 22.7%</w:t>
            </w:r>
          </w:p>
        </w:tc>
      </w:tr>
      <w:tr w:rsidR="005D4FCC" w:rsidRPr="005E2F89" w14:paraId="5BAD8840" w14:textId="77777777" w:rsidTr="004D4519">
        <w:trPr>
          <w:trHeight w:val="397"/>
        </w:trPr>
        <w:tc>
          <w:tcPr>
            <w:tcW w:w="588" w:type="pct"/>
            <w:vMerge/>
            <w:tcBorders>
              <w:top w:val="nil"/>
              <w:left w:val="nil"/>
              <w:bottom w:val="single" w:sz="4" w:space="0" w:color="000000"/>
              <w:right w:val="nil"/>
            </w:tcBorders>
            <w:vAlign w:val="center"/>
            <w:hideMark/>
          </w:tcPr>
          <w:p w14:paraId="73660CF3" w14:textId="77777777" w:rsidR="005D4FCC" w:rsidRPr="005E2F89" w:rsidRDefault="005D4FCC" w:rsidP="005D4FCC">
            <w:pPr>
              <w:spacing w:line="276" w:lineRule="auto"/>
              <w:rPr>
                <w:rFonts w:ascii="Arial" w:hAnsi="Arial" w:cs="Arial"/>
                <w:color w:val="000000"/>
                <w:sz w:val="14"/>
                <w:szCs w:val="14"/>
              </w:rPr>
            </w:pPr>
          </w:p>
        </w:tc>
        <w:tc>
          <w:tcPr>
            <w:tcW w:w="625" w:type="pct"/>
            <w:vMerge/>
            <w:tcBorders>
              <w:top w:val="nil"/>
              <w:left w:val="nil"/>
              <w:bottom w:val="single" w:sz="4" w:space="0" w:color="000000"/>
              <w:right w:val="nil"/>
            </w:tcBorders>
            <w:vAlign w:val="center"/>
            <w:hideMark/>
          </w:tcPr>
          <w:p w14:paraId="2D0BAB95" w14:textId="77777777" w:rsidR="005D4FCC" w:rsidRPr="005E2F89" w:rsidRDefault="005D4FCC" w:rsidP="005D4FCC">
            <w:pPr>
              <w:spacing w:line="276" w:lineRule="auto"/>
              <w:rPr>
                <w:rFonts w:ascii="Arial" w:hAnsi="Arial"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33C23CC9"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3DA2B3B3"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67.2%</w:t>
            </w:r>
          </w:p>
        </w:tc>
        <w:tc>
          <w:tcPr>
            <w:tcW w:w="550" w:type="pct"/>
            <w:tcBorders>
              <w:top w:val="nil"/>
              <w:left w:val="nil"/>
              <w:bottom w:val="single" w:sz="4" w:space="0" w:color="auto"/>
              <w:right w:val="nil"/>
            </w:tcBorders>
            <w:shd w:val="clear" w:color="auto" w:fill="auto"/>
            <w:noWrap/>
            <w:vAlign w:val="center"/>
            <w:hideMark/>
          </w:tcPr>
          <w:p w14:paraId="25D4BB36"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53.4% - 93.7%</w:t>
            </w:r>
          </w:p>
        </w:tc>
        <w:tc>
          <w:tcPr>
            <w:tcW w:w="550" w:type="pct"/>
            <w:tcBorders>
              <w:top w:val="nil"/>
              <w:left w:val="nil"/>
              <w:bottom w:val="single" w:sz="4" w:space="0" w:color="auto"/>
              <w:right w:val="nil"/>
            </w:tcBorders>
            <w:shd w:val="clear" w:color="auto" w:fill="auto"/>
            <w:noWrap/>
            <w:vAlign w:val="center"/>
            <w:hideMark/>
          </w:tcPr>
          <w:p w14:paraId="6D1ED0A5"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14.9%</w:t>
            </w:r>
          </w:p>
        </w:tc>
        <w:tc>
          <w:tcPr>
            <w:tcW w:w="550" w:type="pct"/>
            <w:tcBorders>
              <w:top w:val="nil"/>
              <w:left w:val="nil"/>
              <w:bottom w:val="single" w:sz="4" w:space="0" w:color="auto"/>
              <w:right w:val="nil"/>
            </w:tcBorders>
            <w:shd w:val="clear" w:color="auto" w:fill="auto"/>
            <w:noWrap/>
            <w:vAlign w:val="center"/>
            <w:hideMark/>
          </w:tcPr>
          <w:p w14:paraId="52373576"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0.3% - 52.9%</w:t>
            </w:r>
          </w:p>
        </w:tc>
        <w:tc>
          <w:tcPr>
            <w:tcW w:w="550" w:type="pct"/>
            <w:tcBorders>
              <w:top w:val="nil"/>
              <w:left w:val="nil"/>
              <w:bottom w:val="single" w:sz="4" w:space="0" w:color="auto"/>
              <w:right w:val="nil"/>
            </w:tcBorders>
            <w:shd w:val="clear" w:color="auto" w:fill="auto"/>
            <w:noWrap/>
            <w:vAlign w:val="center"/>
            <w:hideMark/>
          </w:tcPr>
          <w:p w14:paraId="2B0AE2E2"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14.5%</w:t>
            </w:r>
          </w:p>
        </w:tc>
        <w:tc>
          <w:tcPr>
            <w:tcW w:w="550" w:type="pct"/>
            <w:tcBorders>
              <w:top w:val="nil"/>
              <w:left w:val="nil"/>
              <w:bottom w:val="single" w:sz="4" w:space="0" w:color="auto"/>
              <w:right w:val="nil"/>
            </w:tcBorders>
            <w:shd w:val="clear" w:color="auto" w:fill="auto"/>
            <w:noWrap/>
            <w:vAlign w:val="center"/>
            <w:hideMark/>
          </w:tcPr>
          <w:p w14:paraId="5BAECAF9"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0% - 25.8%</w:t>
            </w:r>
          </w:p>
        </w:tc>
      </w:tr>
      <w:tr w:rsidR="005D4FCC" w:rsidRPr="005E2F89" w14:paraId="0F4933AE" w14:textId="77777777" w:rsidTr="004D4519">
        <w:trPr>
          <w:trHeight w:val="397"/>
        </w:trPr>
        <w:tc>
          <w:tcPr>
            <w:tcW w:w="588" w:type="pct"/>
            <w:vMerge/>
            <w:tcBorders>
              <w:top w:val="nil"/>
              <w:left w:val="nil"/>
              <w:bottom w:val="single" w:sz="4" w:space="0" w:color="000000"/>
              <w:right w:val="nil"/>
            </w:tcBorders>
            <w:vAlign w:val="center"/>
            <w:hideMark/>
          </w:tcPr>
          <w:p w14:paraId="2B50D844" w14:textId="77777777" w:rsidR="005D4FCC" w:rsidRPr="005E2F89" w:rsidRDefault="005D4FCC" w:rsidP="005D4FCC">
            <w:pPr>
              <w:spacing w:line="276" w:lineRule="auto"/>
              <w:rPr>
                <w:rFonts w:ascii="Arial" w:hAnsi="Arial" w:cs="Arial"/>
                <w:color w:val="000000"/>
                <w:sz w:val="14"/>
                <w:szCs w:val="14"/>
              </w:rPr>
            </w:pPr>
          </w:p>
        </w:tc>
        <w:tc>
          <w:tcPr>
            <w:tcW w:w="625" w:type="pct"/>
            <w:vMerge w:val="restart"/>
            <w:tcBorders>
              <w:top w:val="nil"/>
              <w:left w:val="nil"/>
              <w:bottom w:val="single" w:sz="4" w:space="0" w:color="000000"/>
              <w:right w:val="nil"/>
            </w:tcBorders>
            <w:shd w:val="clear" w:color="auto" w:fill="auto"/>
            <w:noWrap/>
            <w:vAlign w:val="center"/>
            <w:hideMark/>
          </w:tcPr>
          <w:p w14:paraId="57857A73"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25-64y</w:t>
            </w:r>
          </w:p>
        </w:tc>
        <w:tc>
          <w:tcPr>
            <w:tcW w:w="488" w:type="pct"/>
            <w:tcBorders>
              <w:top w:val="nil"/>
              <w:left w:val="nil"/>
              <w:bottom w:val="nil"/>
              <w:right w:val="nil"/>
            </w:tcBorders>
            <w:shd w:val="clear" w:color="auto" w:fill="auto"/>
            <w:noWrap/>
            <w:vAlign w:val="center"/>
            <w:hideMark/>
          </w:tcPr>
          <w:p w14:paraId="36B76E23"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3608FED2"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33.8%</w:t>
            </w:r>
          </w:p>
        </w:tc>
        <w:tc>
          <w:tcPr>
            <w:tcW w:w="550" w:type="pct"/>
            <w:tcBorders>
              <w:top w:val="nil"/>
              <w:left w:val="nil"/>
              <w:bottom w:val="nil"/>
              <w:right w:val="nil"/>
            </w:tcBorders>
            <w:shd w:val="clear" w:color="auto" w:fill="auto"/>
            <w:noWrap/>
            <w:vAlign w:val="center"/>
            <w:hideMark/>
          </w:tcPr>
          <w:p w14:paraId="12248A6B"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30.5% - 37.8%</w:t>
            </w:r>
          </w:p>
        </w:tc>
        <w:tc>
          <w:tcPr>
            <w:tcW w:w="550" w:type="pct"/>
            <w:tcBorders>
              <w:top w:val="nil"/>
              <w:left w:val="nil"/>
              <w:bottom w:val="nil"/>
              <w:right w:val="nil"/>
            </w:tcBorders>
            <w:shd w:val="clear" w:color="auto" w:fill="auto"/>
            <w:noWrap/>
            <w:vAlign w:val="center"/>
            <w:hideMark/>
          </w:tcPr>
          <w:p w14:paraId="1EDEF354"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12.8%</w:t>
            </w:r>
          </w:p>
        </w:tc>
        <w:tc>
          <w:tcPr>
            <w:tcW w:w="550" w:type="pct"/>
            <w:tcBorders>
              <w:top w:val="nil"/>
              <w:left w:val="nil"/>
              <w:bottom w:val="nil"/>
              <w:right w:val="nil"/>
            </w:tcBorders>
            <w:shd w:val="clear" w:color="auto" w:fill="auto"/>
            <w:noWrap/>
            <w:vAlign w:val="center"/>
            <w:hideMark/>
          </w:tcPr>
          <w:p w14:paraId="6A29A9CA"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9.7% - 27.2%</w:t>
            </w:r>
          </w:p>
        </w:tc>
        <w:tc>
          <w:tcPr>
            <w:tcW w:w="550" w:type="pct"/>
            <w:tcBorders>
              <w:top w:val="nil"/>
              <w:left w:val="nil"/>
              <w:bottom w:val="nil"/>
              <w:right w:val="nil"/>
            </w:tcBorders>
            <w:shd w:val="clear" w:color="auto" w:fill="auto"/>
            <w:noWrap/>
            <w:vAlign w:val="center"/>
            <w:hideMark/>
          </w:tcPr>
          <w:p w14:paraId="5B63A723"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19.8%</w:t>
            </w:r>
          </w:p>
        </w:tc>
        <w:tc>
          <w:tcPr>
            <w:tcW w:w="550" w:type="pct"/>
            <w:tcBorders>
              <w:top w:val="nil"/>
              <w:left w:val="nil"/>
              <w:bottom w:val="nil"/>
              <w:right w:val="nil"/>
            </w:tcBorders>
            <w:shd w:val="clear" w:color="auto" w:fill="auto"/>
            <w:noWrap/>
            <w:vAlign w:val="center"/>
            <w:hideMark/>
          </w:tcPr>
          <w:p w14:paraId="190FD41E"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17.1% - 57.4%</w:t>
            </w:r>
          </w:p>
        </w:tc>
      </w:tr>
      <w:tr w:rsidR="005D4FCC" w:rsidRPr="005E2F89" w14:paraId="095B8446" w14:textId="77777777" w:rsidTr="004D4519">
        <w:trPr>
          <w:trHeight w:val="397"/>
        </w:trPr>
        <w:tc>
          <w:tcPr>
            <w:tcW w:w="588" w:type="pct"/>
            <w:vMerge/>
            <w:tcBorders>
              <w:top w:val="nil"/>
              <w:left w:val="nil"/>
              <w:bottom w:val="single" w:sz="4" w:space="0" w:color="000000"/>
              <w:right w:val="nil"/>
            </w:tcBorders>
            <w:vAlign w:val="center"/>
            <w:hideMark/>
          </w:tcPr>
          <w:p w14:paraId="06505735" w14:textId="77777777" w:rsidR="005D4FCC" w:rsidRPr="005E2F89" w:rsidRDefault="005D4FCC" w:rsidP="005D4FCC">
            <w:pPr>
              <w:spacing w:line="276" w:lineRule="auto"/>
              <w:rPr>
                <w:rFonts w:ascii="Arial" w:hAnsi="Arial" w:cs="Arial"/>
                <w:color w:val="000000"/>
                <w:sz w:val="14"/>
                <w:szCs w:val="14"/>
              </w:rPr>
            </w:pPr>
          </w:p>
        </w:tc>
        <w:tc>
          <w:tcPr>
            <w:tcW w:w="625" w:type="pct"/>
            <w:vMerge/>
            <w:tcBorders>
              <w:top w:val="nil"/>
              <w:left w:val="nil"/>
              <w:bottom w:val="single" w:sz="4" w:space="0" w:color="000000"/>
              <w:right w:val="nil"/>
            </w:tcBorders>
            <w:vAlign w:val="center"/>
            <w:hideMark/>
          </w:tcPr>
          <w:p w14:paraId="532E3A2F" w14:textId="77777777" w:rsidR="005D4FCC" w:rsidRPr="005E2F89" w:rsidRDefault="005D4FCC" w:rsidP="005D4FCC">
            <w:pPr>
              <w:spacing w:line="276" w:lineRule="auto"/>
              <w:rPr>
                <w:rFonts w:ascii="Arial"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2F7B042D"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1D5C09CB"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35.4%</w:t>
            </w:r>
          </w:p>
        </w:tc>
        <w:tc>
          <w:tcPr>
            <w:tcW w:w="550" w:type="pct"/>
            <w:tcBorders>
              <w:top w:val="nil"/>
              <w:left w:val="nil"/>
              <w:bottom w:val="nil"/>
              <w:right w:val="nil"/>
            </w:tcBorders>
            <w:shd w:val="clear" w:color="auto" w:fill="auto"/>
            <w:noWrap/>
            <w:vAlign w:val="center"/>
            <w:hideMark/>
          </w:tcPr>
          <w:p w14:paraId="6EF0633F"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32.6% - 40.2%</w:t>
            </w:r>
          </w:p>
        </w:tc>
        <w:tc>
          <w:tcPr>
            <w:tcW w:w="550" w:type="pct"/>
            <w:tcBorders>
              <w:top w:val="nil"/>
              <w:left w:val="nil"/>
              <w:bottom w:val="nil"/>
              <w:right w:val="nil"/>
            </w:tcBorders>
            <w:shd w:val="clear" w:color="auto" w:fill="auto"/>
            <w:noWrap/>
            <w:vAlign w:val="center"/>
            <w:hideMark/>
          </w:tcPr>
          <w:p w14:paraId="171C5210"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15.0%</w:t>
            </w:r>
          </w:p>
        </w:tc>
        <w:tc>
          <w:tcPr>
            <w:tcW w:w="550" w:type="pct"/>
            <w:tcBorders>
              <w:top w:val="nil"/>
              <w:left w:val="nil"/>
              <w:bottom w:val="nil"/>
              <w:right w:val="nil"/>
            </w:tcBorders>
            <w:shd w:val="clear" w:color="auto" w:fill="auto"/>
            <w:noWrap/>
            <w:vAlign w:val="center"/>
            <w:hideMark/>
          </w:tcPr>
          <w:p w14:paraId="3484F220"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10.6% - 27.2%</w:t>
            </w:r>
          </w:p>
        </w:tc>
        <w:tc>
          <w:tcPr>
            <w:tcW w:w="550" w:type="pct"/>
            <w:tcBorders>
              <w:top w:val="nil"/>
              <w:left w:val="nil"/>
              <w:bottom w:val="nil"/>
              <w:right w:val="nil"/>
            </w:tcBorders>
            <w:shd w:val="clear" w:color="auto" w:fill="auto"/>
            <w:noWrap/>
            <w:vAlign w:val="center"/>
            <w:hideMark/>
          </w:tcPr>
          <w:p w14:paraId="6B4985F2"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28.7%</w:t>
            </w:r>
          </w:p>
        </w:tc>
        <w:tc>
          <w:tcPr>
            <w:tcW w:w="550" w:type="pct"/>
            <w:tcBorders>
              <w:top w:val="nil"/>
              <w:left w:val="nil"/>
              <w:bottom w:val="nil"/>
              <w:right w:val="nil"/>
            </w:tcBorders>
            <w:shd w:val="clear" w:color="auto" w:fill="auto"/>
            <w:noWrap/>
            <w:vAlign w:val="center"/>
            <w:hideMark/>
          </w:tcPr>
          <w:p w14:paraId="7EA48A53"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16% - 58.9%</w:t>
            </w:r>
          </w:p>
        </w:tc>
      </w:tr>
      <w:tr w:rsidR="005D4FCC" w:rsidRPr="005E2F89" w14:paraId="5A966C3E" w14:textId="77777777" w:rsidTr="004D4519">
        <w:trPr>
          <w:trHeight w:val="397"/>
        </w:trPr>
        <w:tc>
          <w:tcPr>
            <w:tcW w:w="588" w:type="pct"/>
            <w:vMerge/>
            <w:tcBorders>
              <w:top w:val="nil"/>
              <w:left w:val="nil"/>
              <w:bottom w:val="single" w:sz="4" w:space="0" w:color="000000"/>
              <w:right w:val="nil"/>
            </w:tcBorders>
            <w:vAlign w:val="center"/>
            <w:hideMark/>
          </w:tcPr>
          <w:p w14:paraId="16EE171F" w14:textId="77777777" w:rsidR="005D4FCC" w:rsidRPr="005E2F89" w:rsidRDefault="005D4FCC" w:rsidP="005D4FCC">
            <w:pPr>
              <w:spacing w:line="276" w:lineRule="auto"/>
              <w:rPr>
                <w:rFonts w:ascii="Arial" w:hAnsi="Arial" w:cs="Arial"/>
                <w:color w:val="000000"/>
                <w:sz w:val="14"/>
                <w:szCs w:val="14"/>
              </w:rPr>
            </w:pPr>
          </w:p>
        </w:tc>
        <w:tc>
          <w:tcPr>
            <w:tcW w:w="625" w:type="pct"/>
            <w:vMerge/>
            <w:tcBorders>
              <w:top w:val="nil"/>
              <w:left w:val="nil"/>
              <w:bottom w:val="single" w:sz="4" w:space="0" w:color="000000"/>
              <w:right w:val="nil"/>
            </w:tcBorders>
            <w:vAlign w:val="center"/>
            <w:hideMark/>
          </w:tcPr>
          <w:p w14:paraId="46F9C1C0" w14:textId="77777777" w:rsidR="005D4FCC" w:rsidRPr="005E2F89" w:rsidRDefault="005D4FCC" w:rsidP="005D4FCC">
            <w:pPr>
              <w:spacing w:line="276" w:lineRule="auto"/>
              <w:rPr>
                <w:rFonts w:ascii="Arial"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768AB325"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42078ED3"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29.9%</w:t>
            </w:r>
          </w:p>
        </w:tc>
        <w:tc>
          <w:tcPr>
            <w:tcW w:w="550" w:type="pct"/>
            <w:tcBorders>
              <w:top w:val="nil"/>
              <w:left w:val="nil"/>
              <w:bottom w:val="nil"/>
              <w:right w:val="nil"/>
            </w:tcBorders>
            <w:shd w:val="clear" w:color="auto" w:fill="auto"/>
            <w:noWrap/>
            <w:vAlign w:val="center"/>
            <w:hideMark/>
          </w:tcPr>
          <w:p w14:paraId="36FEFC36"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27.2% - 33.7%</w:t>
            </w:r>
          </w:p>
        </w:tc>
        <w:tc>
          <w:tcPr>
            <w:tcW w:w="550" w:type="pct"/>
            <w:tcBorders>
              <w:top w:val="nil"/>
              <w:left w:val="nil"/>
              <w:bottom w:val="nil"/>
              <w:right w:val="nil"/>
            </w:tcBorders>
            <w:shd w:val="clear" w:color="auto" w:fill="auto"/>
            <w:noWrap/>
            <w:vAlign w:val="center"/>
            <w:hideMark/>
          </w:tcPr>
          <w:p w14:paraId="6F1E6900"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10.9%</w:t>
            </w:r>
          </w:p>
        </w:tc>
        <w:tc>
          <w:tcPr>
            <w:tcW w:w="550" w:type="pct"/>
            <w:tcBorders>
              <w:top w:val="nil"/>
              <w:left w:val="nil"/>
              <w:bottom w:val="nil"/>
              <w:right w:val="nil"/>
            </w:tcBorders>
            <w:shd w:val="clear" w:color="auto" w:fill="auto"/>
            <w:noWrap/>
            <w:vAlign w:val="center"/>
            <w:hideMark/>
          </w:tcPr>
          <w:p w14:paraId="7CAF067A"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4.5% - 21.7%</w:t>
            </w:r>
          </w:p>
        </w:tc>
        <w:tc>
          <w:tcPr>
            <w:tcW w:w="550" w:type="pct"/>
            <w:tcBorders>
              <w:top w:val="nil"/>
              <w:left w:val="nil"/>
              <w:bottom w:val="nil"/>
              <w:right w:val="nil"/>
            </w:tcBorders>
            <w:shd w:val="clear" w:color="auto" w:fill="auto"/>
            <w:noWrap/>
            <w:vAlign w:val="center"/>
            <w:hideMark/>
          </w:tcPr>
          <w:p w14:paraId="619882A9"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22.2%</w:t>
            </w:r>
          </w:p>
        </w:tc>
        <w:tc>
          <w:tcPr>
            <w:tcW w:w="550" w:type="pct"/>
            <w:tcBorders>
              <w:top w:val="nil"/>
              <w:left w:val="nil"/>
              <w:bottom w:val="nil"/>
              <w:right w:val="nil"/>
            </w:tcBorders>
            <w:shd w:val="clear" w:color="auto" w:fill="auto"/>
            <w:noWrap/>
            <w:vAlign w:val="center"/>
            <w:hideMark/>
          </w:tcPr>
          <w:p w14:paraId="32D96F7A"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12.1% - 44%</w:t>
            </w:r>
          </w:p>
        </w:tc>
      </w:tr>
      <w:tr w:rsidR="005D4FCC" w:rsidRPr="005E2F89" w14:paraId="772083F2" w14:textId="77777777" w:rsidTr="004D4519">
        <w:trPr>
          <w:trHeight w:val="397"/>
        </w:trPr>
        <w:tc>
          <w:tcPr>
            <w:tcW w:w="588" w:type="pct"/>
            <w:vMerge/>
            <w:tcBorders>
              <w:top w:val="nil"/>
              <w:left w:val="nil"/>
              <w:bottom w:val="single" w:sz="4" w:space="0" w:color="000000"/>
              <w:right w:val="nil"/>
            </w:tcBorders>
            <w:vAlign w:val="center"/>
            <w:hideMark/>
          </w:tcPr>
          <w:p w14:paraId="57C366F4" w14:textId="77777777" w:rsidR="005D4FCC" w:rsidRPr="005E2F89" w:rsidRDefault="005D4FCC" w:rsidP="005D4FCC">
            <w:pPr>
              <w:spacing w:line="276" w:lineRule="auto"/>
              <w:rPr>
                <w:rFonts w:ascii="Arial" w:hAnsi="Arial" w:cs="Arial"/>
                <w:color w:val="000000"/>
                <w:sz w:val="14"/>
                <w:szCs w:val="14"/>
              </w:rPr>
            </w:pPr>
          </w:p>
        </w:tc>
        <w:tc>
          <w:tcPr>
            <w:tcW w:w="625" w:type="pct"/>
            <w:vMerge/>
            <w:tcBorders>
              <w:top w:val="nil"/>
              <w:left w:val="nil"/>
              <w:bottom w:val="single" w:sz="4" w:space="0" w:color="000000"/>
              <w:right w:val="nil"/>
            </w:tcBorders>
            <w:vAlign w:val="center"/>
            <w:hideMark/>
          </w:tcPr>
          <w:p w14:paraId="7E519613" w14:textId="77777777" w:rsidR="005D4FCC" w:rsidRPr="005E2F89" w:rsidRDefault="005D4FCC" w:rsidP="005D4FCC">
            <w:pPr>
              <w:spacing w:line="276" w:lineRule="auto"/>
              <w:rPr>
                <w:rFonts w:ascii="Arial" w:hAnsi="Arial"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1AF74546"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1B295756"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30.9%</w:t>
            </w:r>
          </w:p>
        </w:tc>
        <w:tc>
          <w:tcPr>
            <w:tcW w:w="550" w:type="pct"/>
            <w:tcBorders>
              <w:top w:val="nil"/>
              <w:left w:val="nil"/>
              <w:bottom w:val="single" w:sz="4" w:space="0" w:color="auto"/>
              <w:right w:val="nil"/>
            </w:tcBorders>
            <w:shd w:val="clear" w:color="auto" w:fill="auto"/>
            <w:noWrap/>
            <w:vAlign w:val="center"/>
            <w:hideMark/>
          </w:tcPr>
          <w:p w14:paraId="1C084DF8"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5.8% - 42.8%</w:t>
            </w:r>
          </w:p>
        </w:tc>
        <w:tc>
          <w:tcPr>
            <w:tcW w:w="550" w:type="pct"/>
            <w:tcBorders>
              <w:top w:val="nil"/>
              <w:left w:val="nil"/>
              <w:bottom w:val="single" w:sz="4" w:space="0" w:color="auto"/>
              <w:right w:val="nil"/>
            </w:tcBorders>
            <w:shd w:val="clear" w:color="auto" w:fill="auto"/>
            <w:noWrap/>
            <w:vAlign w:val="center"/>
            <w:hideMark/>
          </w:tcPr>
          <w:p w14:paraId="05A3E0C3"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13.5%</w:t>
            </w:r>
          </w:p>
        </w:tc>
        <w:tc>
          <w:tcPr>
            <w:tcW w:w="550" w:type="pct"/>
            <w:tcBorders>
              <w:top w:val="nil"/>
              <w:left w:val="nil"/>
              <w:bottom w:val="single" w:sz="4" w:space="0" w:color="auto"/>
              <w:right w:val="nil"/>
            </w:tcBorders>
            <w:shd w:val="clear" w:color="auto" w:fill="auto"/>
            <w:noWrap/>
            <w:vAlign w:val="center"/>
            <w:hideMark/>
          </w:tcPr>
          <w:p w14:paraId="7AF25F1F"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0% - 24.6%</w:t>
            </w:r>
          </w:p>
        </w:tc>
        <w:tc>
          <w:tcPr>
            <w:tcW w:w="550" w:type="pct"/>
            <w:tcBorders>
              <w:top w:val="nil"/>
              <w:left w:val="nil"/>
              <w:bottom w:val="single" w:sz="4" w:space="0" w:color="auto"/>
              <w:right w:val="nil"/>
            </w:tcBorders>
            <w:shd w:val="clear" w:color="auto" w:fill="auto"/>
            <w:noWrap/>
            <w:vAlign w:val="center"/>
            <w:hideMark/>
          </w:tcPr>
          <w:p w14:paraId="3F3810A3"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16.6%</w:t>
            </w:r>
          </w:p>
        </w:tc>
        <w:tc>
          <w:tcPr>
            <w:tcW w:w="550" w:type="pct"/>
            <w:tcBorders>
              <w:top w:val="nil"/>
              <w:left w:val="nil"/>
              <w:bottom w:val="single" w:sz="4" w:space="0" w:color="auto"/>
              <w:right w:val="nil"/>
            </w:tcBorders>
            <w:shd w:val="clear" w:color="auto" w:fill="auto"/>
            <w:noWrap/>
            <w:vAlign w:val="center"/>
            <w:hideMark/>
          </w:tcPr>
          <w:p w14:paraId="64E3181A"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0.3% - 55.7%</w:t>
            </w:r>
          </w:p>
        </w:tc>
      </w:tr>
      <w:tr w:rsidR="005D4FCC" w:rsidRPr="005E2F89" w14:paraId="4E2F6D85" w14:textId="77777777" w:rsidTr="004D4519">
        <w:trPr>
          <w:trHeight w:val="397"/>
        </w:trPr>
        <w:tc>
          <w:tcPr>
            <w:tcW w:w="588" w:type="pct"/>
            <w:vMerge/>
            <w:tcBorders>
              <w:top w:val="nil"/>
              <w:left w:val="nil"/>
              <w:bottom w:val="single" w:sz="4" w:space="0" w:color="000000"/>
              <w:right w:val="nil"/>
            </w:tcBorders>
            <w:vAlign w:val="center"/>
            <w:hideMark/>
          </w:tcPr>
          <w:p w14:paraId="3572C756" w14:textId="77777777" w:rsidR="005D4FCC" w:rsidRPr="005E2F89" w:rsidRDefault="005D4FCC" w:rsidP="005D4FCC">
            <w:pPr>
              <w:spacing w:line="276" w:lineRule="auto"/>
              <w:rPr>
                <w:rFonts w:ascii="Arial" w:hAnsi="Arial" w:cs="Arial"/>
                <w:color w:val="000000"/>
                <w:sz w:val="14"/>
                <w:szCs w:val="14"/>
              </w:rPr>
            </w:pPr>
          </w:p>
        </w:tc>
        <w:tc>
          <w:tcPr>
            <w:tcW w:w="625" w:type="pct"/>
            <w:vMerge w:val="restart"/>
            <w:tcBorders>
              <w:top w:val="nil"/>
              <w:left w:val="nil"/>
              <w:bottom w:val="single" w:sz="4" w:space="0" w:color="000000"/>
              <w:right w:val="nil"/>
            </w:tcBorders>
            <w:shd w:val="clear" w:color="auto" w:fill="auto"/>
            <w:noWrap/>
            <w:vAlign w:val="center"/>
            <w:hideMark/>
          </w:tcPr>
          <w:p w14:paraId="0F5601CA"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&gt;64y</w:t>
            </w:r>
          </w:p>
        </w:tc>
        <w:tc>
          <w:tcPr>
            <w:tcW w:w="488" w:type="pct"/>
            <w:tcBorders>
              <w:top w:val="nil"/>
              <w:left w:val="nil"/>
              <w:bottom w:val="nil"/>
              <w:right w:val="nil"/>
            </w:tcBorders>
            <w:shd w:val="clear" w:color="auto" w:fill="auto"/>
            <w:noWrap/>
            <w:vAlign w:val="center"/>
            <w:hideMark/>
          </w:tcPr>
          <w:p w14:paraId="718F6A29"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25E8A78C"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2.5%</w:t>
            </w:r>
          </w:p>
        </w:tc>
        <w:tc>
          <w:tcPr>
            <w:tcW w:w="550" w:type="pct"/>
            <w:tcBorders>
              <w:top w:val="nil"/>
              <w:left w:val="nil"/>
              <w:bottom w:val="nil"/>
              <w:right w:val="nil"/>
            </w:tcBorders>
            <w:shd w:val="clear" w:color="auto" w:fill="auto"/>
            <w:noWrap/>
            <w:vAlign w:val="center"/>
            <w:hideMark/>
          </w:tcPr>
          <w:p w14:paraId="69707B0D"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2.0% - 3.0%</w:t>
            </w:r>
          </w:p>
        </w:tc>
        <w:tc>
          <w:tcPr>
            <w:tcW w:w="550" w:type="pct"/>
            <w:tcBorders>
              <w:top w:val="nil"/>
              <w:left w:val="nil"/>
              <w:bottom w:val="nil"/>
              <w:right w:val="nil"/>
            </w:tcBorders>
            <w:shd w:val="clear" w:color="auto" w:fill="auto"/>
            <w:noWrap/>
            <w:vAlign w:val="center"/>
            <w:hideMark/>
          </w:tcPr>
          <w:p w14:paraId="1B2D8FB8"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1.0%</w:t>
            </w:r>
          </w:p>
        </w:tc>
        <w:tc>
          <w:tcPr>
            <w:tcW w:w="550" w:type="pct"/>
            <w:tcBorders>
              <w:top w:val="nil"/>
              <w:left w:val="nil"/>
              <w:bottom w:val="nil"/>
              <w:right w:val="nil"/>
            </w:tcBorders>
            <w:shd w:val="clear" w:color="auto" w:fill="auto"/>
            <w:noWrap/>
            <w:vAlign w:val="center"/>
            <w:hideMark/>
          </w:tcPr>
          <w:p w14:paraId="3DEF5232"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0.7% - 1.8%</w:t>
            </w:r>
          </w:p>
        </w:tc>
        <w:tc>
          <w:tcPr>
            <w:tcW w:w="550" w:type="pct"/>
            <w:tcBorders>
              <w:top w:val="nil"/>
              <w:left w:val="nil"/>
              <w:bottom w:val="nil"/>
              <w:right w:val="nil"/>
            </w:tcBorders>
            <w:shd w:val="clear" w:color="auto" w:fill="auto"/>
            <w:noWrap/>
            <w:vAlign w:val="center"/>
            <w:hideMark/>
          </w:tcPr>
          <w:p w14:paraId="21312587"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31.6%</w:t>
            </w:r>
          </w:p>
        </w:tc>
        <w:tc>
          <w:tcPr>
            <w:tcW w:w="550" w:type="pct"/>
            <w:tcBorders>
              <w:top w:val="nil"/>
              <w:left w:val="nil"/>
              <w:bottom w:val="nil"/>
              <w:right w:val="nil"/>
            </w:tcBorders>
            <w:shd w:val="clear" w:color="auto" w:fill="auto"/>
            <w:noWrap/>
            <w:vAlign w:val="center"/>
            <w:hideMark/>
          </w:tcPr>
          <w:p w14:paraId="75796BF4"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27.3% - 84.6%</w:t>
            </w:r>
          </w:p>
        </w:tc>
      </w:tr>
      <w:tr w:rsidR="005D4FCC" w:rsidRPr="005E2F89" w14:paraId="064A6B3E" w14:textId="77777777" w:rsidTr="004D4519">
        <w:trPr>
          <w:trHeight w:val="397"/>
        </w:trPr>
        <w:tc>
          <w:tcPr>
            <w:tcW w:w="588" w:type="pct"/>
            <w:vMerge/>
            <w:tcBorders>
              <w:top w:val="nil"/>
              <w:left w:val="nil"/>
              <w:bottom w:val="single" w:sz="4" w:space="0" w:color="000000"/>
              <w:right w:val="nil"/>
            </w:tcBorders>
            <w:vAlign w:val="center"/>
            <w:hideMark/>
          </w:tcPr>
          <w:p w14:paraId="0C896727" w14:textId="77777777" w:rsidR="005D4FCC" w:rsidRPr="005E2F89" w:rsidRDefault="005D4FCC" w:rsidP="005D4FCC">
            <w:pPr>
              <w:spacing w:line="276" w:lineRule="auto"/>
              <w:rPr>
                <w:rFonts w:ascii="Arial" w:hAnsi="Arial" w:cs="Arial"/>
                <w:color w:val="000000"/>
                <w:sz w:val="14"/>
                <w:szCs w:val="14"/>
              </w:rPr>
            </w:pPr>
          </w:p>
        </w:tc>
        <w:tc>
          <w:tcPr>
            <w:tcW w:w="625" w:type="pct"/>
            <w:vMerge/>
            <w:tcBorders>
              <w:top w:val="nil"/>
              <w:left w:val="nil"/>
              <w:bottom w:val="single" w:sz="4" w:space="0" w:color="000000"/>
              <w:right w:val="nil"/>
            </w:tcBorders>
            <w:vAlign w:val="center"/>
            <w:hideMark/>
          </w:tcPr>
          <w:p w14:paraId="0E4702DC" w14:textId="77777777" w:rsidR="005D4FCC" w:rsidRPr="005E2F89" w:rsidRDefault="005D4FCC" w:rsidP="005D4FCC">
            <w:pPr>
              <w:spacing w:line="276" w:lineRule="auto"/>
              <w:rPr>
                <w:rFonts w:ascii="Arial"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55457488"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6494719A"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2.5%</w:t>
            </w:r>
          </w:p>
        </w:tc>
        <w:tc>
          <w:tcPr>
            <w:tcW w:w="550" w:type="pct"/>
            <w:tcBorders>
              <w:top w:val="nil"/>
              <w:left w:val="nil"/>
              <w:bottom w:val="nil"/>
              <w:right w:val="nil"/>
            </w:tcBorders>
            <w:shd w:val="clear" w:color="auto" w:fill="auto"/>
            <w:noWrap/>
            <w:vAlign w:val="center"/>
            <w:hideMark/>
          </w:tcPr>
          <w:p w14:paraId="2DD705E0"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2.0% - 3.1%</w:t>
            </w:r>
          </w:p>
        </w:tc>
        <w:tc>
          <w:tcPr>
            <w:tcW w:w="550" w:type="pct"/>
            <w:tcBorders>
              <w:top w:val="nil"/>
              <w:left w:val="nil"/>
              <w:bottom w:val="nil"/>
              <w:right w:val="nil"/>
            </w:tcBorders>
            <w:shd w:val="clear" w:color="auto" w:fill="auto"/>
            <w:noWrap/>
            <w:vAlign w:val="center"/>
            <w:hideMark/>
          </w:tcPr>
          <w:p w14:paraId="2D092F8D"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1.1%</w:t>
            </w:r>
          </w:p>
        </w:tc>
        <w:tc>
          <w:tcPr>
            <w:tcW w:w="550" w:type="pct"/>
            <w:tcBorders>
              <w:top w:val="nil"/>
              <w:left w:val="nil"/>
              <w:bottom w:val="nil"/>
              <w:right w:val="nil"/>
            </w:tcBorders>
            <w:shd w:val="clear" w:color="auto" w:fill="auto"/>
            <w:noWrap/>
            <w:vAlign w:val="center"/>
            <w:hideMark/>
          </w:tcPr>
          <w:p w14:paraId="54721182"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0.8% - 1.8%</w:t>
            </w:r>
          </w:p>
        </w:tc>
        <w:tc>
          <w:tcPr>
            <w:tcW w:w="550" w:type="pct"/>
            <w:tcBorders>
              <w:top w:val="nil"/>
              <w:left w:val="nil"/>
              <w:bottom w:val="nil"/>
              <w:right w:val="nil"/>
            </w:tcBorders>
            <w:shd w:val="clear" w:color="auto" w:fill="auto"/>
            <w:noWrap/>
            <w:vAlign w:val="center"/>
            <w:hideMark/>
          </w:tcPr>
          <w:p w14:paraId="37168789"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43.0%</w:t>
            </w:r>
          </w:p>
        </w:tc>
        <w:tc>
          <w:tcPr>
            <w:tcW w:w="550" w:type="pct"/>
            <w:tcBorders>
              <w:top w:val="nil"/>
              <w:left w:val="nil"/>
              <w:bottom w:val="nil"/>
              <w:right w:val="nil"/>
            </w:tcBorders>
            <w:shd w:val="clear" w:color="auto" w:fill="auto"/>
            <w:noWrap/>
            <w:vAlign w:val="center"/>
            <w:hideMark/>
          </w:tcPr>
          <w:p w14:paraId="765A6E67"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26.7% - 84.8%</w:t>
            </w:r>
          </w:p>
        </w:tc>
      </w:tr>
      <w:tr w:rsidR="005D4FCC" w:rsidRPr="005E2F89" w14:paraId="63FBAC76" w14:textId="77777777" w:rsidTr="004D4519">
        <w:trPr>
          <w:trHeight w:val="397"/>
        </w:trPr>
        <w:tc>
          <w:tcPr>
            <w:tcW w:w="588" w:type="pct"/>
            <w:vMerge/>
            <w:tcBorders>
              <w:top w:val="nil"/>
              <w:left w:val="nil"/>
              <w:bottom w:val="single" w:sz="4" w:space="0" w:color="000000"/>
              <w:right w:val="nil"/>
            </w:tcBorders>
            <w:vAlign w:val="center"/>
            <w:hideMark/>
          </w:tcPr>
          <w:p w14:paraId="7000ECE2" w14:textId="77777777" w:rsidR="005D4FCC" w:rsidRPr="005E2F89" w:rsidRDefault="005D4FCC" w:rsidP="005D4FCC">
            <w:pPr>
              <w:spacing w:line="276" w:lineRule="auto"/>
              <w:rPr>
                <w:rFonts w:ascii="Arial" w:hAnsi="Arial" w:cs="Arial"/>
                <w:color w:val="000000"/>
                <w:sz w:val="14"/>
                <w:szCs w:val="14"/>
              </w:rPr>
            </w:pPr>
          </w:p>
        </w:tc>
        <w:tc>
          <w:tcPr>
            <w:tcW w:w="625" w:type="pct"/>
            <w:vMerge/>
            <w:tcBorders>
              <w:top w:val="nil"/>
              <w:left w:val="nil"/>
              <w:bottom w:val="single" w:sz="4" w:space="0" w:color="000000"/>
              <w:right w:val="nil"/>
            </w:tcBorders>
            <w:vAlign w:val="center"/>
            <w:hideMark/>
          </w:tcPr>
          <w:p w14:paraId="6E8C7F41" w14:textId="77777777" w:rsidR="005D4FCC" w:rsidRPr="005E2F89" w:rsidRDefault="005D4FCC" w:rsidP="005D4FCC">
            <w:pPr>
              <w:spacing w:line="276" w:lineRule="auto"/>
              <w:rPr>
                <w:rFonts w:ascii="Arial"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1EFAC2D9"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1511B768"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1.0%</w:t>
            </w:r>
          </w:p>
        </w:tc>
        <w:tc>
          <w:tcPr>
            <w:tcW w:w="550" w:type="pct"/>
            <w:tcBorders>
              <w:top w:val="nil"/>
              <w:left w:val="nil"/>
              <w:bottom w:val="nil"/>
              <w:right w:val="nil"/>
            </w:tcBorders>
            <w:shd w:val="clear" w:color="auto" w:fill="auto"/>
            <w:noWrap/>
            <w:vAlign w:val="center"/>
            <w:hideMark/>
          </w:tcPr>
          <w:p w14:paraId="63B5C993"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0.7% - 1.8%</w:t>
            </w:r>
          </w:p>
        </w:tc>
        <w:tc>
          <w:tcPr>
            <w:tcW w:w="550" w:type="pct"/>
            <w:tcBorders>
              <w:top w:val="nil"/>
              <w:left w:val="nil"/>
              <w:bottom w:val="nil"/>
              <w:right w:val="nil"/>
            </w:tcBorders>
            <w:shd w:val="clear" w:color="auto" w:fill="auto"/>
            <w:noWrap/>
            <w:vAlign w:val="center"/>
            <w:hideMark/>
          </w:tcPr>
          <w:p w14:paraId="50030077"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0.5%</w:t>
            </w:r>
          </w:p>
        </w:tc>
        <w:tc>
          <w:tcPr>
            <w:tcW w:w="550" w:type="pct"/>
            <w:tcBorders>
              <w:top w:val="nil"/>
              <w:left w:val="nil"/>
              <w:bottom w:val="nil"/>
              <w:right w:val="nil"/>
            </w:tcBorders>
            <w:shd w:val="clear" w:color="auto" w:fill="auto"/>
            <w:noWrap/>
            <w:vAlign w:val="center"/>
            <w:hideMark/>
          </w:tcPr>
          <w:p w14:paraId="1E35BCEF"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0.1% - 1.2%</w:t>
            </w:r>
          </w:p>
        </w:tc>
        <w:tc>
          <w:tcPr>
            <w:tcW w:w="550" w:type="pct"/>
            <w:tcBorders>
              <w:top w:val="nil"/>
              <w:left w:val="nil"/>
              <w:bottom w:val="nil"/>
              <w:right w:val="nil"/>
            </w:tcBorders>
            <w:shd w:val="clear" w:color="auto" w:fill="auto"/>
            <w:noWrap/>
            <w:vAlign w:val="center"/>
            <w:hideMark/>
          </w:tcPr>
          <w:p w14:paraId="0E9DDF4A"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33.9%</w:t>
            </w:r>
          </w:p>
        </w:tc>
        <w:tc>
          <w:tcPr>
            <w:tcW w:w="550" w:type="pct"/>
            <w:tcBorders>
              <w:top w:val="nil"/>
              <w:left w:val="nil"/>
              <w:bottom w:val="nil"/>
              <w:right w:val="nil"/>
            </w:tcBorders>
            <w:shd w:val="clear" w:color="auto" w:fill="auto"/>
            <w:noWrap/>
            <w:vAlign w:val="center"/>
            <w:hideMark/>
          </w:tcPr>
          <w:p w14:paraId="598BD1C7"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17.1% - 66.1%</w:t>
            </w:r>
          </w:p>
        </w:tc>
      </w:tr>
      <w:tr w:rsidR="005D4FCC" w:rsidRPr="005E2F89" w14:paraId="35865646" w14:textId="77777777" w:rsidTr="004D4519">
        <w:trPr>
          <w:trHeight w:val="397"/>
        </w:trPr>
        <w:tc>
          <w:tcPr>
            <w:tcW w:w="588" w:type="pct"/>
            <w:vMerge/>
            <w:tcBorders>
              <w:top w:val="nil"/>
              <w:left w:val="nil"/>
              <w:bottom w:val="single" w:sz="4" w:space="0" w:color="000000"/>
              <w:right w:val="nil"/>
            </w:tcBorders>
            <w:vAlign w:val="center"/>
            <w:hideMark/>
          </w:tcPr>
          <w:p w14:paraId="49141DA8" w14:textId="77777777" w:rsidR="005D4FCC" w:rsidRPr="005E2F89" w:rsidRDefault="005D4FCC" w:rsidP="005D4FCC">
            <w:pPr>
              <w:spacing w:line="276" w:lineRule="auto"/>
              <w:rPr>
                <w:rFonts w:ascii="Arial" w:hAnsi="Arial" w:cs="Arial"/>
                <w:color w:val="000000"/>
                <w:sz w:val="14"/>
                <w:szCs w:val="14"/>
              </w:rPr>
            </w:pPr>
          </w:p>
        </w:tc>
        <w:tc>
          <w:tcPr>
            <w:tcW w:w="625" w:type="pct"/>
            <w:vMerge/>
            <w:tcBorders>
              <w:top w:val="nil"/>
              <w:left w:val="nil"/>
              <w:bottom w:val="single" w:sz="4" w:space="0" w:color="000000"/>
              <w:right w:val="nil"/>
            </w:tcBorders>
            <w:vAlign w:val="center"/>
            <w:hideMark/>
          </w:tcPr>
          <w:p w14:paraId="23C29A5D" w14:textId="77777777" w:rsidR="005D4FCC" w:rsidRPr="005E2F89" w:rsidRDefault="005D4FCC" w:rsidP="005D4FCC">
            <w:pPr>
              <w:spacing w:line="276" w:lineRule="auto"/>
              <w:rPr>
                <w:rFonts w:ascii="Arial" w:hAnsi="Arial"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7BA89D93"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0EB20EA9"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2.1%</w:t>
            </w:r>
          </w:p>
        </w:tc>
        <w:tc>
          <w:tcPr>
            <w:tcW w:w="550" w:type="pct"/>
            <w:tcBorders>
              <w:top w:val="nil"/>
              <w:left w:val="nil"/>
              <w:bottom w:val="single" w:sz="4" w:space="0" w:color="auto"/>
              <w:right w:val="nil"/>
            </w:tcBorders>
            <w:shd w:val="clear" w:color="auto" w:fill="auto"/>
            <w:noWrap/>
            <w:vAlign w:val="center"/>
            <w:hideMark/>
          </w:tcPr>
          <w:p w14:paraId="5FE91F6B"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0.5% - 3.4%</w:t>
            </w:r>
          </w:p>
        </w:tc>
        <w:tc>
          <w:tcPr>
            <w:tcW w:w="550" w:type="pct"/>
            <w:tcBorders>
              <w:top w:val="nil"/>
              <w:left w:val="nil"/>
              <w:bottom w:val="single" w:sz="4" w:space="0" w:color="auto"/>
              <w:right w:val="nil"/>
            </w:tcBorders>
            <w:shd w:val="clear" w:color="auto" w:fill="auto"/>
            <w:noWrap/>
            <w:vAlign w:val="center"/>
            <w:hideMark/>
          </w:tcPr>
          <w:p w14:paraId="0D67244A"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1.1%</w:t>
            </w:r>
          </w:p>
        </w:tc>
        <w:tc>
          <w:tcPr>
            <w:tcW w:w="550" w:type="pct"/>
            <w:tcBorders>
              <w:top w:val="nil"/>
              <w:left w:val="nil"/>
              <w:bottom w:val="single" w:sz="4" w:space="0" w:color="auto"/>
              <w:right w:val="nil"/>
            </w:tcBorders>
            <w:shd w:val="clear" w:color="auto" w:fill="auto"/>
            <w:noWrap/>
            <w:vAlign w:val="center"/>
            <w:hideMark/>
          </w:tcPr>
          <w:p w14:paraId="48E7EB3F"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0% - 1.7%</w:t>
            </w:r>
          </w:p>
        </w:tc>
        <w:tc>
          <w:tcPr>
            <w:tcW w:w="550" w:type="pct"/>
            <w:tcBorders>
              <w:top w:val="nil"/>
              <w:left w:val="nil"/>
              <w:bottom w:val="single" w:sz="4" w:space="0" w:color="auto"/>
              <w:right w:val="nil"/>
            </w:tcBorders>
            <w:shd w:val="clear" w:color="auto" w:fill="auto"/>
            <w:noWrap/>
            <w:vAlign w:val="center"/>
            <w:hideMark/>
          </w:tcPr>
          <w:p w14:paraId="0438AADB"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29.5%</w:t>
            </w:r>
          </w:p>
        </w:tc>
        <w:tc>
          <w:tcPr>
            <w:tcW w:w="550" w:type="pct"/>
            <w:tcBorders>
              <w:top w:val="nil"/>
              <w:left w:val="nil"/>
              <w:bottom w:val="single" w:sz="4" w:space="0" w:color="auto"/>
              <w:right w:val="nil"/>
            </w:tcBorders>
            <w:shd w:val="clear" w:color="auto" w:fill="auto"/>
            <w:noWrap/>
            <w:vAlign w:val="center"/>
            <w:hideMark/>
          </w:tcPr>
          <w:p w14:paraId="0CFF344E"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0.3% - 80%</w:t>
            </w:r>
          </w:p>
        </w:tc>
      </w:tr>
      <w:tr w:rsidR="005D4FCC" w:rsidRPr="005E2F89" w14:paraId="3E36A342" w14:textId="77777777" w:rsidTr="004D4519">
        <w:trPr>
          <w:trHeight w:val="397"/>
        </w:trPr>
        <w:tc>
          <w:tcPr>
            <w:tcW w:w="588" w:type="pct"/>
            <w:vMerge w:val="restart"/>
            <w:tcBorders>
              <w:top w:val="nil"/>
              <w:left w:val="nil"/>
              <w:bottom w:val="single" w:sz="4" w:space="0" w:color="000000"/>
              <w:right w:val="nil"/>
            </w:tcBorders>
            <w:shd w:val="clear" w:color="auto" w:fill="auto"/>
            <w:noWrap/>
            <w:vAlign w:val="center"/>
            <w:hideMark/>
          </w:tcPr>
          <w:p w14:paraId="7DA88F45"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LMIC</w:t>
            </w:r>
          </w:p>
        </w:tc>
        <w:tc>
          <w:tcPr>
            <w:tcW w:w="625" w:type="pct"/>
            <w:vMerge w:val="restart"/>
            <w:tcBorders>
              <w:top w:val="nil"/>
              <w:left w:val="nil"/>
              <w:bottom w:val="single" w:sz="4" w:space="0" w:color="000000"/>
              <w:right w:val="nil"/>
            </w:tcBorders>
            <w:shd w:val="clear" w:color="auto" w:fill="auto"/>
            <w:noWrap/>
            <w:vAlign w:val="center"/>
            <w:hideMark/>
          </w:tcPr>
          <w:p w14:paraId="468D5416"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5-24y</w:t>
            </w:r>
          </w:p>
        </w:tc>
        <w:tc>
          <w:tcPr>
            <w:tcW w:w="488" w:type="pct"/>
            <w:tcBorders>
              <w:top w:val="nil"/>
              <w:left w:val="nil"/>
              <w:bottom w:val="nil"/>
              <w:right w:val="nil"/>
            </w:tcBorders>
            <w:shd w:val="clear" w:color="auto" w:fill="auto"/>
            <w:noWrap/>
            <w:vAlign w:val="center"/>
            <w:hideMark/>
          </w:tcPr>
          <w:p w14:paraId="36DF99F3"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3B21BD78"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56.1%</w:t>
            </w:r>
          </w:p>
        </w:tc>
        <w:tc>
          <w:tcPr>
            <w:tcW w:w="550" w:type="pct"/>
            <w:tcBorders>
              <w:top w:val="nil"/>
              <w:left w:val="nil"/>
              <w:bottom w:val="nil"/>
              <w:right w:val="nil"/>
            </w:tcBorders>
            <w:shd w:val="clear" w:color="auto" w:fill="auto"/>
            <w:noWrap/>
            <w:vAlign w:val="center"/>
            <w:hideMark/>
          </w:tcPr>
          <w:p w14:paraId="186E754B"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51.4% - 60.8%</w:t>
            </w:r>
          </w:p>
        </w:tc>
        <w:tc>
          <w:tcPr>
            <w:tcW w:w="550" w:type="pct"/>
            <w:tcBorders>
              <w:top w:val="nil"/>
              <w:left w:val="nil"/>
              <w:bottom w:val="nil"/>
              <w:right w:val="nil"/>
            </w:tcBorders>
            <w:shd w:val="clear" w:color="auto" w:fill="auto"/>
            <w:noWrap/>
            <w:vAlign w:val="center"/>
            <w:hideMark/>
          </w:tcPr>
          <w:p w14:paraId="609689C6"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16.7%</w:t>
            </w:r>
          </w:p>
        </w:tc>
        <w:tc>
          <w:tcPr>
            <w:tcW w:w="550" w:type="pct"/>
            <w:tcBorders>
              <w:top w:val="nil"/>
              <w:left w:val="nil"/>
              <w:bottom w:val="nil"/>
              <w:right w:val="nil"/>
            </w:tcBorders>
            <w:shd w:val="clear" w:color="auto" w:fill="auto"/>
            <w:noWrap/>
            <w:vAlign w:val="center"/>
            <w:hideMark/>
          </w:tcPr>
          <w:p w14:paraId="0A304E5E"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12.3% - 44.9%</w:t>
            </w:r>
          </w:p>
        </w:tc>
        <w:tc>
          <w:tcPr>
            <w:tcW w:w="550" w:type="pct"/>
            <w:tcBorders>
              <w:top w:val="nil"/>
              <w:left w:val="nil"/>
              <w:bottom w:val="nil"/>
              <w:right w:val="nil"/>
            </w:tcBorders>
            <w:shd w:val="clear" w:color="auto" w:fill="auto"/>
            <w:noWrap/>
            <w:vAlign w:val="center"/>
            <w:hideMark/>
          </w:tcPr>
          <w:p w14:paraId="7A3B3307"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15.6%</w:t>
            </w:r>
          </w:p>
        </w:tc>
        <w:tc>
          <w:tcPr>
            <w:tcW w:w="550" w:type="pct"/>
            <w:tcBorders>
              <w:top w:val="nil"/>
              <w:left w:val="nil"/>
              <w:bottom w:val="nil"/>
              <w:right w:val="nil"/>
            </w:tcBorders>
            <w:shd w:val="clear" w:color="auto" w:fill="auto"/>
            <w:noWrap/>
            <w:vAlign w:val="center"/>
            <w:hideMark/>
          </w:tcPr>
          <w:p w14:paraId="4C218D4D"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11.6% - 31.8%</w:t>
            </w:r>
          </w:p>
        </w:tc>
      </w:tr>
      <w:tr w:rsidR="005D4FCC" w:rsidRPr="005E2F89" w14:paraId="2EA2F2AE" w14:textId="77777777" w:rsidTr="004D4519">
        <w:trPr>
          <w:trHeight w:val="397"/>
        </w:trPr>
        <w:tc>
          <w:tcPr>
            <w:tcW w:w="588" w:type="pct"/>
            <w:vMerge/>
            <w:tcBorders>
              <w:top w:val="nil"/>
              <w:left w:val="nil"/>
              <w:bottom w:val="single" w:sz="4" w:space="0" w:color="000000"/>
              <w:right w:val="nil"/>
            </w:tcBorders>
            <w:vAlign w:val="center"/>
            <w:hideMark/>
          </w:tcPr>
          <w:p w14:paraId="5121DE1D" w14:textId="77777777" w:rsidR="005D4FCC" w:rsidRPr="005E2F89" w:rsidRDefault="005D4FCC" w:rsidP="005D4FCC">
            <w:pPr>
              <w:spacing w:line="276" w:lineRule="auto"/>
              <w:rPr>
                <w:rFonts w:ascii="Arial" w:hAnsi="Arial" w:cs="Arial"/>
                <w:color w:val="000000"/>
                <w:sz w:val="14"/>
                <w:szCs w:val="14"/>
              </w:rPr>
            </w:pPr>
          </w:p>
        </w:tc>
        <w:tc>
          <w:tcPr>
            <w:tcW w:w="625" w:type="pct"/>
            <w:vMerge/>
            <w:tcBorders>
              <w:top w:val="nil"/>
              <w:left w:val="nil"/>
              <w:bottom w:val="single" w:sz="4" w:space="0" w:color="000000"/>
              <w:right w:val="nil"/>
            </w:tcBorders>
            <w:vAlign w:val="center"/>
            <w:hideMark/>
          </w:tcPr>
          <w:p w14:paraId="1B52CEC9" w14:textId="77777777" w:rsidR="005D4FCC" w:rsidRPr="005E2F89" w:rsidRDefault="005D4FCC" w:rsidP="005D4FCC">
            <w:pPr>
              <w:spacing w:line="276" w:lineRule="auto"/>
              <w:rPr>
                <w:rFonts w:ascii="Arial"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52D3BD1A"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200A5E3F"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55.4%</w:t>
            </w:r>
          </w:p>
        </w:tc>
        <w:tc>
          <w:tcPr>
            <w:tcW w:w="550" w:type="pct"/>
            <w:tcBorders>
              <w:top w:val="nil"/>
              <w:left w:val="nil"/>
              <w:bottom w:val="nil"/>
              <w:right w:val="nil"/>
            </w:tcBorders>
            <w:shd w:val="clear" w:color="auto" w:fill="auto"/>
            <w:noWrap/>
            <w:vAlign w:val="center"/>
            <w:hideMark/>
          </w:tcPr>
          <w:p w14:paraId="48CE5B85"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51.3% - 59.4%</w:t>
            </w:r>
          </w:p>
        </w:tc>
        <w:tc>
          <w:tcPr>
            <w:tcW w:w="550" w:type="pct"/>
            <w:tcBorders>
              <w:top w:val="nil"/>
              <w:left w:val="nil"/>
              <w:bottom w:val="nil"/>
              <w:right w:val="nil"/>
            </w:tcBorders>
            <w:shd w:val="clear" w:color="auto" w:fill="auto"/>
            <w:noWrap/>
            <w:vAlign w:val="center"/>
            <w:hideMark/>
          </w:tcPr>
          <w:p w14:paraId="2F99E5D8"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16.6%</w:t>
            </w:r>
          </w:p>
        </w:tc>
        <w:tc>
          <w:tcPr>
            <w:tcW w:w="550" w:type="pct"/>
            <w:tcBorders>
              <w:top w:val="nil"/>
              <w:left w:val="nil"/>
              <w:bottom w:val="nil"/>
              <w:right w:val="nil"/>
            </w:tcBorders>
            <w:shd w:val="clear" w:color="auto" w:fill="auto"/>
            <w:noWrap/>
            <w:vAlign w:val="center"/>
            <w:hideMark/>
          </w:tcPr>
          <w:p w14:paraId="3E1351DB"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12.7% - 44.3%</w:t>
            </w:r>
          </w:p>
        </w:tc>
        <w:tc>
          <w:tcPr>
            <w:tcW w:w="550" w:type="pct"/>
            <w:tcBorders>
              <w:top w:val="nil"/>
              <w:left w:val="nil"/>
              <w:bottom w:val="nil"/>
              <w:right w:val="nil"/>
            </w:tcBorders>
            <w:shd w:val="clear" w:color="auto" w:fill="auto"/>
            <w:noWrap/>
            <w:vAlign w:val="center"/>
            <w:hideMark/>
          </w:tcPr>
          <w:p w14:paraId="063815DB"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15.6%</w:t>
            </w:r>
          </w:p>
        </w:tc>
        <w:tc>
          <w:tcPr>
            <w:tcW w:w="550" w:type="pct"/>
            <w:tcBorders>
              <w:top w:val="nil"/>
              <w:left w:val="nil"/>
              <w:bottom w:val="nil"/>
              <w:right w:val="nil"/>
            </w:tcBorders>
            <w:shd w:val="clear" w:color="auto" w:fill="auto"/>
            <w:noWrap/>
            <w:vAlign w:val="center"/>
            <w:hideMark/>
          </w:tcPr>
          <w:p w14:paraId="30AB1720"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12.1% - 30.6%</w:t>
            </w:r>
          </w:p>
        </w:tc>
      </w:tr>
      <w:tr w:rsidR="005D4FCC" w:rsidRPr="005E2F89" w14:paraId="6EF12640" w14:textId="77777777" w:rsidTr="004D4519">
        <w:trPr>
          <w:trHeight w:val="397"/>
        </w:trPr>
        <w:tc>
          <w:tcPr>
            <w:tcW w:w="588" w:type="pct"/>
            <w:vMerge/>
            <w:tcBorders>
              <w:top w:val="nil"/>
              <w:left w:val="nil"/>
              <w:bottom w:val="single" w:sz="4" w:space="0" w:color="000000"/>
              <w:right w:val="nil"/>
            </w:tcBorders>
            <w:vAlign w:val="center"/>
            <w:hideMark/>
          </w:tcPr>
          <w:p w14:paraId="3C44BEB3" w14:textId="77777777" w:rsidR="005D4FCC" w:rsidRPr="005E2F89" w:rsidRDefault="005D4FCC" w:rsidP="005D4FCC">
            <w:pPr>
              <w:spacing w:line="276" w:lineRule="auto"/>
              <w:rPr>
                <w:rFonts w:ascii="Arial" w:hAnsi="Arial" w:cs="Arial"/>
                <w:color w:val="000000"/>
                <w:sz w:val="14"/>
                <w:szCs w:val="14"/>
              </w:rPr>
            </w:pPr>
          </w:p>
        </w:tc>
        <w:tc>
          <w:tcPr>
            <w:tcW w:w="625" w:type="pct"/>
            <w:vMerge/>
            <w:tcBorders>
              <w:top w:val="nil"/>
              <w:left w:val="nil"/>
              <w:bottom w:val="single" w:sz="4" w:space="0" w:color="000000"/>
              <w:right w:val="nil"/>
            </w:tcBorders>
            <w:vAlign w:val="center"/>
            <w:hideMark/>
          </w:tcPr>
          <w:p w14:paraId="3454A96D" w14:textId="77777777" w:rsidR="005D4FCC" w:rsidRPr="005E2F89" w:rsidRDefault="005D4FCC" w:rsidP="005D4FCC">
            <w:pPr>
              <w:spacing w:line="276" w:lineRule="auto"/>
              <w:rPr>
                <w:rFonts w:ascii="Arial"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2EF4909E"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775CC4F4"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66.6%</w:t>
            </w:r>
          </w:p>
        </w:tc>
        <w:tc>
          <w:tcPr>
            <w:tcW w:w="550" w:type="pct"/>
            <w:tcBorders>
              <w:top w:val="nil"/>
              <w:left w:val="nil"/>
              <w:bottom w:val="nil"/>
              <w:right w:val="nil"/>
            </w:tcBorders>
            <w:shd w:val="clear" w:color="auto" w:fill="auto"/>
            <w:noWrap/>
            <w:vAlign w:val="center"/>
            <w:hideMark/>
          </w:tcPr>
          <w:p w14:paraId="3CFCB063"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60.8% - 72.7%</w:t>
            </w:r>
          </w:p>
        </w:tc>
        <w:tc>
          <w:tcPr>
            <w:tcW w:w="550" w:type="pct"/>
            <w:tcBorders>
              <w:top w:val="nil"/>
              <w:left w:val="nil"/>
              <w:bottom w:val="nil"/>
              <w:right w:val="nil"/>
            </w:tcBorders>
            <w:shd w:val="clear" w:color="auto" w:fill="auto"/>
            <w:noWrap/>
            <w:vAlign w:val="center"/>
            <w:hideMark/>
          </w:tcPr>
          <w:p w14:paraId="4507A799"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13.2%</w:t>
            </w:r>
          </w:p>
        </w:tc>
        <w:tc>
          <w:tcPr>
            <w:tcW w:w="550" w:type="pct"/>
            <w:tcBorders>
              <w:top w:val="nil"/>
              <w:left w:val="nil"/>
              <w:bottom w:val="nil"/>
              <w:right w:val="nil"/>
            </w:tcBorders>
            <w:shd w:val="clear" w:color="auto" w:fill="auto"/>
            <w:noWrap/>
            <w:vAlign w:val="center"/>
            <w:hideMark/>
          </w:tcPr>
          <w:p w14:paraId="51B5660F"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8.5% - 28.4%</w:t>
            </w:r>
          </w:p>
        </w:tc>
        <w:tc>
          <w:tcPr>
            <w:tcW w:w="550" w:type="pct"/>
            <w:tcBorders>
              <w:top w:val="nil"/>
              <w:left w:val="nil"/>
              <w:bottom w:val="nil"/>
              <w:right w:val="nil"/>
            </w:tcBorders>
            <w:shd w:val="clear" w:color="auto" w:fill="auto"/>
            <w:noWrap/>
            <w:vAlign w:val="center"/>
            <w:hideMark/>
          </w:tcPr>
          <w:p w14:paraId="3719203F"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5.8%</w:t>
            </w:r>
          </w:p>
        </w:tc>
        <w:tc>
          <w:tcPr>
            <w:tcW w:w="550" w:type="pct"/>
            <w:tcBorders>
              <w:top w:val="nil"/>
              <w:left w:val="nil"/>
              <w:bottom w:val="nil"/>
              <w:right w:val="nil"/>
            </w:tcBorders>
            <w:shd w:val="clear" w:color="auto" w:fill="auto"/>
            <w:noWrap/>
            <w:vAlign w:val="center"/>
            <w:hideMark/>
          </w:tcPr>
          <w:p w14:paraId="59F6DFB6"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3.2% - 18.5%</w:t>
            </w:r>
          </w:p>
        </w:tc>
      </w:tr>
      <w:tr w:rsidR="005D4FCC" w:rsidRPr="005E2F89" w14:paraId="13BE4832" w14:textId="77777777" w:rsidTr="004D4519">
        <w:trPr>
          <w:trHeight w:val="397"/>
        </w:trPr>
        <w:tc>
          <w:tcPr>
            <w:tcW w:w="588" w:type="pct"/>
            <w:vMerge/>
            <w:tcBorders>
              <w:top w:val="nil"/>
              <w:left w:val="nil"/>
              <w:bottom w:val="single" w:sz="4" w:space="0" w:color="000000"/>
              <w:right w:val="nil"/>
            </w:tcBorders>
            <w:vAlign w:val="center"/>
            <w:hideMark/>
          </w:tcPr>
          <w:p w14:paraId="34555CFD" w14:textId="77777777" w:rsidR="005D4FCC" w:rsidRPr="005E2F89" w:rsidRDefault="005D4FCC" w:rsidP="005D4FCC">
            <w:pPr>
              <w:spacing w:line="276" w:lineRule="auto"/>
              <w:rPr>
                <w:rFonts w:ascii="Arial" w:hAnsi="Arial" w:cs="Arial"/>
                <w:color w:val="000000"/>
                <w:sz w:val="14"/>
                <w:szCs w:val="14"/>
              </w:rPr>
            </w:pPr>
          </w:p>
        </w:tc>
        <w:tc>
          <w:tcPr>
            <w:tcW w:w="625" w:type="pct"/>
            <w:vMerge/>
            <w:tcBorders>
              <w:top w:val="nil"/>
              <w:left w:val="nil"/>
              <w:bottom w:val="single" w:sz="4" w:space="0" w:color="000000"/>
              <w:right w:val="nil"/>
            </w:tcBorders>
            <w:vAlign w:val="center"/>
            <w:hideMark/>
          </w:tcPr>
          <w:p w14:paraId="49DD1393" w14:textId="77777777" w:rsidR="005D4FCC" w:rsidRPr="005E2F89" w:rsidRDefault="005D4FCC" w:rsidP="005D4FCC">
            <w:pPr>
              <w:spacing w:line="276" w:lineRule="auto"/>
              <w:rPr>
                <w:rFonts w:ascii="Arial" w:hAnsi="Arial"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4144DB0C"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099443BD"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59.8%</w:t>
            </w:r>
          </w:p>
        </w:tc>
        <w:tc>
          <w:tcPr>
            <w:tcW w:w="550" w:type="pct"/>
            <w:tcBorders>
              <w:top w:val="nil"/>
              <w:left w:val="nil"/>
              <w:bottom w:val="single" w:sz="4" w:space="0" w:color="auto"/>
              <w:right w:val="nil"/>
            </w:tcBorders>
            <w:shd w:val="clear" w:color="auto" w:fill="auto"/>
            <w:noWrap/>
            <w:vAlign w:val="center"/>
            <w:hideMark/>
          </w:tcPr>
          <w:p w14:paraId="17F75E1D"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48.3% - 81.5%</w:t>
            </w:r>
          </w:p>
        </w:tc>
        <w:tc>
          <w:tcPr>
            <w:tcW w:w="550" w:type="pct"/>
            <w:tcBorders>
              <w:top w:val="nil"/>
              <w:left w:val="nil"/>
              <w:bottom w:val="single" w:sz="4" w:space="0" w:color="auto"/>
              <w:right w:val="nil"/>
            </w:tcBorders>
            <w:shd w:val="clear" w:color="auto" w:fill="auto"/>
            <w:noWrap/>
            <w:vAlign w:val="center"/>
            <w:hideMark/>
          </w:tcPr>
          <w:p w14:paraId="07E237B6"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14.0%</w:t>
            </w:r>
          </w:p>
        </w:tc>
        <w:tc>
          <w:tcPr>
            <w:tcW w:w="550" w:type="pct"/>
            <w:tcBorders>
              <w:top w:val="nil"/>
              <w:left w:val="nil"/>
              <w:bottom w:val="single" w:sz="4" w:space="0" w:color="auto"/>
              <w:right w:val="nil"/>
            </w:tcBorders>
            <w:shd w:val="clear" w:color="auto" w:fill="auto"/>
            <w:noWrap/>
            <w:vAlign w:val="center"/>
            <w:hideMark/>
          </w:tcPr>
          <w:p w14:paraId="0C7FE4F0"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0.1% - 45.1%</w:t>
            </w:r>
          </w:p>
        </w:tc>
        <w:tc>
          <w:tcPr>
            <w:tcW w:w="550" w:type="pct"/>
            <w:tcBorders>
              <w:top w:val="nil"/>
              <w:left w:val="nil"/>
              <w:bottom w:val="single" w:sz="4" w:space="0" w:color="auto"/>
              <w:right w:val="nil"/>
            </w:tcBorders>
            <w:shd w:val="clear" w:color="auto" w:fill="auto"/>
            <w:noWrap/>
            <w:vAlign w:val="center"/>
            <w:hideMark/>
          </w:tcPr>
          <w:p w14:paraId="217E77EC"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17.2%</w:t>
            </w:r>
          </w:p>
        </w:tc>
        <w:tc>
          <w:tcPr>
            <w:tcW w:w="550" w:type="pct"/>
            <w:tcBorders>
              <w:top w:val="nil"/>
              <w:left w:val="nil"/>
              <w:bottom w:val="single" w:sz="4" w:space="0" w:color="auto"/>
              <w:right w:val="nil"/>
            </w:tcBorders>
            <w:shd w:val="clear" w:color="auto" w:fill="auto"/>
            <w:noWrap/>
            <w:vAlign w:val="center"/>
            <w:hideMark/>
          </w:tcPr>
          <w:p w14:paraId="0BCB5D13"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0% - 29.8%</w:t>
            </w:r>
          </w:p>
        </w:tc>
      </w:tr>
      <w:tr w:rsidR="005D4FCC" w:rsidRPr="005E2F89" w14:paraId="360A318B" w14:textId="77777777" w:rsidTr="004D4519">
        <w:trPr>
          <w:trHeight w:val="397"/>
        </w:trPr>
        <w:tc>
          <w:tcPr>
            <w:tcW w:w="588" w:type="pct"/>
            <w:vMerge/>
            <w:tcBorders>
              <w:top w:val="nil"/>
              <w:left w:val="nil"/>
              <w:bottom w:val="single" w:sz="4" w:space="0" w:color="000000"/>
              <w:right w:val="nil"/>
            </w:tcBorders>
            <w:vAlign w:val="center"/>
            <w:hideMark/>
          </w:tcPr>
          <w:p w14:paraId="05E452AD" w14:textId="77777777" w:rsidR="005D4FCC" w:rsidRPr="005E2F89" w:rsidRDefault="005D4FCC" w:rsidP="005D4FCC">
            <w:pPr>
              <w:spacing w:line="276" w:lineRule="auto"/>
              <w:rPr>
                <w:rFonts w:ascii="Arial" w:hAnsi="Arial" w:cs="Arial"/>
                <w:color w:val="000000"/>
                <w:sz w:val="14"/>
                <w:szCs w:val="14"/>
              </w:rPr>
            </w:pPr>
          </w:p>
        </w:tc>
        <w:tc>
          <w:tcPr>
            <w:tcW w:w="625" w:type="pct"/>
            <w:vMerge w:val="restart"/>
            <w:tcBorders>
              <w:top w:val="nil"/>
              <w:left w:val="nil"/>
              <w:bottom w:val="single" w:sz="4" w:space="0" w:color="000000"/>
              <w:right w:val="nil"/>
            </w:tcBorders>
            <w:shd w:val="clear" w:color="auto" w:fill="auto"/>
            <w:noWrap/>
            <w:vAlign w:val="center"/>
            <w:hideMark/>
          </w:tcPr>
          <w:p w14:paraId="23446648"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25-64y</w:t>
            </w:r>
          </w:p>
        </w:tc>
        <w:tc>
          <w:tcPr>
            <w:tcW w:w="488" w:type="pct"/>
            <w:tcBorders>
              <w:top w:val="nil"/>
              <w:left w:val="nil"/>
              <w:bottom w:val="nil"/>
              <w:right w:val="nil"/>
            </w:tcBorders>
            <w:shd w:val="clear" w:color="auto" w:fill="auto"/>
            <w:noWrap/>
            <w:vAlign w:val="center"/>
            <w:hideMark/>
          </w:tcPr>
          <w:p w14:paraId="12148AD0"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391DF8F2"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40.5%</w:t>
            </w:r>
          </w:p>
        </w:tc>
        <w:tc>
          <w:tcPr>
            <w:tcW w:w="550" w:type="pct"/>
            <w:tcBorders>
              <w:top w:val="nil"/>
              <w:left w:val="nil"/>
              <w:bottom w:val="nil"/>
              <w:right w:val="nil"/>
            </w:tcBorders>
            <w:shd w:val="clear" w:color="auto" w:fill="auto"/>
            <w:noWrap/>
            <w:vAlign w:val="center"/>
            <w:hideMark/>
          </w:tcPr>
          <w:p w14:paraId="4DE43C45"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36.4% - 44.8%</w:t>
            </w:r>
          </w:p>
        </w:tc>
        <w:tc>
          <w:tcPr>
            <w:tcW w:w="550" w:type="pct"/>
            <w:tcBorders>
              <w:top w:val="nil"/>
              <w:left w:val="nil"/>
              <w:bottom w:val="nil"/>
              <w:right w:val="nil"/>
            </w:tcBorders>
            <w:shd w:val="clear" w:color="auto" w:fill="auto"/>
            <w:noWrap/>
            <w:vAlign w:val="center"/>
            <w:hideMark/>
          </w:tcPr>
          <w:p w14:paraId="47E91389"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14.2%</w:t>
            </w:r>
          </w:p>
        </w:tc>
        <w:tc>
          <w:tcPr>
            <w:tcW w:w="550" w:type="pct"/>
            <w:tcBorders>
              <w:top w:val="nil"/>
              <w:left w:val="nil"/>
              <w:bottom w:val="nil"/>
              <w:right w:val="nil"/>
            </w:tcBorders>
            <w:shd w:val="clear" w:color="auto" w:fill="auto"/>
            <w:noWrap/>
            <w:vAlign w:val="center"/>
            <w:hideMark/>
          </w:tcPr>
          <w:p w14:paraId="539F3AE5"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10.7% - 30%</w:t>
            </w:r>
          </w:p>
        </w:tc>
        <w:tc>
          <w:tcPr>
            <w:tcW w:w="550" w:type="pct"/>
            <w:tcBorders>
              <w:top w:val="nil"/>
              <w:left w:val="nil"/>
              <w:bottom w:val="nil"/>
              <w:right w:val="nil"/>
            </w:tcBorders>
            <w:shd w:val="clear" w:color="auto" w:fill="auto"/>
            <w:noWrap/>
            <w:vAlign w:val="center"/>
            <w:hideMark/>
          </w:tcPr>
          <w:p w14:paraId="1EA35203"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18.3%</w:t>
            </w:r>
          </w:p>
        </w:tc>
        <w:tc>
          <w:tcPr>
            <w:tcW w:w="550" w:type="pct"/>
            <w:tcBorders>
              <w:top w:val="nil"/>
              <w:left w:val="nil"/>
              <w:bottom w:val="nil"/>
              <w:right w:val="nil"/>
            </w:tcBorders>
            <w:shd w:val="clear" w:color="auto" w:fill="auto"/>
            <w:noWrap/>
            <w:vAlign w:val="center"/>
            <w:hideMark/>
          </w:tcPr>
          <w:p w14:paraId="7A8E095D"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13.6% - 47.1%</w:t>
            </w:r>
          </w:p>
        </w:tc>
      </w:tr>
      <w:tr w:rsidR="005D4FCC" w:rsidRPr="005E2F89" w14:paraId="7EDB33F6" w14:textId="77777777" w:rsidTr="004D4519">
        <w:trPr>
          <w:trHeight w:val="397"/>
        </w:trPr>
        <w:tc>
          <w:tcPr>
            <w:tcW w:w="588" w:type="pct"/>
            <w:vMerge/>
            <w:tcBorders>
              <w:top w:val="nil"/>
              <w:left w:val="nil"/>
              <w:bottom w:val="single" w:sz="4" w:space="0" w:color="000000"/>
              <w:right w:val="nil"/>
            </w:tcBorders>
            <w:vAlign w:val="center"/>
            <w:hideMark/>
          </w:tcPr>
          <w:p w14:paraId="401B659B" w14:textId="77777777" w:rsidR="005D4FCC" w:rsidRPr="005E2F89" w:rsidRDefault="005D4FCC" w:rsidP="005D4FCC">
            <w:pPr>
              <w:spacing w:line="276" w:lineRule="auto"/>
              <w:rPr>
                <w:rFonts w:ascii="Arial" w:hAnsi="Arial" w:cs="Arial"/>
                <w:color w:val="000000"/>
                <w:sz w:val="14"/>
                <w:szCs w:val="14"/>
              </w:rPr>
            </w:pPr>
          </w:p>
        </w:tc>
        <w:tc>
          <w:tcPr>
            <w:tcW w:w="625" w:type="pct"/>
            <w:vMerge/>
            <w:tcBorders>
              <w:top w:val="nil"/>
              <w:left w:val="nil"/>
              <w:bottom w:val="single" w:sz="4" w:space="0" w:color="000000"/>
              <w:right w:val="nil"/>
            </w:tcBorders>
            <w:vAlign w:val="center"/>
            <w:hideMark/>
          </w:tcPr>
          <w:p w14:paraId="7615C96A" w14:textId="77777777" w:rsidR="005D4FCC" w:rsidRPr="005E2F89" w:rsidRDefault="005D4FCC" w:rsidP="005D4FCC">
            <w:pPr>
              <w:spacing w:line="276" w:lineRule="auto"/>
              <w:rPr>
                <w:rFonts w:ascii="Arial"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3CDCED1B"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0280F98E"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41.2%</w:t>
            </w:r>
          </w:p>
        </w:tc>
        <w:tc>
          <w:tcPr>
            <w:tcW w:w="550" w:type="pct"/>
            <w:tcBorders>
              <w:top w:val="nil"/>
              <w:left w:val="nil"/>
              <w:bottom w:val="nil"/>
              <w:right w:val="nil"/>
            </w:tcBorders>
            <w:shd w:val="clear" w:color="auto" w:fill="auto"/>
            <w:noWrap/>
            <w:vAlign w:val="center"/>
            <w:hideMark/>
          </w:tcPr>
          <w:p w14:paraId="28F280C6"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38.0% - 44.4%</w:t>
            </w:r>
          </w:p>
        </w:tc>
        <w:tc>
          <w:tcPr>
            <w:tcW w:w="550" w:type="pct"/>
            <w:tcBorders>
              <w:top w:val="nil"/>
              <w:left w:val="nil"/>
              <w:bottom w:val="nil"/>
              <w:right w:val="nil"/>
            </w:tcBorders>
            <w:shd w:val="clear" w:color="auto" w:fill="auto"/>
            <w:noWrap/>
            <w:vAlign w:val="center"/>
            <w:hideMark/>
          </w:tcPr>
          <w:p w14:paraId="7A42EAA5"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14.2%</w:t>
            </w:r>
          </w:p>
        </w:tc>
        <w:tc>
          <w:tcPr>
            <w:tcW w:w="550" w:type="pct"/>
            <w:tcBorders>
              <w:top w:val="nil"/>
              <w:left w:val="nil"/>
              <w:bottom w:val="nil"/>
              <w:right w:val="nil"/>
            </w:tcBorders>
            <w:shd w:val="clear" w:color="auto" w:fill="auto"/>
            <w:noWrap/>
            <w:vAlign w:val="center"/>
            <w:hideMark/>
          </w:tcPr>
          <w:p w14:paraId="7430AE0E"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11.2% - 29%</w:t>
            </w:r>
          </w:p>
        </w:tc>
        <w:tc>
          <w:tcPr>
            <w:tcW w:w="550" w:type="pct"/>
            <w:tcBorders>
              <w:top w:val="nil"/>
              <w:left w:val="nil"/>
              <w:bottom w:val="nil"/>
              <w:right w:val="nil"/>
            </w:tcBorders>
            <w:shd w:val="clear" w:color="auto" w:fill="auto"/>
            <w:noWrap/>
            <w:vAlign w:val="center"/>
            <w:hideMark/>
          </w:tcPr>
          <w:p w14:paraId="0A924181"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17.9%</w:t>
            </w:r>
          </w:p>
        </w:tc>
        <w:tc>
          <w:tcPr>
            <w:tcW w:w="550" w:type="pct"/>
            <w:tcBorders>
              <w:top w:val="nil"/>
              <w:left w:val="nil"/>
              <w:bottom w:val="nil"/>
              <w:right w:val="nil"/>
            </w:tcBorders>
            <w:shd w:val="clear" w:color="auto" w:fill="auto"/>
            <w:noWrap/>
            <w:vAlign w:val="center"/>
            <w:hideMark/>
          </w:tcPr>
          <w:p w14:paraId="27E7B36D"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14.1% - 46.4%</w:t>
            </w:r>
          </w:p>
        </w:tc>
      </w:tr>
      <w:tr w:rsidR="005D4FCC" w:rsidRPr="005E2F89" w14:paraId="73B90A1B" w14:textId="77777777" w:rsidTr="004D4519">
        <w:trPr>
          <w:trHeight w:val="397"/>
        </w:trPr>
        <w:tc>
          <w:tcPr>
            <w:tcW w:w="588" w:type="pct"/>
            <w:vMerge/>
            <w:tcBorders>
              <w:top w:val="nil"/>
              <w:left w:val="nil"/>
              <w:bottom w:val="single" w:sz="4" w:space="0" w:color="000000"/>
              <w:right w:val="nil"/>
            </w:tcBorders>
            <w:vAlign w:val="center"/>
            <w:hideMark/>
          </w:tcPr>
          <w:p w14:paraId="3A655CA1" w14:textId="77777777" w:rsidR="005D4FCC" w:rsidRPr="005E2F89" w:rsidRDefault="005D4FCC" w:rsidP="005D4FCC">
            <w:pPr>
              <w:spacing w:line="276" w:lineRule="auto"/>
              <w:rPr>
                <w:rFonts w:ascii="Arial" w:hAnsi="Arial" w:cs="Arial"/>
                <w:color w:val="000000"/>
                <w:sz w:val="14"/>
                <w:szCs w:val="14"/>
              </w:rPr>
            </w:pPr>
          </w:p>
        </w:tc>
        <w:tc>
          <w:tcPr>
            <w:tcW w:w="625" w:type="pct"/>
            <w:vMerge/>
            <w:tcBorders>
              <w:top w:val="nil"/>
              <w:left w:val="nil"/>
              <w:bottom w:val="single" w:sz="4" w:space="0" w:color="000000"/>
              <w:right w:val="nil"/>
            </w:tcBorders>
            <w:vAlign w:val="center"/>
            <w:hideMark/>
          </w:tcPr>
          <w:p w14:paraId="5D9F547E" w14:textId="77777777" w:rsidR="005D4FCC" w:rsidRPr="005E2F89" w:rsidRDefault="005D4FCC" w:rsidP="005D4FCC">
            <w:pPr>
              <w:spacing w:line="276" w:lineRule="auto"/>
              <w:rPr>
                <w:rFonts w:ascii="Arial"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447954F8"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7DBD76D8"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31.9%</w:t>
            </w:r>
          </w:p>
        </w:tc>
        <w:tc>
          <w:tcPr>
            <w:tcW w:w="550" w:type="pct"/>
            <w:tcBorders>
              <w:top w:val="nil"/>
              <w:left w:val="nil"/>
              <w:bottom w:val="nil"/>
              <w:right w:val="nil"/>
            </w:tcBorders>
            <w:shd w:val="clear" w:color="auto" w:fill="auto"/>
            <w:noWrap/>
            <w:vAlign w:val="center"/>
            <w:hideMark/>
          </w:tcPr>
          <w:p w14:paraId="68854AFB"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26.4% - 37.3%</w:t>
            </w:r>
          </w:p>
        </w:tc>
        <w:tc>
          <w:tcPr>
            <w:tcW w:w="550" w:type="pct"/>
            <w:tcBorders>
              <w:top w:val="nil"/>
              <w:left w:val="nil"/>
              <w:bottom w:val="nil"/>
              <w:right w:val="nil"/>
            </w:tcBorders>
            <w:shd w:val="clear" w:color="auto" w:fill="auto"/>
            <w:noWrap/>
            <w:vAlign w:val="center"/>
            <w:hideMark/>
          </w:tcPr>
          <w:p w14:paraId="5C9A6B9A"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6.9%</w:t>
            </w:r>
          </w:p>
        </w:tc>
        <w:tc>
          <w:tcPr>
            <w:tcW w:w="550" w:type="pct"/>
            <w:tcBorders>
              <w:top w:val="nil"/>
              <w:left w:val="nil"/>
              <w:bottom w:val="nil"/>
              <w:right w:val="nil"/>
            </w:tcBorders>
            <w:shd w:val="clear" w:color="auto" w:fill="auto"/>
            <w:noWrap/>
            <w:vAlign w:val="center"/>
            <w:hideMark/>
          </w:tcPr>
          <w:p w14:paraId="2B1EECC8"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3.4% - 18.5%</w:t>
            </w:r>
          </w:p>
        </w:tc>
        <w:tc>
          <w:tcPr>
            <w:tcW w:w="550" w:type="pct"/>
            <w:tcBorders>
              <w:top w:val="nil"/>
              <w:left w:val="nil"/>
              <w:bottom w:val="nil"/>
              <w:right w:val="nil"/>
            </w:tcBorders>
            <w:shd w:val="clear" w:color="auto" w:fill="auto"/>
            <w:noWrap/>
            <w:vAlign w:val="center"/>
            <w:hideMark/>
          </w:tcPr>
          <w:p w14:paraId="5C6E7578"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13.4%</w:t>
            </w:r>
          </w:p>
        </w:tc>
        <w:tc>
          <w:tcPr>
            <w:tcW w:w="550" w:type="pct"/>
            <w:tcBorders>
              <w:top w:val="nil"/>
              <w:left w:val="nil"/>
              <w:bottom w:val="nil"/>
              <w:right w:val="nil"/>
            </w:tcBorders>
            <w:shd w:val="clear" w:color="auto" w:fill="auto"/>
            <w:noWrap/>
            <w:vAlign w:val="center"/>
            <w:hideMark/>
          </w:tcPr>
          <w:p w14:paraId="149D5B02"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9.3% - 30.7%</w:t>
            </w:r>
          </w:p>
        </w:tc>
      </w:tr>
      <w:tr w:rsidR="005D4FCC" w:rsidRPr="005E2F89" w14:paraId="76EF216B" w14:textId="77777777" w:rsidTr="004D4519">
        <w:trPr>
          <w:trHeight w:val="397"/>
        </w:trPr>
        <w:tc>
          <w:tcPr>
            <w:tcW w:w="588" w:type="pct"/>
            <w:vMerge/>
            <w:tcBorders>
              <w:top w:val="nil"/>
              <w:left w:val="nil"/>
              <w:bottom w:val="single" w:sz="4" w:space="0" w:color="000000"/>
              <w:right w:val="nil"/>
            </w:tcBorders>
            <w:vAlign w:val="center"/>
            <w:hideMark/>
          </w:tcPr>
          <w:p w14:paraId="1CC5985C" w14:textId="77777777" w:rsidR="005D4FCC" w:rsidRPr="005E2F89" w:rsidRDefault="005D4FCC" w:rsidP="005D4FCC">
            <w:pPr>
              <w:spacing w:line="276" w:lineRule="auto"/>
              <w:rPr>
                <w:rFonts w:ascii="Arial" w:hAnsi="Arial" w:cs="Arial"/>
                <w:color w:val="000000"/>
                <w:sz w:val="14"/>
                <w:szCs w:val="14"/>
              </w:rPr>
            </w:pPr>
          </w:p>
        </w:tc>
        <w:tc>
          <w:tcPr>
            <w:tcW w:w="625" w:type="pct"/>
            <w:vMerge/>
            <w:tcBorders>
              <w:top w:val="nil"/>
              <w:left w:val="nil"/>
              <w:bottom w:val="single" w:sz="4" w:space="0" w:color="000000"/>
              <w:right w:val="nil"/>
            </w:tcBorders>
            <w:vAlign w:val="center"/>
            <w:hideMark/>
          </w:tcPr>
          <w:p w14:paraId="6372C049" w14:textId="77777777" w:rsidR="005D4FCC" w:rsidRPr="005E2F89" w:rsidRDefault="005D4FCC" w:rsidP="005D4FCC">
            <w:pPr>
              <w:spacing w:line="276" w:lineRule="auto"/>
              <w:rPr>
                <w:rFonts w:ascii="Arial" w:hAnsi="Arial"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44479992"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09DB42D8"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37.3%</w:t>
            </w:r>
          </w:p>
        </w:tc>
        <w:tc>
          <w:tcPr>
            <w:tcW w:w="550" w:type="pct"/>
            <w:tcBorders>
              <w:top w:val="nil"/>
              <w:left w:val="nil"/>
              <w:bottom w:val="single" w:sz="4" w:space="0" w:color="auto"/>
              <w:right w:val="nil"/>
            </w:tcBorders>
            <w:shd w:val="clear" w:color="auto" w:fill="auto"/>
            <w:noWrap/>
            <w:vAlign w:val="center"/>
            <w:hideMark/>
          </w:tcPr>
          <w:p w14:paraId="3BA012EA"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15.7% - 46.5%</w:t>
            </w:r>
          </w:p>
        </w:tc>
        <w:tc>
          <w:tcPr>
            <w:tcW w:w="550" w:type="pct"/>
            <w:tcBorders>
              <w:top w:val="nil"/>
              <w:left w:val="nil"/>
              <w:bottom w:val="single" w:sz="4" w:space="0" w:color="auto"/>
              <w:right w:val="nil"/>
            </w:tcBorders>
            <w:shd w:val="clear" w:color="auto" w:fill="auto"/>
            <w:noWrap/>
            <w:vAlign w:val="center"/>
            <w:hideMark/>
          </w:tcPr>
          <w:p w14:paraId="07026890"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15.7%</w:t>
            </w:r>
          </w:p>
        </w:tc>
        <w:tc>
          <w:tcPr>
            <w:tcW w:w="550" w:type="pct"/>
            <w:tcBorders>
              <w:top w:val="nil"/>
              <w:left w:val="nil"/>
              <w:bottom w:val="single" w:sz="4" w:space="0" w:color="auto"/>
              <w:right w:val="nil"/>
            </w:tcBorders>
            <w:shd w:val="clear" w:color="auto" w:fill="auto"/>
            <w:noWrap/>
            <w:vAlign w:val="center"/>
            <w:hideMark/>
          </w:tcPr>
          <w:p w14:paraId="02720FB8"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0% - 28.1%</w:t>
            </w:r>
          </w:p>
        </w:tc>
        <w:tc>
          <w:tcPr>
            <w:tcW w:w="550" w:type="pct"/>
            <w:tcBorders>
              <w:top w:val="nil"/>
              <w:left w:val="nil"/>
              <w:bottom w:val="single" w:sz="4" w:space="0" w:color="auto"/>
              <w:right w:val="nil"/>
            </w:tcBorders>
            <w:shd w:val="clear" w:color="auto" w:fill="auto"/>
            <w:noWrap/>
            <w:vAlign w:val="center"/>
            <w:hideMark/>
          </w:tcPr>
          <w:p w14:paraId="6CD1AA2E"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16.1%</w:t>
            </w:r>
          </w:p>
        </w:tc>
        <w:tc>
          <w:tcPr>
            <w:tcW w:w="550" w:type="pct"/>
            <w:tcBorders>
              <w:top w:val="nil"/>
              <w:left w:val="nil"/>
              <w:bottom w:val="single" w:sz="4" w:space="0" w:color="auto"/>
              <w:right w:val="nil"/>
            </w:tcBorders>
            <w:shd w:val="clear" w:color="auto" w:fill="auto"/>
            <w:noWrap/>
            <w:vAlign w:val="center"/>
            <w:hideMark/>
          </w:tcPr>
          <w:p w14:paraId="427AAA96"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0.1% - 48.4%</w:t>
            </w:r>
          </w:p>
        </w:tc>
      </w:tr>
      <w:tr w:rsidR="005D4FCC" w:rsidRPr="005E2F89" w14:paraId="76C76334" w14:textId="77777777" w:rsidTr="004D4519">
        <w:trPr>
          <w:trHeight w:val="397"/>
        </w:trPr>
        <w:tc>
          <w:tcPr>
            <w:tcW w:w="588" w:type="pct"/>
            <w:vMerge/>
            <w:tcBorders>
              <w:top w:val="nil"/>
              <w:left w:val="nil"/>
              <w:bottom w:val="single" w:sz="4" w:space="0" w:color="000000"/>
              <w:right w:val="nil"/>
            </w:tcBorders>
            <w:vAlign w:val="center"/>
            <w:hideMark/>
          </w:tcPr>
          <w:p w14:paraId="4EE1F969" w14:textId="77777777" w:rsidR="005D4FCC" w:rsidRPr="005E2F89" w:rsidRDefault="005D4FCC" w:rsidP="005D4FCC">
            <w:pPr>
              <w:spacing w:line="276" w:lineRule="auto"/>
              <w:rPr>
                <w:rFonts w:ascii="Arial" w:hAnsi="Arial" w:cs="Arial"/>
                <w:color w:val="000000"/>
                <w:sz w:val="14"/>
                <w:szCs w:val="14"/>
              </w:rPr>
            </w:pPr>
          </w:p>
        </w:tc>
        <w:tc>
          <w:tcPr>
            <w:tcW w:w="625" w:type="pct"/>
            <w:vMerge w:val="restart"/>
            <w:tcBorders>
              <w:top w:val="nil"/>
              <w:left w:val="nil"/>
              <w:bottom w:val="single" w:sz="4" w:space="0" w:color="000000"/>
              <w:right w:val="nil"/>
            </w:tcBorders>
            <w:shd w:val="clear" w:color="auto" w:fill="auto"/>
            <w:noWrap/>
            <w:vAlign w:val="center"/>
            <w:hideMark/>
          </w:tcPr>
          <w:p w14:paraId="4E2A0E94"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&gt;64y</w:t>
            </w:r>
          </w:p>
        </w:tc>
        <w:tc>
          <w:tcPr>
            <w:tcW w:w="488" w:type="pct"/>
            <w:tcBorders>
              <w:top w:val="nil"/>
              <w:left w:val="nil"/>
              <w:bottom w:val="nil"/>
              <w:right w:val="nil"/>
            </w:tcBorders>
            <w:shd w:val="clear" w:color="auto" w:fill="auto"/>
            <w:noWrap/>
            <w:vAlign w:val="center"/>
            <w:hideMark/>
          </w:tcPr>
          <w:p w14:paraId="3E7E3103"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0A2B137D"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3.3%</w:t>
            </w:r>
          </w:p>
        </w:tc>
        <w:tc>
          <w:tcPr>
            <w:tcW w:w="550" w:type="pct"/>
            <w:tcBorders>
              <w:top w:val="nil"/>
              <w:left w:val="nil"/>
              <w:bottom w:val="nil"/>
              <w:right w:val="nil"/>
            </w:tcBorders>
            <w:shd w:val="clear" w:color="auto" w:fill="auto"/>
            <w:noWrap/>
            <w:vAlign w:val="center"/>
            <w:hideMark/>
          </w:tcPr>
          <w:p w14:paraId="31975C42"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2.6% - 4.0%</w:t>
            </w:r>
          </w:p>
        </w:tc>
        <w:tc>
          <w:tcPr>
            <w:tcW w:w="550" w:type="pct"/>
            <w:tcBorders>
              <w:top w:val="nil"/>
              <w:left w:val="nil"/>
              <w:bottom w:val="nil"/>
              <w:right w:val="nil"/>
            </w:tcBorders>
            <w:shd w:val="clear" w:color="auto" w:fill="auto"/>
            <w:noWrap/>
            <w:vAlign w:val="center"/>
            <w:hideMark/>
          </w:tcPr>
          <w:p w14:paraId="16BB0C26"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1.3%</w:t>
            </w:r>
          </w:p>
        </w:tc>
        <w:tc>
          <w:tcPr>
            <w:tcW w:w="550" w:type="pct"/>
            <w:tcBorders>
              <w:top w:val="nil"/>
              <w:left w:val="nil"/>
              <w:bottom w:val="nil"/>
              <w:right w:val="nil"/>
            </w:tcBorders>
            <w:shd w:val="clear" w:color="auto" w:fill="auto"/>
            <w:noWrap/>
            <w:vAlign w:val="center"/>
            <w:hideMark/>
          </w:tcPr>
          <w:p w14:paraId="20CDBBD0"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0.9% - 2.2%</w:t>
            </w:r>
          </w:p>
        </w:tc>
        <w:tc>
          <w:tcPr>
            <w:tcW w:w="550" w:type="pct"/>
            <w:tcBorders>
              <w:top w:val="nil"/>
              <w:left w:val="nil"/>
              <w:bottom w:val="nil"/>
              <w:right w:val="nil"/>
            </w:tcBorders>
            <w:shd w:val="clear" w:color="auto" w:fill="auto"/>
            <w:noWrap/>
            <w:vAlign w:val="center"/>
            <w:hideMark/>
          </w:tcPr>
          <w:p w14:paraId="0FAAE246"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31.3%</w:t>
            </w:r>
          </w:p>
        </w:tc>
        <w:tc>
          <w:tcPr>
            <w:tcW w:w="550" w:type="pct"/>
            <w:tcBorders>
              <w:top w:val="nil"/>
              <w:left w:val="nil"/>
              <w:bottom w:val="nil"/>
              <w:right w:val="nil"/>
            </w:tcBorders>
            <w:shd w:val="clear" w:color="auto" w:fill="auto"/>
            <w:noWrap/>
            <w:vAlign w:val="center"/>
            <w:hideMark/>
          </w:tcPr>
          <w:p w14:paraId="29B74463"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24.6% - 77.8%</w:t>
            </w:r>
          </w:p>
        </w:tc>
      </w:tr>
      <w:tr w:rsidR="005D4FCC" w:rsidRPr="005E2F89" w14:paraId="30239BA8" w14:textId="77777777" w:rsidTr="004D4519">
        <w:trPr>
          <w:trHeight w:val="397"/>
        </w:trPr>
        <w:tc>
          <w:tcPr>
            <w:tcW w:w="588" w:type="pct"/>
            <w:vMerge/>
            <w:tcBorders>
              <w:top w:val="nil"/>
              <w:left w:val="nil"/>
              <w:bottom w:val="single" w:sz="4" w:space="0" w:color="000000"/>
              <w:right w:val="nil"/>
            </w:tcBorders>
            <w:vAlign w:val="center"/>
            <w:hideMark/>
          </w:tcPr>
          <w:p w14:paraId="5A35A88B" w14:textId="77777777" w:rsidR="005D4FCC" w:rsidRPr="005E2F89" w:rsidRDefault="005D4FCC" w:rsidP="005D4FCC">
            <w:pPr>
              <w:spacing w:line="276" w:lineRule="auto"/>
              <w:rPr>
                <w:rFonts w:ascii="Arial" w:hAnsi="Arial" w:cs="Arial"/>
                <w:color w:val="000000"/>
                <w:sz w:val="14"/>
                <w:szCs w:val="14"/>
              </w:rPr>
            </w:pPr>
          </w:p>
        </w:tc>
        <w:tc>
          <w:tcPr>
            <w:tcW w:w="625" w:type="pct"/>
            <w:vMerge/>
            <w:tcBorders>
              <w:top w:val="nil"/>
              <w:left w:val="nil"/>
              <w:bottom w:val="single" w:sz="4" w:space="0" w:color="000000"/>
              <w:right w:val="nil"/>
            </w:tcBorders>
            <w:vAlign w:val="center"/>
            <w:hideMark/>
          </w:tcPr>
          <w:p w14:paraId="578FB0A4" w14:textId="77777777" w:rsidR="005D4FCC" w:rsidRPr="005E2F89" w:rsidRDefault="005D4FCC" w:rsidP="005D4FCC">
            <w:pPr>
              <w:spacing w:line="276" w:lineRule="auto"/>
              <w:rPr>
                <w:rFonts w:ascii="Arial"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3E785CBE"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2A8AC4B5"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3.4%</w:t>
            </w:r>
          </w:p>
        </w:tc>
        <w:tc>
          <w:tcPr>
            <w:tcW w:w="550" w:type="pct"/>
            <w:tcBorders>
              <w:top w:val="nil"/>
              <w:left w:val="nil"/>
              <w:bottom w:val="nil"/>
              <w:right w:val="nil"/>
            </w:tcBorders>
            <w:shd w:val="clear" w:color="auto" w:fill="auto"/>
            <w:noWrap/>
            <w:vAlign w:val="center"/>
            <w:hideMark/>
          </w:tcPr>
          <w:p w14:paraId="28A92BDF"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2.6% - 3.9%</w:t>
            </w:r>
          </w:p>
        </w:tc>
        <w:tc>
          <w:tcPr>
            <w:tcW w:w="550" w:type="pct"/>
            <w:tcBorders>
              <w:top w:val="nil"/>
              <w:left w:val="nil"/>
              <w:bottom w:val="nil"/>
              <w:right w:val="nil"/>
            </w:tcBorders>
            <w:shd w:val="clear" w:color="auto" w:fill="auto"/>
            <w:noWrap/>
            <w:vAlign w:val="center"/>
            <w:hideMark/>
          </w:tcPr>
          <w:p w14:paraId="7D04D4DD"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1.3%</w:t>
            </w:r>
          </w:p>
        </w:tc>
        <w:tc>
          <w:tcPr>
            <w:tcW w:w="550" w:type="pct"/>
            <w:tcBorders>
              <w:top w:val="nil"/>
              <w:left w:val="nil"/>
              <w:bottom w:val="nil"/>
              <w:right w:val="nil"/>
            </w:tcBorders>
            <w:shd w:val="clear" w:color="auto" w:fill="auto"/>
            <w:noWrap/>
            <w:vAlign w:val="center"/>
            <w:hideMark/>
          </w:tcPr>
          <w:p w14:paraId="3D670DBC"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 - 2.2%</w:t>
            </w:r>
          </w:p>
        </w:tc>
        <w:tc>
          <w:tcPr>
            <w:tcW w:w="550" w:type="pct"/>
            <w:tcBorders>
              <w:top w:val="nil"/>
              <w:left w:val="nil"/>
              <w:bottom w:val="nil"/>
              <w:right w:val="nil"/>
            </w:tcBorders>
            <w:shd w:val="clear" w:color="auto" w:fill="auto"/>
            <w:noWrap/>
            <w:vAlign w:val="center"/>
            <w:hideMark/>
          </w:tcPr>
          <w:p w14:paraId="3586AB0E"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29.6%</w:t>
            </w:r>
          </w:p>
        </w:tc>
        <w:tc>
          <w:tcPr>
            <w:tcW w:w="550" w:type="pct"/>
            <w:tcBorders>
              <w:top w:val="nil"/>
              <w:left w:val="nil"/>
              <w:bottom w:val="nil"/>
              <w:right w:val="nil"/>
            </w:tcBorders>
            <w:shd w:val="clear" w:color="auto" w:fill="auto"/>
            <w:noWrap/>
            <w:vAlign w:val="center"/>
            <w:hideMark/>
          </w:tcPr>
          <w:p w14:paraId="0A5D160D"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26% - 76%</w:t>
            </w:r>
          </w:p>
        </w:tc>
      </w:tr>
      <w:tr w:rsidR="005D4FCC" w:rsidRPr="005E2F89" w14:paraId="601B2425" w14:textId="77777777" w:rsidTr="004D4519">
        <w:trPr>
          <w:trHeight w:val="397"/>
        </w:trPr>
        <w:tc>
          <w:tcPr>
            <w:tcW w:w="588" w:type="pct"/>
            <w:vMerge/>
            <w:tcBorders>
              <w:top w:val="nil"/>
              <w:left w:val="nil"/>
              <w:bottom w:val="single" w:sz="4" w:space="0" w:color="000000"/>
              <w:right w:val="nil"/>
            </w:tcBorders>
            <w:vAlign w:val="center"/>
            <w:hideMark/>
          </w:tcPr>
          <w:p w14:paraId="611758F1" w14:textId="77777777" w:rsidR="005D4FCC" w:rsidRPr="005E2F89" w:rsidRDefault="005D4FCC" w:rsidP="005D4FCC">
            <w:pPr>
              <w:spacing w:line="276" w:lineRule="auto"/>
              <w:rPr>
                <w:rFonts w:ascii="Arial" w:hAnsi="Arial" w:cs="Arial"/>
                <w:color w:val="000000"/>
                <w:sz w:val="14"/>
                <w:szCs w:val="14"/>
              </w:rPr>
            </w:pPr>
          </w:p>
        </w:tc>
        <w:tc>
          <w:tcPr>
            <w:tcW w:w="625" w:type="pct"/>
            <w:vMerge/>
            <w:tcBorders>
              <w:top w:val="nil"/>
              <w:left w:val="nil"/>
              <w:bottom w:val="single" w:sz="4" w:space="0" w:color="000000"/>
              <w:right w:val="nil"/>
            </w:tcBorders>
            <w:vAlign w:val="center"/>
            <w:hideMark/>
          </w:tcPr>
          <w:p w14:paraId="57BBF861" w14:textId="77777777" w:rsidR="005D4FCC" w:rsidRPr="005E2F89" w:rsidRDefault="005D4FCC" w:rsidP="005D4FCC">
            <w:pPr>
              <w:spacing w:line="276" w:lineRule="auto"/>
              <w:rPr>
                <w:rFonts w:ascii="Arial"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6134917B"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38BDF945"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0.9%</w:t>
            </w:r>
          </w:p>
        </w:tc>
        <w:tc>
          <w:tcPr>
            <w:tcW w:w="550" w:type="pct"/>
            <w:tcBorders>
              <w:top w:val="nil"/>
              <w:left w:val="nil"/>
              <w:bottom w:val="nil"/>
              <w:right w:val="nil"/>
            </w:tcBorders>
            <w:shd w:val="clear" w:color="auto" w:fill="auto"/>
            <w:noWrap/>
            <w:vAlign w:val="center"/>
            <w:hideMark/>
          </w:tcPr>
          <w:p w14:paraId="6B10A0E2"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0.7% - 2.2%</w:t>
            </w:r>
          </w:p>
        </w:tc>
        <w:tc>
          <w:tcPr>
            <w:tcW w:w="550" w:type="pct"/>
            <w:tcBorders>
              <w:top w:val="nil"/>
              <w:left w:val="nil"/>
              <w:bottom w:val="nil"/>
              <w:right w:val="nil"/>
            </w:tcBorders>
            <w:shd w:val="clear" w:color="auto" w:fill="auto"/>
            <w:noWrap/>
            <w:vAlign w:val="center"/>
            <w:hideMark/>
          </w:tcPr>
          <w:p w14:paraId="77F8EF9D"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0.3%</w:t>
            </w:r>
          </w:p>
        </w:tc>
        <w:tc>
          <w:tcPr>
            <w:tcW w:w="550" w:type="pct"/>
            <w:tcBorders>
              <w:top w:val="nil"/>
              <w:left w:val="nil"/>
              <w:bottom w:val="nil"/>
              <w:right w:val="nil"/>
            </w:tcBorders>
            <w:shd w:val="clear" w:color="auto" w:fill="auto"/>
            <w:noWrap/>
            <w:vAlign w:val="center"/>
            <w:hideMark/>
          </w:tcPr>
          <w:p w14:paraId="240D616F"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0.1% - 1.1%</w:t>
            </w:r>
          </w:p>
        </w:tc>
        <w:tc>
          <w:tcPr>
            <w:tcW w:w="550" w:type="pct"/>
            <w:tcBorders>
              <w:top w:val="nil"/>
              <w:left w:val="nil"/>
              <w:bottom w:val="nil"/>
              <w:right w:val="nil"/>
            </w:tcBorders>
            <w:shd w:val="clear" w:color="auto" w:fill="auto"/>
            <w:noWrap/>
            <w:vAlign w:val="center"/>
            <w:hideMark/>
          </w:tcPr>
          <w:p w14:paraId="305F9B7E"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20.4%</w:t>
            </w:r>
          </w:p>
        </w:tc>
        <w:tc>
          <w:tcPr>
            <w:tcW w:w="550" w:type="pct"/>
            <w:tcBorders>
              <w:top w:val="nil"/>
              <w:left w:val="nil"/>
              <w:bottom w:val="nil"/>
              <w:right w:val="nil"/>
            </w:tcBorders>
            <w:shd w:val="clear" w:color="auto" w:fill="auto"/>
            <w:noWrap/>
            <w:vAlign w:val="center"/>
            <w:hideMark/>
          </w:tcPr>
          <w:p w14:paraId="5EDD0524"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12.8% - 49.5%</w:t>
            </w:r>
          </w:p>
        </w:tc>
      </w:tr>
      <w:tr w:rsidR="005D4FCC" w:rsidRPr="005E2F89" w14:paraId="0F8FDD29" w14:textId="77777777" w:rsidTr="004D4519">
        <w:trPr>
          <w:trHeight w:val="397"/>
        </w:trPr>
        <w:tc>
          <w:tcPr>
            <w:tcW w:w="588" w:type="pct"/>
            <w:vMerge/>
            <w:tcBorders>
              <w:top w:val="nil"/>
              <w:left w:val="nil"/>
              <w:bottom w:val="single" w:sz="4" w:space="0" w:color="000000"/>
              <w:right w:val="nil"/>
            </w:tcBorders>
            <w:vAlign w:val="center"/>
            <w:hideMark/>
          </w:tcPr>
          <w:p w14:paraId="0C469921" w14:textId="77777777" w:rsidR="005D4FCC" w:rsidRPr="005E2F89" w:rsidRDefault="005D4FCC" w:rsidP="005D4FCC">
            <w:pPr>
              <w:spacing w:line="276" w:lineRule="auto"/>
              <w:rPr>
                <w:rFonts w:ascii="Arial" w:hAnsi="Arial" w:cs="Arial"/>
                <w:color w:val="000000"/>
                <w:sz w:val="14"/>
                <w:szCs w:val="14"/>
              </w:rPr>
            </w:pPr>
          </w:p>
        </w:tc>
        <w:tc>
          <w:tcPr>
            <w:tcW w:w="625" w:type="pct"/>
            <w:vMerge/>
            <w:tcBorders>
              <w:top w:val="nil"/>
              <w:left w:val="nil"/>
              <w:bottom w:val="single" w:sz="4" w:space="0" w:color="000000"/>
              <w:right w:val="nil"/>
            </w:tcBorders>
            <w:vAlign w:val="center"/>
            <w:hideMark/>
          </w:tcPr>
          <w:p w14:paraId="0B6D39DE" w14:textId="77777777" w:rsidR="005D4FCC" w:rsidRPr="005E2F89" w:rsidRDefault="005D4FCC" w:rsidP="005D4FCC">
            <w:pPr>
              <w:spacing w:line="276" w:lineRule="auto"/>
              <w:rPr>
                <w:rFonts w:ascii="Arial" w:hAnsi="Arial"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7851B9EF"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7257002E"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3.4%</w:t>
            </w:r>
          </w:p>
        </w:tc>
        <w:tc>
          <w:tcPr>
            <w:tcW w:w="550" w:type="pct"/>
            <w:tcBorders>
              <w:top w:val="nil"/>
              <w:left w:val="nil"/>
              <w:bottom w:val="single" w:sz="4" w:space="0" w:color="auto"/>
              <w:right w:val="nil"/>
            </w:tcBorders>
            <w:shd w:val="clear" w:color="auto" w:fill="auto"/>
            <w:noWrap/>
            <w:vAlign w:val="center"/>
            <w:hideMark/>
          </w:tcPr>
          <w:p w14:paraId="0EAED661"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2.2% - 4.8%</w:t>
            </w:r>
          </w:p>
        </w:tc>
        <w:tc>
          <w:tcPr>
            <w:tcW w:w="550" w:type="pct"/>
            <w:tcBorders>
              <w:top w:val="nil"/>
              <w:left w:val="nil"/>
              <w:bottom w:val="single" w:sz="4" w:space="0" w:color="auto"/>
              <w:right w:val="nil"/>
            </w:tcBorders>
            <w:shd w:val="clear" w:color="auto" w:fill="auto"/>
            <w:noWrap/>
            <w:vAlign w:val="center"/>
            <w:hideMark/>
          </w:tcPr>
          <w:p w14:paraId="64630FD8"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1.4%</w:t>
            </w:r>
          </w:p>
        </w:tc>
        <w:tc>
          <w:tcPr>
            <w:tcW w:w="550" w:type="pct"/>
            <w:tcBorders>
              <w:top w:val="nil"/>
              <w:left w:val="nil"/>
              <w:bottom w:val="single" w:sz="4" w:space="0" w:color="auto"/>
              <w:right w:val="nil"/>
            </w:tcBorders>
            <w:shd w:val="clear" w:color="auto" w:fill="auto"/>
            <w:noWrap/>
            <w:vAlign w:val="center"/>
            <w:hideMark/>
          </w:tcPr>
          <w:p w14:paraId="4763ABAF"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0% - 2.4%</w:t>
            </w:r>
          </w:p>
        </w:tc>
        <w:tc>
          <w:tcPr>
            <w:tcW w:w="550" w:type="pct"/>
            <w:tcBorders>
              <w:top w:val="nil"/>
              <w:left w:val="nil"/>
              <w:bottom w:val="single" w:sz="4" w:space="0" w:color="auto"/>
              <w:right w:val="nil"/>
            </w:tcBorders>
            <w:shd w:val="clear" w:color="auto" w:fill="auto"/>
            <w:noWrap/>
            <w:vAlign w:val="center"/>
            <w:hideMark/>
          </w:tcPr>
          <w:p w14:paraId="55BE26B9"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31.6%</w:t>
            </w:r>
          </w:p>
        </w:tc>
        <w:tc>
          <w:tcPr>
            <w:tcW w:w="550" w:type="pct"/>
            <w:tcBorders>
              <w:top w:val="nil"/>
              <w:left w:val="nil"/>
              <w:bottom w:val="single" w:sz="4" w:space="0" w:color="auto"/>
              <w:right w:val="nil"/>
            </w:tcBorders>
            <w:shd w:val="clear" w:color="auto" w:fill="auto"/>
            <w:noWrap/>
            <w:vAlign w:val="center"/>
            <w:hideMark/>
          </w:tcPr>
          <w:p w14:paraId="7AE0725A"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0.2% - 77.1%</w:t>
            </w:r>
          </w:p>
        </w:tc>
      </w:tr>
      <w:tr w:rsidR="005D4FCC" w:rsidRPr="005E2F89" w14:paraId="152DEADA" w14:textId="77777777" w:rsidTr="004D4519">
        <w:trPr>
          <w:trHeight w:val="397"/>
        </w:trPr>
        <w:tc>
          <w:tcPr>
            <w:tcW w:w="588" w:type="pct"/>
            <w:vMerge w:val="restart"/>
            <w:tcBorders>
              <w:top w:val="nil"/>
              <w:left w:val="nil"/>
              <w:bottom w:val="single" w:sz="4" w:space="0" w:color="000000"/>
              <w:right w:val="nil"/>
            </w:tcBorders>
            <w:shd w:val="clear" w:color="auto" w:fill="auto"/>
            <w:noWrap/>
            <w:vAlign w:val="center"/>
            <w:hideMark/>
          </w:tcPr>
          <w:p w14:paraId="1D24281E"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UMIC</w:t>
            </w:r>
          </w:p>
        </w:tc>
        <w:tc>
          <w:tcPr>
            <w:tcW w:w="625" w:type="pct"/>
            <w:vMerge w:val="restart"/>
            <w:tcBorders>
              <w:top w:val="nil"/>
              <w:left w:val="nil"/>
              <w:bottom w:val="single" w:sz="4" w:space="0" w:color="000000"/>
              <w:right w:val="nil"/>
            </w:tcBorders>
            <w:shd w:val="clear" w:color="auto" w:fill="auto"/>
            <w:noWrap/>
            <w:vAlign w:val="center"/>
            <w:hideMark/>
          </w:tcPr>
          <w:p w14:paraId="0F23BF8C"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5-24y</w:t>
            </w:r>
          </w:p>
        </w:tc>
        <w:tc>
          <w:tcPr>
            <w:tcW w:w="488" w:type="pct"/>
            <w:tcBorders>
              <w:top w:val="nil"/>
              <w:left w:val="nil"/>
              <w:bottom w:val="nil"/>
              <w:right w:val="nil"/>
            </w:tcBorders>
            <w:shd w:val="clear" w:color="auto" w:fill="auto"/>
            <w:noWrap/>
            <w:vAlign w:val="center"/>
            <w:hideMark/>
          </w:tcPr>
          <w:p w14:paraId="69781D9F"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40154CB4"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45.8%</w:t>
            </w:r>
          </w:p>
        </w:tc>
        <w:tc>
          <w:tcPr>
            <w:tcW w:w="550" w:type="pct"/>
            <w:tcBorders>
              <w:top w:val="nil"/>
              <w:left w:val="nil"/>
              <w:bottom w:val="nil"/>
              <w:right w:val="nil"/>
            </w:tcBorders>
            <w:shd w:val="clear" w:color="auto" w:fill="auto"/>
            <w:noWrap/>
            <w:vAlign w:val="center"/>
            <w:hideMark/>
          </w:tcPr>
          <w:p w14:paraId="0C2C7D78"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40.3% - 50.4%</w:t>
            </w:r>
          </w:p>
        </w:tc>
        <w:tc>
          <w:tcPr>
            <w:tcW w:w="550" w:type="pct"/>
            <w:tcBorders>
              <w:top w:val="nil"/>
              <w:left w:val="nil"/>
              <w:bottom w:val="nil"/>
              <w:right w:val="nil"/>
            </w:tcBorders>
            <w:shd w:val="clear" w:color="auto" w:fill="auto"/>
            <w:noWrap/>
            <w:vAlign w:val="center"/>
            <w:hideMark/>
          </w:tcPr>
          <w:p w14:paraId="21D62389"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13.2%</w:t>
            </w:r>
          </w:p>
        </w:tc>
        <w:tc>
          <w:tcPr>
            <w:tcW w:w="550" w:type="pct"/>
            <w:tcBorders>
              <w:top w:val="nil"/>
              <w:left w:val="nil"/>
              <w:bottom w:val="nil"/>
              <w:right w:val="nil"/>
            </w:tcBorders>
            <w:shd w:val="clear" w:color="auto" w:fill="auto"/>
            <w:noWrap/>
            <w:vAlign w:val="center"/>
            <w:hideMark/>
          </w:tcPr>
          <w:p w14:paraId="2F1E086D"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8.5% - 30%</w:t>
            </w:r>
          </w:p>
        </w:tc>
        <w:tc>
          <w:tcPr>
            <w:tcW w:w="550" w:type="pct"/>
            <w:tcBorders>
              <w:top w:val="nil"/>
              <w:left w:val="nil"/>
              <w:bottom w:val="nil"/>
              <w:right w:val="nil"/>
            </w:tcBorders>
            <w:shd w:val="clear" w:color="auto" w:fill="auto"/>
            <w:noWrap/>
            <w:vAlign w:val="center"/>
            <w:hideMark/>
          </w:tcPr>
          <w:p w14:paraId="2E360648"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16.8%</w:t>
            </w:r>
          </w:p>
        </w:tc>
        <w:tc>
          <w:tcPr>
            <w:tcW w:w="550" w:type="pct"/>
            <w:tcBorders>
              <w:top w:val="nil"/>
              <w:left w:val="nil"/>
              <w:bottom w:val="nil"/>
              <w:right w:val="nil"/>
            </w:tcBorders>
            <w:shd w:val="clear" w:color="auto" w:fill="auto"/>
            <w:noWrap/>
            <w:vAlign w:val="center"/>
            <w:hideMark/>
          </w:tcPr>
          <w:p w14:paraId="699BB2F9"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11.2% - 31.8%</w:t>
            </w:r>
          </w:p>
        </w:tc>
      </w:tr>
      <w:tr w:rsidR="005D4FCC" w:rsidRPr="005E2F89" w14:paraId="0C14003B" w14:textId="77777777" w:rsidTr="004D4519">
        <w:trPr>
          <w:trHeight w:val="397"/>
        </w:trPr>
        <w:tc>
          <w:tcPr>
            <w:tcW w:w="588" w:type="pct"/>
            <w:vMerge/>
            <w:tcBorders>
              <w:top w:val="nil"/>
              <w:left w:val="nil"/>
              <w:bottom w:val="single" w:sz="4" w:space="0" w:color="000000"/>
              <w:right w:val="nil"/>
            </w:tcBorders>
            <w:vAlign w:val="center"/>
            <w:hideMark/>
          </w:tcPr>
          <w:p w14:paraId="1D97725B" w14:textId="77777777" w:rsidR="005D4FCC" w:rsidRPr="005E2F89" w:rsidRDefault="005D4FCC" w:rsidP="005D4FCC">
            <w:pPr>
              <w:spacing w:line="276" w:lineRule="auto"/>
              <w:rPr>
                <w:rFonts w:ascii="Arial" w:hAnsi="Arial" w:cs="Arial"/>
                <w:color w:val="000000"/>
                <w:sz w:val="14"/>
                <w:szCs w:val="14"/>
              </w:rPr>
            </w:pPr>
          </w:p>
        </w:tc>
        <w:tc>
          <w:tcPr>
            <w:tcW w:w="625" w:type="pct"/>
            <w:vMerge/>
            <w:tcBorders>
              <w:top w:val="nil"/>
              <w:left w:val="nil"/>
              <w:bottom w:val="single" w:sz="4" w:space="0" w:color="000000"/>
              <w:right w:val="nil"/>
            </w:tcBorders>
            <w:vAlign w:val="center"/>
            <w:hideMark/>
          </w:tcPr>
          <w:p w14:paraId="560AD9A2" w14:textId="77777777" w:rsidR="005D4FCC" w:rsidRPr="005E2F89" w:rsidRDefault="005D4FCC" w:rsidP="005D4FCC">
            <w:pPr>
              <w:spacing w:line="276" w:lineRule="auto"/>
              <w:rPr>
                <w:rFonts w:ascii="Arial"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794C0E1D"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75C66ECF"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46.5%</w:t>
            </w:r>
          </w:p>
        </w:tc>
        <w:tc>
          <w:tcPr>
            <w:tcW w:w="550" w:type="pct"/>
            <w:tcBorders>
              <w:top w:val="nil"/>
              <w:left w:val="nil"/>
              <w:bottom w:val="nil"/>
              <w:right w:val="nil"/>
            </w:tcBorders>
            <w:shd w:val="clear" w:color="auto" w:fill="auto"/>
            <w:noWrap/>
            <w:vAlign w:val="center"/>
            <w:hideMark/>
          </w:tcPr>
          <w:p w14:paraId="5895FA34"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42.1% - 51.0%</w:t>
            </w:r>
          </w:p>
        </w:tc>
        <w:tc>
          <w:tcPr>
            <w:tcW w:w="550" w:type="pct"/>
            <w:tcBorders>
              <w:top w:val="nil"/>
              <w:left w:val="nil"/>
              <w:bottom w:val="nil"/>
              <w:right w:val="nil"/>
            </w:tcBorders>
            <w:shd w:val="clear" w:color="auto" w:fill="auto"/>
            <w:noWrap/>
            <w:vAlign w:val="center"/>
            <w:hideMark/>
          </w:tcPr>
          <w:p w14:paraId="0CAC723D"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13.3%</w:t>
            </w:r>
          </w:p>
        </w:tc>
        <w:tc>
          <w:tcPr>
            <w:tcW w:w="550" w:type="pct"/>
            <w:tcBorders>
              <w:top w:val="nil"/>
              <w:left w:val="nil"/>
              <w:bottom w:val="nil"/>
              <w:right w:val="nil"/>
            </w:tcBorders>
            <w:shd w:val="clear" w:color="auto" w:fill="auto"/>
            <w:noWrap/>
            <w:vAlign w:val="center"/>
            <w:hideMark/>
          </w:tcPr>
          <w:p w14:paraId="4EA73D5D"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9.8% - 30.2%</w:t>
            </w:r>
          </w:p>
        </w:tc>
        <w:tc>
          <w:tcPr>
            <w:tcW w:w="550" w:type="pct"/>
            <w:tcBorders>
              <w:top w:val="nil"/>
              <w:left w:val="nil"/>
              <w:bottom w:val="nil"/>
              <w:right w:val="nil"/>
            </w:tcBorders>
            <w:shd w:val="clear" w:color="auto" w:fill="auto"/>
            <w:noWrap/>
            <w:vAlign w:val="center"/>
            <w:hideMark/>
          </w:tcPr>
          <w:p w14:paraId="00EA0343"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16.3%</w:t>
            </w:r>
          </w:p>
        </w:tc>
        <w:tc>
          <w:tcPr>
            <w:tcW w:w="550" w:type="pct"/>
            <w:tcBorders>
              <w:top w:val="nil"/>
              <w:left w:val="nil"/>
              <w:bottom w:val="nil"/>
              <w:right w:val="nil"/>
            </w:tcBorders>
            <w:shd w:val="clear" w:color="auto" w:fill="auto"/>
            <w:noWrap/>
            <w:vAlign w:val="center"/>
            <w:hideMark/>
          </w:tcPr>
          <w:p w14:paraId="2C8BD917"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13.3% - 30.2%</w:t>
            </w:r>
          </w:p>
        </w:tc>
      </w:tr>
      <w:tr w:rsidR="005D4FCC" w:rsidRPr="005E2F89" w14:paraId="6FCBF1B4" w14:textId="77777777" w:rsidTr="004D4519">
        <w:trPr>
          <w:trHeight w:val="397"/>
        </w:trPr>
        <w:tc>
          <w:tcPr>
            <w:tcW w:w="588" w:type="pct"/>
            <w:vMerge/>
            <w:tcBorders>
              <w:top w:val="nil"/>
              <w:left w:val="nil"/>
              <w:bottom w:val="single" w:sz="4" w:space="0" w:color="000000"/>
              <w:right w:val="nil"/>
            </w:tcBorders>
            <w:vAlign w:val="center"/>
            <w:hideMark/>
          </w:tcPr>
          <w:p w14:paraId="7659913D" w14:textId="77777777" w:rsidR="005D4FCC" w:rsidRPr="005E2F89" w:rsidRDefault="005D4FCC" w:rsidP="005D4FCC">
            <w:pPr>
              <w:spacing w:line="276" w:lineRule="auto"/>
              <w:rPr>
                <w:rFonts w:ascii="Arial" w:hAnsi="Arial" w:cs="Arial"/>
                <w:color w:val="000000"/>
                <w:sz w:val="14"/>
                <w:szCs w:val="14"/>
              </w:rPr>
            </w:pPr>
          </w:p>
        </w:tc>
        <w:tc>
          <w:tcPr>
            <w:tcW w:w="625" w:type="pct"/>
            <w:vMerge/>
            <w:tcBorders>
              <w:top w:val="nil"/>
              <w:left w:val="nil"/>
              <w:bottom w:val="single" w:sz="4" w:space="0" w:color="000000"/>
              <w:right w:val="nil"/>
            </w:tcBorders>
            <w:vAlign w:val="center"/>
            <w:hideMark/>
          </w:tcPr>
          <w:p w14:paraId="6525C363" w14:textId="77777777" w:rsidR="005D4FCC" w:rsidRPr="005E2F89" w:rsidRDefault="005D4FCC" w:rsidP="005D4FCC">
            <w:pPr>
              <w:spacing w:line="276" w:lineRule="auto"/>
              <w:rPr>
                <w:rFonts w:ascii="Arial"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74C596B0"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5B32C317"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64.0%</w:t>
            </w:r>
          </w:p>
        </w:tc>
        <w:tc>
          <w:tcPr>
            <w:tcW w:w="550" w:type="pct"/>
            <w:tcBorders>
              <w:top w:val="nil"/>
              <w:left w:val="nil"/>
              <w:bottom w:val="nil"/>
              <w:right w:val="nil"/>
            </w:tcBorders>
            <w:shd w:val="clear" w:color="auto" w:fill="auto"/>
            <w:noWrap/>
            <w:vAlign w:val="center"/>
            <w:hideMark/>
          </w:tcPr>
          <w:p w14:paraId="45732B96"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59.6% - 74.0%</w:t>
            </w:r>
          </w:p>
        </w:tc>
        <w:tc>
          <w:tcPr>
            <w:tcW w:w="550" w:type="pct"/>
            <w:tcBorders>
              <w:top w:val="nil"/>
              <w:left w:val="nil"/>
              <w:bottom w:val="nil"/>
              <w:right w:val="nil"/>
            </w:tcBorders>
            <w:shd w:val="clear" w:color="auto" w:fill="auto"/>
            <w:noWrap/>
            <w:vAlign w:val="center"/>
            <w:hideMark/>
          </w:tcPr>
          <w:p w14:paraId="6E5BF859"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8.1%</w:t>
            </w:r>
          </w:p>
        </w:tc>
        <w:tc>
          <w:tcPr>
            <w:tcW w:w="550" w:type="pct"/>
            <w:tcBorders>
              <w:top w:val="nil"/>
              <w:left w:val="nil"/>
              <w:bottom w:val="nil"/>
              <w:right w:val="nil"/>
            </w:tcBorders>
            <w:shd w:val="clear" w:color="auto" w:fill="auto"/>
            <w:noWrap/>
            <w:vAlign w:val="center"/>
            <w:hideMark/>
          </w:tcPr>
          <w:p w14:paraId="59536CE2"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5.6% - 15.2%</w:t>
            </w:r>
          </w:p>
        </w:tc>
        <w:tc>
          <w:tcPr>
            <w:tcW w:w="550" w:type="pct"/>
            <w:tcBorders>
              <w:top w:val="nil"/>
              <w:left w:val="nil"/>
              <w:bottom w:val="nil"/>
              <w:right w:val="nil"/>
            </w:tcBorders>
            <w:shd w:val="clear" w:color="auto" w:fill="auto"/>
            <w:noWrap/>
            <w:vAlign w:val="center"/>
            <w:hideMark/>
          </w:tcPr>
          <w:p w14:paraId="7085125C"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4.0%</w:t>
            </w:r>
          </w:p>
        </w:tc>
        <w:tc>
          <w:tcPr>
            <w:tcW w:w="550" w:type="pct"/>
            <w:tcBorders>
              <w:top w:val="nil"/>
              <w:left w:val="nil"/>
              <w:bottom w:val="nil"/>
              <w:right w:val="nil"/>
            </w:tcBorders>
            <w:shd w:val="clear" w:color="auto" w:fill="auto"/>
            <w:noWrap/>
            <w:vAlign w:val="center"/>
            <w:hideMark/>
          </w:tcPr>
          <w:p w14:paraId="3C1E41B8"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2% - 10.9%</w:t>
            </w:r>
          </w:p>
        </w:tc>
      </w:tr>
      <w:tr w:rsidR="005D4FCC" w:rsidRPr="005E2F89" w14:paraId="49D31CFB" w14:textId="77777777" w:rsidTr="004D4519">
        <w:trPr>
          <w:trHeight w:val="397"/>
        </w:trPr>
        <w:tc>
          <w:tcPr>
            <w:tcW w:w="588" w:type="pct"/>
            <w:vMerge/>
            <w:tcBorders>
              <w:top w:val="nil"/>
              <w:left w:val="nil"/>
              <w:bottom w:val="single" w:sz="4" w:space="0" w:color="000000"/>
              <w:right w:val="nil"/>
            </w:tcBorders>
            <w:vAlign w:val="center"/>
            <w:hideMark/>
          </w:tcPr>
          <w:p w14:paraId="7E0479A0" w14:textId="77777777" w:rsidR="005D4FCC" w:rsidRPr="005E2F89" w:rsidRDefault="005D4FCC" w:rsidP="005D4FCC">
            <w:pPr>
              <w:spacing w:line="276" w:lineRule="auto"/>
              <w:rPr>
                <w:rFonts w:ascii="Arial" w:hAnsi="Arial" w:cs="Arial"/>
                <w:color w:val="000000"/>
                <w:sz w:val="14"/>
                <w:szCs w:val="14"/>
              </w:rPr>
            </w:pPr>
          </w:p>
        </w:tc>
        <w:tc>
          <w:tcPr>
            <w:tcW w:w="625" w:type="pct"/>
            <w:vMerge/>
            <w:tcBorders>
              <w:top w:val="nil"/>
              <w:left w:val="nil"/>
              <w:bottom w:val="single" w:sz="4" w:space="0" w:color="000000"/>
              <w:right w:val="nil"/>
            </w:tcBorders>
            <w:vAlign w:val="center"/>
            <w:hideMark/>
          </w:tcPr>
          <w:p w14:paraId="0CBAFD6B" w14:textId="77777777" w:rsidR="005D4FCC" w:rsidRPr="005E2F89" w:rsidRDefault="005D4FCC" w:rsidP="005D4FCC">
            <w:pPr>
              <w:spacing w:line="276" w:lineRule="auto"/>
              <w:rPr>
                <w:rFonts w:ascii="Arial" w:hAnsi="Arial"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7C98A2F2"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06B01D25"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47.0%</w:t>
            </w:r>
          </w:p>
        </w:tc>
        <w:tc>
          <w:tcPr>
            <w:tcW w:w="550" w:type="pct"/>
            <w:tcBorders>
              <w:top w:val="nil"/>
              <w:left w:val="nil"/>
              <w:bottom w:val="single" w:sz="4" w:space="0" w:color="auto"/>
              <w:right w:val="nil"/>
            </w:tcBorders>
            <w:shd w:val="clear" w:color="auto" w:fill="auto"/>
            <w:noWrap/>
            <w:vAlign w:val="center"/>
            <w:hideMark/>
          </w:tcPr>
          <w:p w14:paraId="2D5AD867"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36.7% - 61.3%</w:t>
            </w:r>
          </w:p>
        </w:tc>
        <w:tc>
          <w:tcPr>
            <w:tcW w:w="550" w:type="pct"/>
            <w:tcBorders>
              <w:top w:val="nil"/>
              <w:left w:val="nil"/>
              <w:bottom w:val="single" w:sz="4" w:space="0" w:color="auto"/>
              <w:right w:val="nil"/>
            </w:tcBorders>
            <w:shd w:val="clear" w:color="auto" w:fill="auto"/>
            <w:noWrap/>
            <w:vAlign w:val="center"/>
            <w:hideMark/>
          </w:tcPr>
          <w:p w14:paraId="112CB798"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11.4%</w:t>
            </w:r>
          </w:p>
        </w:tc>
        <w:tc>
          <w:tcPr>
            <w:tcW w:w="550" w:type="pct"/>
            <w:tcBorders>
              <w:top w:val="nil"/>
              <w:left w:val="nil"/>
              <w:bottom w:val="single" w:sz="4" w:space="0" w:color="auto"/>
              <w:right w:val="nil"/>
            </w:tcBorders>
            <w:shd w:val="clear" w:color="auto" w:fill="auto"/>
            <w:noWrap/>
            <w:vAlign w:val="center"/>
            <w:hideMark/>
          </w:tcPr>
          <w:p w14:paraId="7B8C0354"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0.1% - 33.5%</w:t>
            </w:r>
          </w:p>
        </w:tc>
        <w:tc>
          <w:tcPr>
            <w:tcW w:w="550" w:type="pct"/>
            <w:tcBorders>
              <w:top w:val="nil"/>
              <w:left w:val="nil"/>
              <w:bottom w:val="single" w:sz="4" w:space="0" w:color="auto"/>
              <w:right w:val="nil"/>
            </w:tcBorders>
            <w:shd w:val="clear" w:color="auto" w:fill="auto"/>
            <w:noWrap/>
            <w:vAlign w:val="center"/>
            <w:hideMark/>
          </w:tcPr>
          <w:p w14:paraId="4568A7CC"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22.2%</w:t>
            </w:r>
          </w:p>
        </w:tc>
        <w:tc>
          <w:tcPr>
            <w:tcW w:w="550" w:type="pct"/>
            <w:tcBorders>
              <w:top w:val="nil"/>
              <w:left w:val="nil"/>
              <w:bottom w:val="single" w:sz="4" w:space="0" w:color="auto"/>
              <w:right w:val="nil"/>
            </w:tcBorders>
            <w:shd w:val="clear" w:color="auto" w:fill="auto"/>
            <w:noWrap/>
            <w:vAlign w:val="center"/>
            <w:hideMark/>
          </w:tcPr>
          <w:p w14:paraId="5AFA27BB"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0% - 36%</w:t>
            </w:r>
          </w:p>
        </w:tc>
      </w:tr>
      <w:tr w:rsidR="005D4FCC" w:rsidRPr="005E2F89" w14:paraId="6BF7A6C9" w14:textId="77777777" w:rsidTr="004D4519">
        <w:trPr>
          <w:trHeight w:val="397"/>
        </w:trPr>
        <w:tc>
          <w:tcPr>
            <w:tcW w:w="588" w:type="pct"/>
            <w:vMerge/>
            <w:tcBorders>
              <w:top w:val="nil"/>
              <w:left w:val="nil"/>
              <w:bottom w:val="single" w:sz="4" w:space="0" w:color="000000"/>
              <w:right w:val="nil"/>
            </w:tcBorders>
            <w:vAlign w:val="center"/>
            <w:hideMark/>
          </w:tcPr>
          <w:p w14:paraId="430BA02D" w14:textId="77777777" w:rsidR="005D4FCC" w:rsidRPr="005E2F89" w:rsidRDefault="005D4FCC" w:rsidP="005D4FCC">
            <w:pPr>
              <w:spacing w:line="276" w:lineRule="auto"/>
              <w:rPr>
                <w:rFonts w:ascii="Arial" w:hAnsi="Arial" w:cs="Arial"/>
                <w:color w:val="000000"/>
                <w:sz w:val="14"/>
                <w:szCs w:val="14"/>
              </w:rPr>
            </w:pPr>
          </w:p>
        </w:tc>
        <w:tc>
          <w:tcPr>
            <w:tcW w:w="625" w:type="pct"/>
            <w:vMerge w:val="restart"/>
            <w:tcBorders>
              <w:top w:val="nil"/>
              <w:left w:val="nil"/>
              <w:bottom w:val="single" w:sz="4" w:space="0" w:color="000000"/>
              <w:right w:val="nil"/>
            </w:tcBorders>
            <w:shd w:val="clear" w:color="auto" w:fill="auto"/>
            <w:noWrap/>
            <w:vAlign w:val="center"/>
            <w:hideMark/>
          </w:tcPr>
          <w:p w14:paraId="300CB3C4"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25-64y</w:t>
            </w:r>
          </w:p>
        </w:tc>
        <w:tc>
          <w:tcPr>
            <w:tcW w:w="488" w:type="pct"/>
            <w:tcBorders>
              <w:top w:val="nil"/>
              <w:left w:val="nil"/>
              <w:bottom w:val="nil"/>
              <w:right w:val="nil"/>
            </w:tcBorders>
            <w:shd w:val="clear" w:color="auto" w:fill="auto"/>
            <w:noWrap/>
            <w:vAlign w:val="center"/>
            <w:hideMark/>
          </w:tcPr>
          <w:p w14:paraId="725942BD"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65623303"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49.1%</w:t>
            </w:r>
          </w:p>
        </w:tc>
        <w:tc>
          <w:tcPr>
            <w:tcW w:w="550" w:type="pct"/>
            <w:tcBorders>
              <w:top w:val="nil"/>
              <w:left w:val="nil"/>
              <w:bottom w:val="nil"/>
              <w:right w:val="nil"/>
            </w:tcBorders>
            <w:shd w:val="clear" w:color="auto" w:fill="auto"/>
            <w:noWrap/>
            <w:vAlign w:val="center"/>
            <w:hideMark/>
          </w:tcPr>
          <w:p w14:paraId="034BD8BA"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45.4% - 53.5%</w:t>
            </w:r>
          </w:p>
        </w:tc>
        <w:tc>
          <w:tcPr>
            <w:tcW w:w="550" w:type="pct"/>
            <w:tcBorders>
              <w:top w:val="nil"/>
              <w:left w:val="nil"/>
              <w:bottom w:val="nil"/>
              <w:right w:val="nil"/>
            </w:tcBorders>
            <w:shd w:val="clear" w:color="auto" w:fill="auto"/>
            <w:noWrap/>
            <w:vAlign w:val="center"/>
            <w:hideMark/>
          </w:tcPr>
          <w:p w14:paraId="0FC61ADC"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14.8%</w:t>
            </w:r>
          </w:p>
        </w:tc>
        <w:tc>
          <w:tcPr>
            <w:tcW w:w="550" w:type="pct"/>
            <w:tcBorders>
              <w:top w:val="nil"/>
              <w:left w:val="nil"/>
              <w:bottom w:val="nil"/>
              <w:right w:val="nil"/>
            </w:tcBorders>
            <w:shd w:val="clear" w:color="auto" w:fill="auto"/>
            <w:noWrap/>
            <w:vAlign w:val="center"/>
            <w:hideMark/>
          </w:tcPr>
          <w:p w14:paraId="3E0121BF"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10.1% - 28.7%</w:t>
            </w:r>
          </w:p>
        </w:tc>
        <w:tc>
          <w:tcPr>
            <w:tcW w:w="550" w:type="pct"/>
            <w:tcBorders>
              <w:top w:val="nil"/>
              <w:left w:val="nil"/>
              <w:bottom w:val="nil"/>
              <w:right w:val="nil"/>
            </w:tcBorders>
            <w:shd w:val="clear" w:color="auto" w:fill="auto"/>
            <w:noWrap/>
            <w:vAlign w:val="center"/>
            <w:hideMark/>
          </w:tcPr>
          <w:p w14:paraId="4C78733A"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14.8%</w:t>
            </w:r>
          </w:p>
        </w:tc>
        <w:tc>
          <w:tcPr>
            <w:tcW w:w="550" w:type="pct"/>
            <w:tcBorders>
              <w:top w:val="nil"/>
              <w:left w:val="nil"/>
              <w:bottom w:val="nil"/>
              <w:right w:val="nil"/>
            </w:tcBorders>
            <w:shd w:val="clear" w:color="auto" w:fill="auto"/>
            <w:noWrap/>
            <w:vAlign w:val="center"/>
            <w:hideMark/>
          </w:tcPr>
          <w:p w14:paraId="43E965EA"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9.7% - 31.9%</w:t>
            </w:r>
          </w:p>
        </w:tc>
      </w:tr>
      <w:tr w:rsidR="005D4FCC" w:rsidRPr="005E2F89" w14:paraId="22D4AED5" w14:textId="77777777" w:rsidTr="004D4519">
        <w:trPr>
          <w:trHeight w:val="397"/>
        </w:trPr>
        <w:tc>
          <w:tcPr>
            <w:tcW w:w="588" w:type="pct"/>
            <w:vMerge/>
            <w:tcBorders>
              <w:top w:val="nil"/>
              <w:left w:val="nil"/>
              <w:bottom w:val="single" w:sz="4" w:space="0" w:color="000000"/>
              <w:right w:val="nil"/>
            </w:tcBorders>
            <w:vAlign w:val="center"/>
            <w:hideMark/>
          </w:tcPr>
          <w:p w14:paraId="16C652A0" w14:textId="77777777" w:rsidR="005D4FCC" w:rsidRPr="005E2F89" w:rsidRDefault="005D4FCC" w:rsidP="005D4FCC">
            <w:pPr>
              <w:spacing w:line="276" w:lineRule="auto"/>
              <w:rPr>
                <w:rFonts w:ascii="Arial" w:hAnsi="Arial" w:cs="Arial"/>
                <w:color w:val="000000"/>
                <w:sz w:val="14"/>
                <w:szCs w:val="14"/>
              </w:rPr>
            </w:pPr>
          </w:p>
        </w:tc>
        <w:tc>
          <w:tcPr>
            <w:tcW w:w="625" w:type="pct"/>
            <w:vMerge/>
            <w:tcBorders>
              <w:top w:val="nil"/>
              <w:left w:val="nil"/>
              <w:bottom w:val="single" w:sz="4" w:space="0" w:color="000000"/>
              <w:right w:val="nil"/>
            </w:tcBorders>
            <w:vAlign w:val="center"/>
            <w:hideMark/>
          </w:tcPr>
          <w:p w14:paraId="515C834A" w14:textId="77777777" w:rsidR="005D4FCC" w:rsidRPr="005E2F89" w:rsidRDefault="005D4FCC" w:rsidP="005D4FCC">
            <w:pPr>
              <w:spacing w:line="276" w:lineRule="auto"/>
              <w:rPr>
                <w:rFonts w:ascii="Arial"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65258C71"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6C89ADBB"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48.4%</w:t>
            </w:r>
          </w:p>
        </w:tc>
        <w:tc>
          <w:tcPr>
            <w:tcW w:w="550" w:type="pct"/>
            <w:tcBorders>
              <w:top w:val="nil"/>
              <w:left w:val="nil"/>
              <w:bottom w:val="nil"/>
              <w:right w:val="nil"/>
            </w:tcBorders>
            <w:shd w:val="clear" w:color="auto" w:fill="auto"/>
            <w:noWrap/>
            <w:vAlign w:val="center"/>
            <w:hideMark/>
          </w:tcPr>
          <w:p w14:paraId="78DAC13D"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45.0% - 52.2%</w:t>
            </w:r>
          </w:p>
        </w:tc>
        <w:tc>
          <w:tcPr>
            <w:tcW w:w="550" w:type="pct"/>
            <w:tcBorders>
              <w:top w:val="nil"/>
              <w:left w:val="nil"/>
              <w:bottom w:val="nil"/>
              <w:right w:val="nil"/>
            </w:tcBorders>
            <w:shd w:val="clear" w:color="auto" w:fill="auto"/>
            <w:noWrap/>
            <w:vAlign w:val="center"/>
            <w:hideMark/>
          </w:tcPr>
          <w:p w14:paraId="7B3426FC"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14.2%</w:t>
            </w:r>
          </w:p>
        </w:tc>
        <w:tc>
          <w:tcPr>
            <w:tcW w:w="550" w:type="pct"/>
            <w:tcBorders>
              <w:top w:val="nil"/>
              <w:left w:val="nil"/>
              <w:bottom w:val="nil"/>
              <w:right w:val="nil"/>
            </w:tcBorders>
            <w:shd w:val="clear" w:color="auto" w:fill="auto"/>
            <w:noWrap/>
            <w:vAlign w:val="center"/>
            <w:hideMark/>
          </w:tcPr>
          <w:p w14:paraId="1AC88C0F"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11.7% - 27.2%</w:t>
            </w:r>
          </w:p>
        </w:tc>
        <w:tc>
          <w:tcPr>
            <w:tcW w:w="550" w:type="pct"/>
            <w:tcBorders>
              <w:top w:val="nil"/>
              <w:left w:val="nil"/>
              <w:bottom w:val="nil"/>
              <w:right w:val="nil"/>
            </w:tcBorders>
            <w:shd w:val="clear" w:color="auto" w:fill="auto"/>
            <w:noWrap/>
            <w:vAlign w:val="center"/>
            <w:hideMark/>
          </w:tcPr>
          <w:p w14:paraId="1AB1CE54"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14.5%</w:t>
            </w:r>
          </w:p>
        </w:tc>
        <w:tc>
          <w:tcPr>
            <w:tcW w:w="550" w:type="pct"/>
            <w:tcBorders>
              <w:top w:val="nil"/>
              <w:left w:val="nil"/>
              <w:bottom w:val="nil"/>
              <w:right w:val="nil"/>
            </w:tcBorders>
            <w:shd w:val="clear" w:color="auto" w:fill="auto"/>
            <w:noWrap/>
            <w:vAlign w:val="center"/>
            <w:hideMark/>
          </w:tcPr>
          <w:p w14:paraId="32452CCE"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11% - 31.9%</w:t>
            </w:r>
          </w:p>
        </w:tc>
      </w:tr>
      <w:tr w:rsidR="005D4FCC" w:rsidRPr="005E2F89" w14:paraId="10C0CE85" w14:textId="77777777" w:rsidTr="004D4519">
        <w:trPr>
          <w:trHeight w:val="397"/>
        </w:trPr>
        <w:tc>
          <w:tcPr>
            <w:tcW w:w="588" w:type="pct"/>
            <w:vMerge/>
            <w:tcBorders>
              <w:top w:val="nil"/>
              <w:left w:val="nil"/>
              <w:bottom w:val="single" w:sz="4" w:space="0" w:color="000000"/>
              <w:right w:val="nil"/>
            </w:tcBorders>
            <w:vAlign w:val="center"/>
            <w:hideMark/>
          </w:tcPr>
          <w:p w14:paraId="5443EC9B" w14:textId="77777777" w:rsidR="005D4FCC" w:rsidRPr="005E2F89" w:rsidRDefault="005D4FCC" w:rsidP="005D4FCC">
            <w:pPr>
              <w:spacing w:line="276" w:lineRule="auto"/>
              <w:rPr>
                <w:rFonts w:ascii="Arial" w:hAnsi="Arial" w:cs="Arial"/>
                <w:color w:val="000000"/>
                <w:sz w:val="14"/>
                <w:szCs w:val="14"/>
              </w:rPr>
            </w:pPr>
          </w:p>
        </w:tc>
        <w:tc>
          <w:tcPr>
            <w:tcW w:w="625" w:type="pct"/>
            <w:vMerge/>
            <w:tcBorders>
              <w:top w:val="nil"/>
              <w:left w:val="nil"/>
              <w:bottom w:val="single" w:sz="4" w:space="0" w:color="000000"/>
              <w:right w:val="nil"/>
            </w:tcBorders>
            <w:vAlign w:val="center"/>
            <w:hideMark/>
          </w:tcPr>
          <w:p w14:paraId="4CD8DE3C" w14:textId="77777777" w:rsidR="005D4FCC" w:rsidRPr="005E2F89" w:rsidRDefault="005D4FCC" w:rsidP="005D4FCC">
            <w:pPr>
              <w:spacing w:line="276" w:lineRule="auto"/>
              <w:rPr>
                <w:rFonts w:ascii="Arial"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36D27B2A"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43CBCC28"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34.5%</w:t>
            </w:r>
          </w:p>
        </w:tc>
        <w:tc>
          <w:tcPr>
            <w:tcW w:w="550" w:type="pct"/>
            <w:tcBorders>
              <w:top w:val="nil"/>
              <w:left w:val="nil"/>
              <w:bottom w:val="nil"/>
              <w:right w:val="nil"/>
            </w:tcBorders>
            <w:shd w:val="clear" w:color="auto" w:fill="auto"/>
            <w:noWrap/>
            <w:vAlign w:val="center"/>
            <w:hideMark/>
          </w:tcPr>
          <w:p w14:paraId="7C63E276"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25.2% - 38.4%</w:t>
            </w:r>
          </w:p>
        </w:tc>
        <w:tc>
          <w:tcPr>
            <w:tcW w:w="550" w:type="pct"/>
            <w:tcBorders>
              <w:top w:val="nil"/>
              <w:left w:val="nil"/>
              <w:bottom w:val="nil"/>
              <w:right w:val="nil"/>
            </w:tcBorders>
            <w:shd w:val="clear" w:color="auto" w:fill="auto"/>
            <w:noWrap/>
            <w:vAlign w:val="center"/>
            <w:hideMark/>
          </w:tcPr>
          <w:p w14:paraId="1EF3B118"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4.0%</w:t>
            </w:r>
          </w:p>
        </w:tc>
        <w:tc>
          <w:tcPr>
            <w:tcW w:w="550" w:type="pct"/>
            <w:tcBorders>
              <w:top w:val="nil"/>
              <w:left w:val="nil"/>
              <w:bottom w:val="nil"/>
              <w:right w:val="nil"/>
            </w:tcBorders>
            <w:shd w:val="clear" w:color="auto" w:fill="auto"/>
            <w:noWrap/>
            <w:vAlign w:val="center"/>
            <w:hideMark/>
          </w:tcPr>
          <w:p w14:paraId="05DDB2AD"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2.2% - 11.1%</w:t>
            </w:r>
          </w:p>
        </w:tc>
        <w:tc>
          <w:tcPr>
            <w:tcW w:w="550" w:type="pct"/>
            <w:tcBorders>
              <w:top w:val="nil"/>
              <w:left w:val="nil"/>
              <w:bottom w:val="nil"/>
              <w:right w:val="nil"/>
            </w:tcBorders>
            <w:shd w:val="clear" w:color="auto" w:fill="auto"/>
            <w:noWrap/>
            <w:vAlign w:val="center"/>
            <w:hideMark/>
          </w:tcPr>
          <w:p w14:paraId="251C38DE"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8.7%</w:t>
            </w:r>
          </w:p>
        </w:tc>
        <w:tc>
          <w:tcPr>
            <w:tcW w:w="550" w:type="pct"/>
            <w:tcBorders>
              <w:top w:val="nil"/>
              <w:left w:val="nil"/>
              <w:bottom w:val="nil"/>
              <w:right w:val="nil"/>
            </w:tcBorders>
            <w:shd w:val="clear" w:color="auto" w:fill="auto"/>
            <w:noWrap/>
            <w:vAlign w:val="center"/>
            <w:hideMark/>
          </w:tcPr>
          <w:p w14:paraId="46BE61F5"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6.4% - 16.9%</w:t>
            </w:r>
          </w:p>
        </w:tc>
      </w:tr>
      <w:tr w:rsidR="005D4FCC" w:rsidRPr="005E2F89" w14:paraId="07504C04" w14:textId="77777777" w:rsidTr="004D4519">
        <w:trPr>
          <w:trHeight w:val="397"/>
        </w:trPr>
        <w:tc>
          <w:tcPr>
            <w:tcW w:w="588" w:type="pct"/>
            <w:vMerge/>
            <w:tcBorders>
              <w:top w:val="nil"/>
              <w:left w:val="nil"/>
              <w:bottom w:val="single" w:sz="4" w:space="0" w:color="000000"/>
              <w:right w:val="nil"/>
            </w:tcBorders>
            <w:vAlign w:val="center"/>
            <w:hideMark/>
          </w:tcPr>
          <w:p w14:paraId="4FBF87FA" w14:textId="77777777" w:rsidR="005D4FCC" w:rsidRPr="005E2F89" w:rsidRDefault="005D4FCC" w:rsidP="005D4FCC">
            <w:pPr>
              <w:spacing w:line="276" w:lineRule="auto"/>
              <w:rPr>
                <w:rFonts w:ascii="Arial" w:hAnsi="Arial" w:cs="Arial"/>
                <w:color w:val="000000"/>
                <w:sz w:val="14"/>
                <w:szCs w:val="14"/>
              </w:rPr>
            </w:pPr>
          </w:p>
        </w:tc>
        <w:tc>
          <w:tcPr>
            <w:tcW w:w="625" w:type="pct"/>
            <w:vMerge/>
            <w:tcBorders>
              <w:top w:val="nil"/>
              <w:left w:val="nil"/>
              <w:bottom w:val="single" w:sz="4" w:space="0" w:color="000000"/>
              <w:right w:val="nil"/>
            </w:tcBorders>
            <w:vAlign w:val="center"/>
            <w:hideMark/>
          </w:tcPr>
          <w:p w14:paraId="01D05C7D" w14:textId="77777777" w:rsidR="005D4FCC" w:rsidRPr="005E2F89" w:rsidRDefault="005D4FCC" w:rsidP="005D4FCC">
            <w:pPr>
              <w:spacing w:line="276" w:lineRule="auto"/>
              <w:rPr>
                <w:rFonts w:ascii="Arial" w:hAnsi="Arial"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3178D2A5"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0335D65E"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45.9%</w:t>
            </w:r>
          </w:p>
        </w:tc>
        <w:tc>
          <w:tcPr>
            <w:tcW w:w="550" w:type="pct"/>
            <w:tcBorders>
              <w:top w:val="nil"/>
              <w:left w:val="nil"/>
              <w:bottom w:val="single" w:sz="4" w:space="0" w:color="auto"/>
              <w:right w:val="nil"/>
            </w:tcBorders>
            <w:shd w:val="clear" w:color="auto" w:fill="auto"/>
            <w:noWrap/>
            <w:vAlign w:val="center"/>
            <w:hideMark/>
          </w:tcPr>
          <w:p w14:paraId="436D9722"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25.3% - 54.7%</w:t>
            </w:r>
          </w:p>
        </w:tc>
        <w:tc>
          <w:tcPr>
            <w:tcW w:w="550" w:type="pct"/>
            <w:tcBorders>
              <w:top w:val="nil"/>
              <w:left w:val="nil"/>
              <w:bottom w:val="single" w:sz="4" w:space="0" w:color="auto"/>
              <w:right w:val="nil"/>
            </w:tcBorders>
            <w:shd w:val="clear" w:color="auto" w:fill="auto"/>
            <w:noWrap/>
            <w:vAlign w:val="center"/>
            <w:hideMark/>
          </w:tcPr>
          <w:p w14:paraId="5E4BDC07"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19.5%</w:t>
            </w:r>
          </w:p>
        </w:tc>
        <w:tc>
          <w:tcPr>
            <w:tcW w:w="550" w:type="pct"/>
            <w:tcBorders>
              <w:top w:val="nil"/>
              <w:left w:val="nil"/>
              <w:bottom w:val="single" w:sz="4" w:space="0" w:color="auto"/>
              <w:right w:val="nil"/>
            </w:tcBorders>
            <w:shd w:val="clear" w:color="auto" w:fill="auto"/>
            <w:noWrap/>
            <w:vAlign w:val="center"/>
            <w:hideMark/>
          </w:tcPr>
          <w:p w14:paraId="1F44DFDF"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0% - 32.5%</w:t>
            </w:r>
          </w:p>
        </w:tc>
        <w:tc>
          <w:tcPr>
            <w:tcW w:w="550" w:type="pct"/>
            <w:tcBorders>
              <w:top w:val="nil"/>
              <w:left w:val="nil"/>
              <w:bottom w:val="single" w:sz="4" w:space="0" w:color="auto"/>
              <w:right w:val="nil"/>
            </w:tcBorders>
            <w:shd w:val="clear" w:color="auto" w:fill="auto"/>
            <w:noWrap/>
            <w:vAlign w:val="center"/>
            <w:hideMark/>
          </w:tcPr>
          <w:p w14:paraId="304D33FF"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14.5%</w:t>
            </w:r>
          </w:p>
        </w:tc>
        <w:tc>
          <w:tcPr>
            <w:tcW w:w="550" w:type="pct"/>
            <w:tcBorders>
              <w:top w:val="nil"/>
              <w:left w:val="nil"/>
              <w:bottom w:val="single" w:sz="4" w:space="0" w:color="auto"/>
              <w:right w:val="nil"/>
            </w:tcBorders>
            <w:shd w:val="clear" w:color="auto" w:fill="auto"/>
            <w:noWrap/>
            <w:vAlign w:val="center"/>
            <w:hideMark/>
          </w:tcPr>
          <w:p w14:paraId="1CD08A24"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0.1% - 38.7%</w:t>
            </w:r>
          </w:p>
        </w:tc>
      </w:tr>
      <w:tr w:rsidR="005D4FCC" w:rsidRPr="005E2F89" w14:paraId="782C1B95" w14:textId="77777777" w:rsidTr="004D4519">
        <w:trPr>
          <w:trHeight w:val="397"/>
        </w:trPr>
        <w:tc>
          <w:tcPr>
            <w:tcW w:w="588" w:type="pct"/>
            <w:vMerge/>
            <w:tcBorders>
              <w:top w:val="nil"/>
              <w:left w:val="nil"/>
              <w:bottom w:val="single" w:sz="4" w:space="0" w:color="000000"/>
              <w:right w:val="nil"/>
            </w:tcBorders>
            <w:vAlign w:val="center"/>
            <w:hideMark/>
          </w:tcPr>
          <w:p w14:paraId="2E80ED20" w14:textId="77777777" w:rsidR="005D4FCC" w:rsidRPr="005E2F89" w:rsidRDefault="005D4FCC" w:rsidP="005D4FCC">
            <w:pPr>
              <w:spacing w:line="276" w:lineRule="auto"/>
              <w:rPr>
                <w:rFonts w:ascii="Arial" w:hAnsi="Arial" w:cs="Arial"/>
                <w:color w:val="000000"/>
                <w:sz w:val="14"/>
                <w:szCs w:val="14"/>
              </w:rPr>
            </w:pPr>
          </w:p>
        </w:tc>
        <w:tc>
          <w:tcPr>
            <w:tcW w:w="625" w:type="pct"/>
            <w:vMerge w:val="restart"/>
            <w:tcBorders>
              <w:top w:val="nil"/>
              <w:left w:val="nil"/>
              <w:bottom w:val="single" w:sz="4" w:space="0" w:color="000000"/>
              <w:right w:val="nil"/>
            </w:tcBorders>
            <w:shd w:val="clear" w:color="auto" w:fill="auto"/>
            <w:noWrap/>
            <w:vAlign w:val="center"/>
            <w:hideMark/>
          </w:tcPr>
          <w:p w14:paraId="2315BCE5"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&gt;64y</w:t>
            </w:r>
          </w:p>
        </w:tc>
        <w:tc>
          <w:tcPr>
            <w:tcW w:w="488" w:type="pct"/>
            <w:tcBorders>
              <w:top w:val="nil"/>
              <w:left w:val="nil"/>
              <w:bottom w:val="nil"/>
              <w:right w:val="nil"/>
            </w:tcBorders>
            <w:shd w:val="clear" w:color="auto" w:fill="auto"/>
            <w:noWrap/>
            <w:vAlign w:val="center"/>
            <w:hideMark/>
          </w:tcPr>
          <w:p w14:paraId="13FC4F9F"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5187439A"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4.8%</w:t>
            </w:r>
          </w:p>
        </w:tc>
        <w:tc>
          <w:tcPr>
            <w:tcW w:w="550" w:type="pct"/>
            <w:tcBorders>
              <w:top w:val="nil"/>
              <w:left w:val="nil"/>
              <w:bottom w:val="nil"/>
              <w:right w:val="nil"/>
            </w:tcBorders>
            <w:shd w:val="clear" w:color="auto" w:fill="auto"/>
            <w:noWrap/>
            <w:vAlign w:val="center"/>
            <w:hideMark/>
          </w:tcPr>
          <w:p w14:paraId="4D3957AA"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3.9% - 5.7%</w:t>
            </w:r>
          </w:p>
        </w:tc>
        <w:tc>
          <w:tcPr>
            <w:tcW w:w="550" w:type="pct"/>
            <w:tcBorders>
              <w:top w:val="nil"/>
              <w:left w:val="nil"/>
              <w:bottom w:val="nil"/>
              <w:right w:val="nil"/>
            </w:tcBorders>
            <w:shd w:val="clear" w:color="auto" w:fill="auto"/>
            <w:noWrap/>
            <w:vAlign w:val="center"/>
            <w:hideMark/>
          </w:tcPr>
          <w:p w14:paraId="2BE5041A"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1.6%</w:t>
            </w:r>
          </w:p>
        </w:tc>
        <w:tc>
          <w:tcPr>
            <w:tcW w:w="550" w:type="pct"/>
            <w:tcBorders>
              <w:top w:val="nil"/>
              <w:left w:val="nil"/>
              <w:bottom w:val="nil"/>
              <w:right w:val="nil"/>
            </w:tcBorders>
            <w:shd w:val="clear" w:color="auto" w:fill="auto"/>
            <w:noWrap/>
            <w:vAlign w:val="center"/>
            <w:hideMark/>
          </w:tcPr>
          <w:p w14:paraId="0BDB3024"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1.1% - 2.7%</w:t>
            </w:r>
          </w:p>
        </w:tc>
        <w:tc>
          <w:tcPr>
            <w:tcW w:w="550" w:type="pct"/>
            <w:tcBorders>
              <w:top w:val="nil"/>
              <w:left w:val="nil"/>
              <w:bottom w:val="nil"/>
              <w:right w:val="nil"/>
            </w:tcBorders>
            <w:shd w:val="clear" w:color="auto" w:fill="auto"/>
            <w:noWrap/>
            <w:vAlign w:val="center"/>
            <w:hideMark/>
          </w:tcPr>
          <w:p w14:paraId="72D28E9F"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29.2%</w:t>
            </w:r>
          </w:p>
        </w:tc>
        <w:tc>
          <w:tcPr>
            <w:tcW w:w="550" w:type="pct"/>
            <w:tcBorders>
              <w:top w:val="nil"/>
              <w:left w:val="nil"/>
              <w:bottom w:val="nil"/>
              <w:right w:val="nil"/>
            </w:tcBorders>
            <w:shd w:val="clear" w:color="auto" w:fill="auto"/>
            <w:noWrap/>
            <w:vAlign w:val="center"/>
            <w:hideMark/>
          </w:tcPr>
          <w:p w14:paraId="12B656C9"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19.5% - 60.8%</w:t>
            </w:r>
          </w:p>
        </w:tc>
      </w:tr>
      <w:tr w:rsidR="005D4FCC" w:rsidRPr="005E2F89" w14:paraId="692FDC6E" w14:textId="77777777" w:rsidTr="004D4519">
        <w:trPr>
          <w:trHeight w:val="397"/>
        </w:trPr>
        <w:tc>
          <w:tcPr>
            <w:tcW w:w="588" w:type="pct"/>
            <w:vMerge/>
            <w:tcBorders>
              <w:top w:val="nil"/>
              <w:left w:val="nil"/>
              <w:bottom w:val="single" w:sz="4" w:space="0" w:color="000000"/>
              <w:right w:val="nil"/>
            </w:tcBorders>
            <w:vAlign w:val="center"/>
            <w:hideMark/>
          </w:tcPr>
          <w:p w14:paraId="4F2B16AB" w14:textId="77777777" w:rsidR="005D4FCC" w:rsidRPr="005E2F89" w:rsidRDefault="005D4FCC" w:rsidP="005D4FCC">
            <w:pPr>
              <w:spacing w:line="276" w:lineRule="auto"/>
              <w:rPr>
                <w:rFonts w:ascii="Arial" w:hAnsi="Arial" w:cs="Arial"/>
                <w:color w:val="000000"/>
                <w:sz w:val="14"/>
                <w:szCs w:val="14"/>
              </w:rPr>
            </w:pPr>
          </w:p>
        </w:tc>
        <w:tc>
          <w:tcPr>
            <w:tcW w:w="625" w:type="pct"/>
            <w:vMerge/>
            <w:tcBorders>
              <w:top w:val="nil"/>
              <w:left w:val="nil"/>
              <w:bottom w:val="single" w:sz="4" w:space="0" w:color="000000"/>
              <w:right w:val="nil"/>
            </w:tcBorders>
            <w:vAlign w:val="center"/>
            <w:hideMark/>
          </w:tcPr>
          <w:p w14:paraId="43117B8F" w14:textId="77777777" w:rsidR="005D4FCC" w:rsidRPr="005E2F89" w:rsidRDefault="005D4FCC" w:rsidP="005D4FCC">
            <w:pPr>
              <w:spacing w:line="276" w:lineRule="auto"/>
              <w:rPr>
                <w:rFonts w:ascii="Arial"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10BDE3D6"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5FDA35C6"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4.5%</w:t>
            </w:r>
          </w:p>
        </w:tc>
        <w:tc>
          <w:tcPr>
            <w:tcW w:w="550" w:type="pct"/>
            <w:tcBorders>
              <w:top w:val="nil"/>
              <w:left w:val="nil"/>
              <w:bottom w:val="nil"/>
              <w:right w:val="nil"/>
            </w:tcBorders>
            <w:shd w:val="clear" w:color="auto" w:fill="auto"/>
            <w:noWrap/>
            <w:vAlign w:val="center"/>
            <w:hideMark/>
          </w:tcPr>
          <w:p w14:paraId="514DCD23"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3.7% - 5.2%</w:t>
            </w:r>
          </w:p>
        </w:tc>
        <w:tc>
          <w:tcPr>
            <w:tcW w:w="550" w:type="pct"/>
            <w:tcBorders>
              <w:top w:val="nil"/>
              <w:left w:val="nil"/>
              <w:bottom w:val="nil"/>
              <w:right w:val="nil"/>
            </w:tcBorders>
            <w:shd w:val="clear" w:color="auto" w:fill="auto"/>
            <w:noWrap/>
            <w:vAlign w:val="center"/>
            <w:hideMark/>
          </w:tcPr>
          <w:p w14:paraId="30C39A3F"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1.5%</w:t>
            </w:r>
          </w:p>
        </w:tc>
        <w:tc>
          <w:tcPr>
            <w:tcW w:w="550" w:type="pct"/>
            <w:tcBorders>
              <w:top w:val="nil"/>
              <w:left w:val="nil"/>
              <w:bottom w:val="nil"/>
              <w:right w:val="nil"/>
            </w:tcBorders>
            <w:shd w:val="clear" w:color="auto" w:fill="auto"/>
            <w:noWrap/>
            <w:vAlign w:val="center"/>
            <w:hideMark/>
          </w:tcPr>
          <w:p w14:paraId="5B013741"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1.2% - 2.5%</w:t>
            </w:r>
          </w:p>
        </w:tc>
        <w:tc>
          <w:tcPr>
            <w:tcW w:w="550" w:type="pct"/>
            <w:tcBorders>
              <w:top w:val="nil"/>
              <w:left w:val="nil"/>
              <w:bottom w:val="nil"/>
              <w:right w:val="nil"/>
            </w:tcBorders>
            <w:shd w:val="clear" w:color="auto" w:fill="auto"/>
            <w:noWrap/>
            <w:vAlign w:val="center"/>
            <w:hideMark/>
          </w:tcPr>
          <w:p w14:paraId="58B1A6AF"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28.1%</w:t>
            </w:r>
          </w:p>
        </w:tc>
        <w:tc>
          <w:tcPr>
            <w:tcW w:w="550" w:type="pct"/>
            <w:tcBorders>
              <w:top w:val="nil"/>
              <w:left w:val="nil"/>
              <w:bottom w:val="nil"/>
              <w:right w:val="nil"/>
            </w:tcBorders>
            <w:shd w:val="clear" w:color="auto" w:fill="auto"/>
            <w:noWrap/>
            <w:vAlign w:val="center"/>
            <w:hideMark/>
          </w:tcPr>
          <w:p w14:paraId="32545AE5"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23.3% - 59.5%</w:t>
            </w:r>
          </w:p>
        </w:tc>
      </w:tr>
      <w:tr w:rsidR="005D4FCC" w:rsidRPr="005E2F89" w14:paraId="7CE9475B" w14:textId="77777777" w:rsidTr="004D4519">
        <w:trPr>
          <w:trHeight w:val="397"/>
        </w:trPr>
        <w:tc>
          <w:tcPr>
            <w:tcW w:w="588" w:type="pct"/>
            <w:vMerge/>
            <w:tcBorders>
              <w:top w:val="nil"/>
              <w:left w:val="nil"/>
              <w:bottom w:val="single" w:sz="4" w:space="0" w:color="000000"/>
              <w:right w:val="nil"/>
            </w:tcBorders>
            <w:vAlign w:val="center"/>
            <w:hideMark/>
          </w:tcPr>
          <w:p w14:paraId="6C284E9C" w14:textId="77777777" w:rsidR="005D4FCC" w:rsidRPr="005E2F89" w:rsidRDefault="005D4FCC" w:rsidP="005D4FCC">
            <w:pPr>
              <w:spacing w:line="276" w:lineRule="auto"/>
              <w:rPr>
                <w:rFonts w:ascii="Arial" w:hAnsi="Arial" w:cs="Arial"/>
                <w:color w:val="000000"/>
                <w:sz w:val="14"/>
                <w:szCs w:val="14"/>
              </w:rPr>
            </w:pPr>
          </w:p>
        </w:tc>
        <w:tc>
          <w:tcPr>
            <w:tcW w:w="625" w:type="pct"/>
            <w:vMerge/>
            <w:tcBorders>
              <w:top w:val="nil"/>
              <w:left w:val="nil"/>
              <w:bottom w:val="single" w:sz="4" w:space="0" w:color="000000"/>
              <w:right w:val="nil"/>
            </w:tcBorders>
            <w:vAlign w:val="center"/>
            <w:hideMark/>
          </w:tcPr>
          <w:p w14:paraId="615CB107" w14:textId="77777777" w:rsidR="005D4FCC" w:rsidRPr="005E2F89" w:rsidRDefault="005D4FCC" w:rsidP="005D4FCC">
            <w:pPr>
              <w:spacing w:line="276" w:lineRule="auto"/>
              <w:rPr>
                <w:rFonts w:ascii="Arial"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3C004B36"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72521F25"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1.2%</w:t>
            </w:r>
          </w:p>
        </w:tc>
        <w:tc>
          <w:tcPr>
            <w:tcW w:w="550" w:type="pct"/>
            <w:tcBorders>
              <w:top w:val="nil"/>
              <w:left w:val="nil"/>
              <w:bottom w:val="nil"/>
              <w:right w:val="nil"/>
            </w:tcBorders>
            <w:shd w:val="clear" w:color="auto" w:fill="auto"/>
            <w:noWrap/>
            <w:vAlign w:val="center"/>
            <w:hideMark/>
          </w:tcPr>
          <w:p w14:paraId="5381C80D"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0.6% - 2.2%</w:t>
            </w:r>
          </w:p>
        </w:tc>
        <w:tc>
          <w:tcPr>
            <w:tcW w:w="550" w:type="pct"/>
            <w:tcBorders>
              <w:top w:val="nil"/>
              <w:left w:val="nil"/>
              <w:bottom w:val="nil"/>
              <w:right w:val="nil"/>
            </w:tcBorders>
            <w:shd w:val="clear" w:color="auto" w:fill="auto"/>
            <w:noWrap/>
            <w:vAlign w:val="center"/>
            <w:hideMark/>
          </w:tcPr>
          <w:p w14:paraId="34E46D12"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0.2%</w:t>
            </w:r>
          </w:p>
        </w:tc>
        <w:tc>
          <w:tcPr>
            <w:tcW w:w="550" w:type="pct"/>
            <w:tcBorders>
              <w:top w:val="nil"/>
              <w:left w:val="nil"/>
              <w:bottom w:val="nil"/>
              <w:right w:val="nil"/>
            </w:tcBorders>
            <w:shd w:val="clear" w:color="auto" w:fill="auto"/>
            <w:noWrap/>
            <w:vAlign w:val="center"/>
            <w:hideMark/>
          </w:tcPr>
          <w:p w14:paraId="3A3916EB"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0% - 0.7%</w:t>
            </w:r>
          </w:p>
        </w:tc>
        <w:tc>
          <w:tcPr>
            <w:tcW w:w="550" w:type="pct"/>
            <w:tcBorders>
              <w:top w:val="nil"/>
              <w:left w:val="nil"/>
              <w:bottom w:val="nil"/>
              <w:right w:val="nil"/>
            </w:tcBorders>
            <w:shd w:val="clear" w:color="auto" w:fill="auto"/>
            <w:noWrap/>
            <w:vAlign w:val="center"/>
            <w:hideMark/>
          </w:tcPr>
          <w:p w14:paraId="3B3104DF"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12.9%</w:t>
            </w:r>
          </w:p>
        </w:tc>
        <w:tc>
          <w:tcPr>
            <w:tcW w:w="550" w:type="pct"/>
            <w:tcBorders>
              <w:top w:val="nil"/>
              <w:left w:val="nil"/>
              <w:bottom w:val="nil"/>
              <w:right w:val="nil"/>
            </w:tcBorders>
            <w:shd w:val="clear" w:color="auto" w:fill="auto"/>
            <w:noWrap/>
            <w:vAlign w:val="center"/>
            <w:hideMark/>
          </w:tcPr>
          <w:p w14:paraId="6294AE22"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8.9% - 28.7%</w:t>
            </w:r>
          </w:p>
        </w:tc>
      </w:tr>
      <w:tr w:rsidR="005D4FCC" w:rsidRPr="005E2F89" w14:paraId="31ADB816" w14:textId="77777777" w:rsidTr="004D4519">
        <w:trPr>
          <w:trHeight w:val="397"/>
        </w:trPr>
        <w:tc>
          <w:tcPr>
            <w:tcW w:w="588" w:type="pct"/>
            <w:vMerge/>
            <w:tcBorders>
              <w:top w:val="nil"/>
              <w:left w:val="nil"/>
              <w:bottom w:val="single" w:sz="4" w:space="0" w:color="000000"/>
              <w:right w:val="nil"/>
            </w:tcBorders>
            <w:vAlign w:val="center"/>
            <w:hideMark/>
          </w:tcPr>
          <w:p w14:paraId="1C637BAD" w14:textId="77777777" w:rsidR="005D4FCC" w:rsidRPr="005E2F89" w:rsidRDefault="005D4FCC" w:rsidP="005D4FCC">
            <w:pPr>
              <w:spacing w:line="276" w:lineRule="auto"/>
              <w:rPr>
                <w:rFonts w:ascii="Arial" w:hAnsi="Arial" w:cs="Arial"/>
                <w:color w:val="000000"/>
                <w:sz w:val="14"/>
                <w:szCs w:val="14"/>
              </w:rPr>
            </w:pPr>
          </w:p>
        </w:tc>
        <w:tc>
          <w:tcPr>
            <w:tcW w:w="625" w:type="pct"/>
            <w:vMerge/>
            <w:tcBorders>
              <w:top w:val="nil"/>
              <w:left w:val="nil"/>
              <w:bottom w:val="single" w:sz="4" w:space="0" w:color="000000"/>
              <w:right w:val="nil"/>
            </w:tcBorders>
            <w:vAlign w:val="center"/>
            <w:hideMark/>
          </w:tcPr>
          <w:p w14:paraId="2F8C5B03" w14:textId="77777777" w:rsidR="005D4FCC" w:rsidRPr="005E2F89" w:rsidRDefault="005D4FCC" w:rsidP="005D4FCC">
            <w:pPr>
              <w:spacing w:line="276" w:lineRule="auto"/>
              <w:rPr>
                <w:rFonts w:ascii="Arial" w:hAnsi="Arial"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368C60A6"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4264A2FC"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6.5%</w:t>
            </w:r>
          </w:p>
        </w:tc>
        <w:tc>
          <w:tcPr>
            <w:tcW w:w="550" w:type="pct"/>
            <w:tcBorders>
              <w:top w:val="nil"/>
              <w:left w:val="nil"/>
              <w:bottom w:val="single" w:sz="4" w:space="0" w:color="auto"/>
              <w:right w:val="nil"/>
            </w:tcBorders>
            <w:shd w:val="clear" w:color="auto" w:fill="auto"/>
            <w:noWrap/>
            <w:vAlign w:val="center"/>
            <w:hideMark/>
          </w:tcPr>
          <w:p w14:paraId="29CD7FDB"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4.2% - 8.8%</w:t>
            </w:r>
          </w:p>
        </w:tc>
        <w:tc>
          <w:tcPr>
            <w:tcW w:w="550" w:type="pct"/>
            <w:tcBorders>
              <w:top w:val="nil"/>
              <w:left w:val="nil"/>
              <w:bottom w:val="single" w:sz="4" w:space="0" w:color="auto"/>
              <w:right w:val="nil"/>
            </w:tcBorders>
            <w:shd w:val="clear" w:color="auto" w:fill="auto"/>
            <w:noWrap/>
            <w:vAlign w:val="center"/>
            <w:hideMark/>
          </w:tcPr>
          <w:p w14:paraId="4BAEB406"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2.5%</w:t>
            </w:r>
          </w:p>
        </w:tc>
        <w:tc>
          <w:tcPr>
            <w:tcW w:w="550" w:type="pct"/>
            <w:tcBorders>
              <w:top w:val="nil"/>
              <w:left w:val="nil"/>
              <w:bottom w:val="single" w:sz="4" w:space="0" w:color="auto"/>
              <w:right w:val="nil"/>
            </w:tcBorders>
            <w:shd w:val="clear" w:color="auto" w:fill="auto"/>
            <w:noWrap/>
            <w:vAlign w:val="center"/>
            <w:hideMark/>
          </w:tcPr>
          <w:p w14:paraId="083D1E41"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0% - 4%</w:t>
            </w:r>
          </w:p>
        </w:tc>
        <w:tc>
          <w:tcPr>
            <w:tcW w:w="550" w:type="pct"/>
            <w:tcBorders>
              <w:top w:val="nil"/>
              <w:left w:val="nil"/>
              <w:bottom w:val="single" w:sz="4" w:space="0" w:color="auto"/>
              <w:right w:val="nil"/>
            </w:tcBorders>
            <w:shd w:val="clear" w:color="auto" w:fill="auto"/>
            <w:noWrap/>
            <w:vAlign w:val="center"/>
            <w:hideMark/>
          </w:tcPr>
          <w:p w14:paraId="2BBE4F73"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32.0%</w:t>
            </w:r>
          </w:p>
        </w:tc>
        <w:tc>
          <w:tcPr>
            <w:tcW w:w="550" w:type="pct"/>
            <w:tcBorders>
              <w:top w:val="nil"/>
              <w:left w:val="nil"/>
              <w:bottom w:val="single" w:sz="4" w:space="0" w:color="auto"/>
              <w:right w:val="nil"/>
            </w:tcBorders>
            <w:shd w:val="clear" w:color="auto" w:fill="auto"/>
            <w:noWrap/>
            <w:vAlign w:val="center"/>
            <w:hideMark/>
          </w:tcPr>
          <w:p w14:paraId="3EFAAC38"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0.1% - 68.3%</w:t>
            </w:r>
          </w:p>
        </w:tc>
      </w:tr>
      <w:tr w:rsidR="005D4FCC" w:rsidRPr="005E2F89" w14:paraId="51979603" w14:textId="77777777" w:rsidTr="004D4519">
        <w:trPr>
          <w:trHeight w:val="397"/>
        </w:trPr>
        <w:tc>
          <w:tcPr>
            <w:tcW w:w="588" w:type="pct"/>
            <w:vMerge w:val="restart"/>
            <w:tcBorders>
              <w:top w:val="nil"/>
              <w:left w:val="nil"/>
              <w:bottom w:val="single" w:sz="4" w:space="0" w:color="000000"/>
              <w:right w:val="nil"/>
            </w:tcBorders>
            <w:shd w:val="clear" w:color="auto" w:fill="auto"/>
            <w:noWrap/>
            <w:vAlign w:val="center"/>
            <w:hideMark/>
          </w:tcPr>
          <w:p w14:paraId="707BF25D"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HIC</w:t>
            </w:r>
          </w:p>
        </w:tc>
        <w:tc>
          <w:tcPr>
            <w:tcW w:w="625" w:type="pct"/>
            <w:vMerge w:val="restart"/>
            <w:tcBorders>
              <w:top w:val="nil"/>
              <w:left w:val="nil"/>
              <w:bottom w:val="single" w:sz="4" w:space="0" w:color="000000"/>
              <w:right w:val="nil"/>
            </w:tcBorders>
            <w:shd w:val="clear" w:color="auto" w:fill="auto"/>
            <w:noWrap/>
            <w:vAlign w:val="center"/>
            <w:hideMark/>
          </w:tcPr>
          <w:p w14:paraId="5E0DD9D6"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5-24y</w:t>
            </w:r>
          </w:p>
        </w:tc>
        <w:tc>
          <w:tcPr>
            <w:tcW w:w="488" w:type="pct"/>
            <w:tcBorders>
              <w:top w:val="nil"/>
              <w:left w:val="nil"/>
              <w:bottom w:val="nil"/>
              <w:right w:val="nil"/>
            </w:tcBorders>
            <w:shd w:val="clear" w:color="auto" w:fill="auto"/>
            <w:noWrap/>
            <w:vAlign w:val="center"/>
            <w:hideMark/>
          </w:tcPr>
          <w:p w14:paraId="546AD0EA"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20DD899C"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37.7%</w:t>
            </w:r>
          </w:p>
        </w:tc>
        <w:tc>
          <w:tcPr>
            <w:tcW w:w="550" w:type="pct"/>
            <w:tcBorders>
              <w:top w:val="nil"/>
              <w:left w:val="nil"/>
              <w:bottom w:val="nil"/>
              <w:right w:val="nil"/>
            </w:tcBorders>
            <w:shd w:val="clear" w:color="auto" w:fill="auto"/>
            <w:noWrap/>
            <w:vAlign w:val="center"/>
            <w:hideMark/>
          </w:tcPr>
          <w:p w14:paraId="6DF4EF06"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31.9% - 41.3%</w:t>
            </w:r>
          </w:p>
        </w:tc>
        <w:tc>
          <w:tcPr>
            <w:tcW w:w="550" w:type="pct"/>
            <w:tcBorders>
              <w:top w:val="nil"/>
              <w:left w:val="nil"/>
              <w:bottom w:val="nil"/>
              <w:right w:val="nil"/>
            </w:tcBorders>
            <w:shd w:val="clear" w:color="auto" w:fill="auto"/>
            <w:noWrap/>
            <w:vAlign w:val="center"/>
            <w:hideMark/>
          </w:tcPr>
          <w:p w14:paraId="6882B2B6"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9.3%</w:t>
            </w:r>
          </w:p>
        </w:tc>
        <w:tc>
          <w:tcPr>
            <w:tcW w:w="550" w:type="pct"/>
            <w:tcBorders>
              <w:top w:val="nil"/>
              <w:left w:val="nil"/>
              <w:bottom w:val="nil"/>
              <w:right w:val="nil"/>
            </w:tcBorders>
            <w:shd w:val="clear" w:color="auto" w:fill="auto"/>
            <w:noWrap/>
            <w:vAlign w:val="center"/>
            <w:hideMark/>
          </w:tcPr>
          <w:p w14:paraId="790EE1EE"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6.1% - 18.2%</w:t>
            </w:r>
          </w:p>
        </w:tc>
        <w:tc>
          <w:tcPr>
            <w:tcW w:w="550" w:type="pct"/>
            <w:tcBorders>
              <w:top w:val="nil"/>
              <w:left w:val="nil"/>
              <w:bottom w:val="nil"/>
              <w:right w:val="nil"/>
            </w:tcBorders>
            <w:shd w:val="clear" w:color="auto" w:fill="auto"/>
            <w:noWrap/>
            <w:vAlign w:val="center"/>
            <w:hideMark/>
          </w:tcPr>
          <w:p w14:paraId="4AFE644B"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17.3%</w:t>
            </w:r>
          </w:p>
        </w:tc>
        <w:tc>
          <w:tcPr>
            <w:tcW w:w="550" w:type="pct"/>
            <w:tcBorders>
              <w:top w:val="nil"/>
              <w:left w:val="nil"/>
              <w:bottom w:val="nil"/>
              <w:right w:val="nil"/>
            </w:tcBorders>
            <w:shd w:val="clear" w:color="auto" w:fill="auto"/>
            <w:noWrap/>
            <w:vAlign w:val="center"/>
            <w:hideMark/>
          </w:tcPr>
          <w:p w14:paraId="1C5A5C67"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12.1% - 26.1%</w:t>
            </w:r>
          </w:p>
        </w:tc>
      </w:tr>
      <w:tr w:rsidR="005D4FCC" w:rsidRPr="005E2F89" w14:paraId="4E1724B7" w14:textId="77777777" w:rsidTr="004D4519">
        <w:trPr>
          <w:trHeight w:val="397"/>
        </w:trPr>
        <w:tc>
          <w:tcPr>
            <w:tcW w:w="588" w:type="pct"/>
            <w:vMerge/>
            <w:tcBorders>
              <w:top w:val="nil"/>
              <w:left w:val="nil"/>
              <w:bottom w:val="single" w:sz="4" w:space="0" w:color="000000"/>
              <w:right w:val="nil"/>
            </w:tcBorders>
            <w:vAlign w:val="center"/>
            <w:hideMark/>
          </w:tcPr>
          <w:p w14:paraId="3F62CC94" w14:textId="77777777" w:rsidR="005D4FCC" w:rsidRPr="005E2F89" w:rsidRDefault="005D4FCC" w:rsidP="005D4FCC">
            <w:pPr>
              <w:spacing w:line="276" w:lineRule="auto"/>
              <w:rPr>
                <w:rFonts w:ascii="Arial" w:hAnsi="Arial" w:cs="Arial"/>
                <w:color w:val="000000"/>
                <w:sz w:val="14"/>
                <w:szCs w:val="14"/>
              </w:rPr>
            </w:pPr>
          </w:p>
        </w:tc>
        <w:tc>
          <w:tcPr>
            <w:tcW w:w="625" w:type="pct"/>
            <w:vMerge/>
            <w:tcBorders>
              <w:top w:val="nil"/>
              <w:left w:val="nil"/>
              <w:bottom w:val="single" w:sz="4" w:space="0" w:color="000000"/>
              <w:right w:val="nil"/>
            </w:tcBorders>
            <w:vAlign w:val="center"/>
            <w:hideMark/>
          </w:tcPr>
          <w:p w14:paraId="4C4F1B4A" w14:textId="77777777" w:rsidR="005D4FCC" w:rsidRPr="005E2F89" w:rsidRDefault="005D4FCC" w:rsidP="005D4FCC">
            <w:pPr>
              <w:spacing w:line="276" w:lineRule="auto"/>
              <w:rPr>
                <w:rFonts w:ascii="Arial"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11D6B157"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745E06B5"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39.5%</w:t>
            </w:r>
          </w:p>
        </w:tc>
        <w:tc>
          <w:tcPr>
            <w:tcW w:w="550" w:type="pct"/>
            <w:tcBorders>
              <w:top w:val="nil"/>
              <w:left w:val="nil"/>
              <w:bottom w:val="nil"/>
              <w:right w:val="nil"/>
            </w:tcBorders>
            <w:shd w:val="clear" w:color="auto" w:fill="auto"/>
            <w:noWrap/>
            <w:vAlign w:val="center"/>
            <w:hideMark/>
          </w:tcPr>
          <w:p w14:paraId="56343F1F"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34.6% - 43.1%</w:t>
            </w:r>
          </w:p>
        </w:tc>
        <w:tc>
          <w:tcPr>
            <w:tcW w:w="550" w:type="pct"/>
            <w:tcBorders>
              <w:top w:val="nil"/>
              <w:left w:val="nil"/>
              <w:bottom w:val="nil"/>
              <w:right w:val="nil"/>
            </w:tcBorders>
            <w:shd w:val="clear" w:color="auto" w:fill="auto"/>
            <w:noWrap/>
            <w:vAlign w:val="center"/>
            <w:hideMark/>
          </w:tcPr>
          <w:p w14:paraId="2D665B5C"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10.0%</w:t>
            </w:r>
          </w:p>
        </w:tc>
        <w:tc>
          <w:tcPr>
            <w:tcW w:w="550" w:type="pct"/>
            <w:tcBorders>
              <w:top w:val="nil"/>
              <w:left w:val="nil"/>
              <w:bottom w:val="nil"/>
              <w:right w:val="nil"/>
            </w:tcBorders>
            <w:shd w:val="clear" w:color="auto" w:fill="auto"/>
            <w:noWrap/>
            <w:vAlign w:val="center"/>
            <w:hideMark/>
          </w:tcPr>
          <w:p w14:paraId="4ACB9CC2"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7.3% - 17.4%</w:t>
            </w:r>
          </w:p>
        </w:tc>
        <w:tc>
          <w:tcPr>
            <w:tcW w:w="550" w:type="pct"/>
            <w:tcBorders>
              <w:top w:val="nil"/>
              <w:left w:val="nil"/>
              <w:bottom w:val="nil"/>
              <w:right w:val="nil"/>
            </w:tcBorders>
            <w:shd w:val="clear" w:color="auto" w:fill="auto"/>
            <w:noWrap/>
            <w:vAlign w:val="center"/>
            <w:hideMark/>
          </w:tcPr>
          <w:p w14:paraId="00498B22"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16.3%</w:t>
            </w:r>
          </w:p>
        </w:tc>
        <w:tc>
          <w:tcPr>
            <w:tcW w:w="550" w:type="pct"/>
            <w:tcBorders>
              <w:top w:val="nil"/>
              <w:left w:val="nil"/>
              <w:bottom w:val="nil"/>
              <w:right w:val="nil"/>
            </w:tcBorders>
            <w:shd w:val="clear" w:color="auto" w:fill="auto"/>
            <w:noWrap/>
            <w:vAlign w:val="center"/>
            <w:hideMark/>
          </w:tcPr>
          <w:p w14:paraId="206B43DC"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12.9% - 24%</w:t>
            </w:r>
          </w:p>
        </w:tc>
      </w:tr>
      <w:tr w:rsidR="005D4FCC" w:rsidRPr="005E2F89" w14:paraId="18A390A3" w14:textId="77777777" w:rsidTr="004D4519">
        <w:trPr>
          <w:trHeight w:val="397"/>
        </w:trPr>
        <w:tc>
          <w:tcPr>
            <w:tcW w:w="588" w:type="pct"/>
            <w:vMerge/>
            <w:tcBorders>
              <w:top w:val="nil"/>
              <w:left w:val="nil"/>
              <w:bottom w:val="single" w:sz="4" w:space="0" w:color="000000"/>
              <w:right w:val="nil"/>
            </w:tcBorders>
            <w:vAlign w:val="center"/>
            <w:hideMark/>
          </w:tcPr>
          <w:p w14:paraId="68E867E1" w14:textId="77777777" w:rsidR="005D4FCC" w:rsidRPr="005E2F89" w:rsidRDefault="005D4FCC" w:rsidP="005D4FCC">
            <w:pPr>
              <w:spacing w:line="276" w:lineRule="auto"/>
              <w:rPr>
                <w:rFonts w:ascii="Arial" w:hAnsi="Arial" w:cs="Arial"/>
                <w:color w:val="000000"/>
                <w:sz w:val="14"/>
                <w:szCs w:val="14"/>
              </w:rPr>
            </w:pPr>
          </w:p>
        </w:tc>
        <w:tc>
          <w:tcPr>
            <w:tcW w:w="625" w:type="pct"/>
            <w:vMerge/>
            <w:tcBorders>
              <w:top w:val="nil"/>
              <w:left w:val="nil"/>
              <w:bottom w:val="single" w:sz="4" w:space="0" w:color="000000"/>
              <w:right w:val="nil"/>
            </w:tcBorders>
            <w:vAlign w:val="center"/>
            <w:hideMark/>
          </w:tcPr>
          <w:p w14:paraId="36E6160E" w14:textId="77777777" w:rsidR="005D4FCC" w:rsidRPr="005E2F89" w:rsidRDefault="005D4FCC" w:rsidP="005D4FCC">
            <w:pPr>
              <w:spacing w:line="276" w:lineRule="auto"/>
              <w:rPr>
                <w:rFonts w:ascii="Arial"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33E8DF78"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07D1C3E8"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66.5%</w:t>
            </w:r>
          </w:p>
        </w:tc>
        <w:tc>
          <w:tcPr>
            <w:tcW w:w="550" w:type="pct"/>
            <w:tcBorders>
              <w:top w:val="nil"/>
              <w:left w:val="nil"/>
              <w:bottom w:val="nil"/>
              <w:right w:val="nil"/>
            </w:tcBorders>
            <w:shd w:val="clear" w:color="auto" w:fill="auto"/>
            <w:noWrap/>
            <w:vAlign w:val="center"/>
            <w:hideMark/>
          </w:tcPr>
          <w:p w14:paraId="15554F6F"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61.2% - 77.5%</w:t>
            </w:r>
          </w:p>
        </w:tc>
        <w:tc>
          <w:tcPr>
            <w:tcW w:w="550" w:type="pct"/>
            <w:tcBorders>
              <w:top w:val="nil"/>
              <w:left w:val="nil"/>
              <w:bottom w:val="nil"/>
              <w:right w:val="nil"/>
            </w:tcBorders>
            <w:shd w:val="clear" w:color="auto" w:fill="auto"/>
            <w:noWrap/>
            <w:vAlign w:val="center"/>
            <w:hideMark/>
          </w:tcPr>
          <w:p w14:paraId="04D518FD"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5.0%</w:t>
            </w:r>
          </w:p>
        </w:tc>
        <w:tc>
          <w:tcPr>
            <w:tcW w:w="550" w:type="pct"/>
            <w:tcBorders>
              <w:top w:val="nil"/>
              <w:left w:val="nil"/>
              <w:bottom w:val="nil"/>
              <w:right w:val="nil"/>
            </w:tcBorders>
            <w:shd w:val="clear" w:color="auto" w:fill="auto"/>
            <w:noWrap/>
            <w:vAlign w:val="center"/>
            <w:hideMark/>
          </w:tcPr>
          <w:p w14:paraId="7E2C5635"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3.6% - 6.8%</w:t>
            </w:r>
          </w:p>
        </w:tc>
        <w:tc>
          <w:tcPr>
            <w:tcW w:w="550" w:type="pct"/>
            <w:tcBorders>
              <w:top w:val="nil"/>
              <w:left w:val="nil"/>
              <w:bottom w:val="nil"/>
              <w:right w:val="nil"/>
            </w:tcBorders>
            <w:shd w:val="clear" w:color="auto" w:fill="auto"/>
            <w:noWrap/>
            <w:vAlign w:val="center"/>
            <w:hideMark/>
          </w:tcPr>
          <w:p w14:paraId="05F42738"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2.4%</w:t>
            </w:r>
          </w:p>
        </w:tc>
        <w:tc>
          <w:tcPr>
            <w:tcW w:w="550" w:type="pct"/>
            <w:tcBorders>
              <w:top w:val="nil"/>
              <w:left w:val="nil"/>
              <w:bottom w:val="nil"/>
              <w:right w:val="nil"/>
            </w:tcBorders>
            <w:shd w:val="clear" w:color="auto" w:fill="auto"/>
            <w:noWrap/>
            <w:vAlign w:val="center"/>
            <w:hideMark/>
          </w:tcPr>
          <w:p w14:paraId="02913B7B"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1.1% - 4.2%</w:t>
            </w:r>
          </w:p>
        </w:tc>
      </w:tr>
      <w:tr w:rsidR="005D4FCC" w:rsidRPr="005E2F89" w14:paraId="5EDBE48B" w14:textId="77777777" w:rsidTr="004D4519">
        <w:trPr>
          <w:trHeight w:val="397"/>
        </w:trPr>
        <w:tc>
          <w:tcPr>
            <w:tcW w:w="588" w:type="pct"/>
            <w:vMerge/>
            <w:tcBorders>
              <w:top w:val="nil"/>
              <w:left w:val="nil"/>
              <w:bottom w:val="single" w:sz="4" w:space="0" w:color="000000"/>
              <w:right w:val="nil"/>
            </w:tcBorders>
            <w:vAlign w:val="center"/>
            <w:hideMark/>
          </w:tcPr>
          <w:p w14:paraId="55F08479" w14:textId="77777777" w:rsidR="005D4FCC" w:rsidRPr="005E2F89" w:rsidRDefault="005D4FCC" w:rsidP="005D4FCC">
            <w:pPr>
              <w:spacing w:line="276" w:lineRule="auto"/>
              <w:rPr>
                <w:rFonts w:ascii="Arial" w:hAnsi="Arial" w:cs="Arial"/>
                <w:color w:val="000000"/>
                <w:sz w:val="14"/>
                <w:szCs w:val="14"/>
              </w:rPr>
            </w:pPr>
          </w:p>
        </w:tc>
        <w:tc>
          <w:tcPr>
            <w:tcW w:w="625" w:type="pct"/>
            <w:vMerge/>
            <w:tcBorders>
              <w:top w:val="nil"/>
              <w:left w:val="nil"/>
              <w:bottom w:val="single" w:sz="4" w:space="0" w:color="000000"/>
              <w:right w:val="nil"/>
            </w:tcBorders>
            <w:vAlign w:val="center"/>
            <w:hideMark/>
          </w:tcPr>
          <w:p w14:paraId="0716FCD6" w14:textId="77777777" w:rsidR="005D4FCC" w:rsidRPr="005E2F89" w:rsidRDefault="005D4FCC" w:rsidP="005D4FCC">
            <w:pPr>
              <w:spacing w:line="276" w:lineRule="auto"/>
              <w:rPr>
                <w:rFonts w:ascii="Arial" w:hAnsi="Arial"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17EE6048"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2EF06906"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33.8%</w:t>
            </w:r>
          </w:p>
        </w:tc>
        <w:tc>
          <w:tcPr>
            <w:tcW w:w="550" w:type="pct"/>
            <w:tcBorders>
              <w:top w:val="nil"/>
              <w:left w:val="nil"/>
              <w:bottom w:val="single" w:sz="4" w:space="0" w:color="auto"/>
              <w:right w:val="nil"/>
            </w:tcBorders>
            <w:shd w:val="clear" w:color="auto" w:fill="auto"/>
            <w:noWrap/>
            <w:vAlign w:val="center"/>
            <w:hideMark/>
          </w:tcPr>
          <w:p w14:paraId="57F9CDDD"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25.6% - 40.7%</w:t>
            </w:r>
          </w:p>
        </w:tc>
        <w:tc>
          <w:tcPr>
            <w:tcW w:w="550" w:type="pct"/>
            <w:tcBorders>
              <w:top w:val="nil"/>
              <w:left w:val="nil"/>
              <w:bottom w:val="single" w:sz="4" w:space="0" w:color="auto"/>
              <w:right w:val="nil"/>
            </w:tcBorders>
            <w:shd w:val="clear" w:color="auto" w:fill="auto"/>
            <w:noWrap/>
            <w:vAlign w:val="center"/>
            <w:hideMark/>
          </w:tcPr>
          <w:p w14:paraId="255B8A74"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8.5%</w:t>
            </w:r>
          </w:p>
        </w:tc>
        <w:tc>
          <w:tcPr>
            <w:tcW w:w="550" w:type="pct"/>
            <w:tcBorders>
              <w:top w:val="nil"/>
              <w:left w:val="nil"/>
              <w:bottom w:val="single" w:sz="4" w:space="0" w:color="auto"/>
              <w:right w:val="nil"/>
            </w:tcBorders>
            <w:shd w:val="clear" w:color="auto" w:fill="auto"/>
            <w:noWrap/>
            <w:vAlign w:val="center"/>
            <w:hideMark/>
          </w:tcPr>
          <w:p w14:paraId="43DB3E96"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0% - 21.2%</w:t>
            </w:r>
          </w:p>
        </w:tc>
        <w:tc>
          <w:tcPr>
            <w:tcW w:w="550" w:type="pct"/>
            <w:tcBorders>
              <w:top w:val="nil"/>
              <w:left w:val="nil"/>
              <w:bottom w:val="single" w:sz="4" w:space="0" w:color="auto"/>
              <w:right w:val="nil"/>
            </w:tcBorders>
            <w:shd w:val="clear" w:color="auto" w:fill="auto"/>
            <w:noWrap/>
            <w:vAlign w:val="center"/>
            <w:hideMark/>
          </w:tcPr>
          <w:p w14:paraId="4CFCCE0B"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25.0%</w:t>
            </w:r>
          </w:p>
        </w:tc>
        <w:tc>
          <w:tcPr>
            <w:tcW w:w="550" w:type="pct"/>
            <w:tcBorders>
              <w:top w:val="nil"/>
              <w:left w:val="nil"/>
              <w:bottom w:val="single" w:sz="4" w:space="0" w:color="auto"/>
              <w:right w:val="nil"/>
            </w:tcBorders>
            <w:shd w:val="clear" w:color="auto" w:fill="auto"/>
            <w:noWrap/>
            <w:vAlign w:val="center"/>
            <w:hideMark/>
          </w:tcPr>
          <w:p w14:paraId="197955C3"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0.1% - 35.2%</w:t>
            </w:r>
          </w:p>
        </w:tc>
      </w:tr>
      <w:tr w:rsidR="005D4FCC" w:rsidRPr="005E2F89" w14:paraId="7EFE261B" w14:textId="77777777" w:rsidTr="004D4519">
        <w:trPr>
          <w:trHeight w:val="397"/>
        </w:trPr>
        <w:tc>
          <w:tcPr>
            <w:tcW w:w="588" w:type="pct"/>
            <w:vMerge/>
            <w:tcBorders>
              <w:top w:val="nil"/>
              <w:left w:val="nil"/>
              <w:bottom w:val="single" w:sz="4" w:space="0" w:color="000000"/>
              <w:right w:val="nil"/>
            </w:tcBorders>
            <w:vAlign w:val="center"/>
            <w:hideMark/>
          </w:tcPr>
          <w:p w14:paraId="34DB8602" w14:textId="77777777" w:rsidR="005D4FCC" w:rsidRPr="005E2F89" w:rsidRDefault="005D4FCC" w:rsidP="005D4FCC">
            <w:pPr>
              <w:spacing w:line="276" w:lineRule="auto"/>
              <w:rPr>
                <w:rFonts w:ascii="Arial" w:hAnsi="Arial" w:cs="Arial"/>
                <w:color w:val="000000"/>
                <w:sz w:val="14"/>
                <w:szCs w:val="14"/>
              </w:rPr>
            </w:pPr>
          </w:p>
        </w:tc>
        <w:tc>
          <w:tcPr>
            <w:tcW w:w="625" w:type="pct"/>
            <w:vMerge w:val="restart"/>
            <w:tcBorders>
              <w:top w:val="nil"/>
              <w:left w:val="nil"/>
              <w:bottom w:val="single" w:sz="4" w:space="0" w:color="000000"/>
              <w:right w:val="nil"/>
            </w:tcBorders>
            <w:shd w:val="clear" w:color="auto" w:fill="auto"/>
            <w:noWrap/>
            <w:vAlign w:val="center"/>
            <w:hideMark/>
          </w:tcPr>
          <w:p w14:paraId="64B0C893"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25-64y</w:t>
            </w:r>
          </w:p>
        </w:tc>
        <w:tc>
          <w:tcPr>
            <w:tcW w:w="488" w:type="pct"/>
            <w:tcBorders>
              <w:top w:val="nil"/>
              <w:left w:val="nil"/>
              <w:bottom w:val="nil"/>
              <w:right w:val="nil"/>
            </w:tcBorders>
            <w:shd w:val="clear" w:color="auto" w:fill="auto"/>
            <w:noWrap/>
            <w:vAlign w:val="center"/>
            <w:hideMark/>
          </w:tcPr>
          <w:p w14:paraId="6D0BA50A"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72C75136"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55.6%</w:t>
            </w:r>
          </w:p>
        </w:tc>
        <w:tc>
          <w:tcPr>
            <w:tcW w:w="550" w:type="pct"/>
            <w:tcBorders>
              <w:top w:val="nil"/>
              <w:left w:val="nil"/>
              <w:bottom w:val="nil"/>
              <w:right w:val="nil"/>
            </w:tcBorders>
            <w:shd w:val="clear" w:color="auto" w:fill="auto"/>
            <w:noWrap/>
            <w:vAlign w:val="center"/>
            <w:hideMark/>
          </w:tcPr>
          <w:p w14:paraId="63838A10"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52.2% - 59.3%</w:t>
            </w:r>
          </w:p>
        </w:tc>
        <w:tc>
          <w:tcPr>
            <w:tcW w:w="550" w:type="pct"/>
            <w:tcBorders>
              <w:top w:val="nil"/>
              <w:left w:val="nil"/>
              <w:bottom w:val="nil"/>
              <w:right w:val="nil"/>
            </w:tcBorders>
            <w:shd w:val="clear" w:color="auto" w:fill="auto"/>
            <w:noWrap/>
            <w:vAlign w:val="center"/>
            <w:hideMark/>
          </w:tcPr>
          <w:p w14:paraId="485474FC"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14.6%</w:t>
            </w:r>
          </w:p>
        </w:tc>
        <w:tc>
          <w:tcPr>
            <w:tcW w:w="550" w:type="pct"/>
            <w:tcBorders>
              <w:top w:val="nil"/>
              <w:left w:val="nil"/>
              <w:bottom w:val="nil"/>
              <w:right w:val="nil"/>
            </w:tcBorders>
            <w:shd w:val="clear" w:color="auto" w:fill="auto"/>
            <w:noWrap/>
            <w:vAlign w:val="center"/>
            <w:hideMark/>
          </w:tcPr>
          <w:p w14:paraId="6B18B3F9"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10.3% - 22.4%</w:t>
            </w:r>
          </w:p>
        </w:tc>
        <w:tc>
          <w:tcPr>
            <w:tcW w:w="550" w:type="pct"/>
            <w:tcBorders>
              <w:top w:val="nil"/>
              <w:left w:val="nil"/>
              <w:bottom w:val="nil"/>
              <w:right w:val="nil"/>
            </w:tcBorders>
            <w:shd w:val="clear" w:color="auto" w:fill="auto"/>
            <w:noWrap/>
            <w:vAlign w:val="center"/>
            <w:hideMark/>
          </w:tcPr>
          <w:p w14:paraId="2DBD3BCA"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10.9%</w:t>
            </w:r>
          </w:p>
        </w:tc>
        <w:tc>
          <w:tcPr>
            <w:tcW w:w="550" w:type="pct"/>
            <w:tcBorders>
              <w:top w:val="nil"/>
              <w:left w:val="nil"/>
              <w:bottom w:val="nil"/>
              <w:right w:val="nil"/>
            </w:tcBorders>
            <w:shd w:val="clear" w:color="auto" w:fill="auto"/>
            <w:noWrap/>
            <w:vAlign w:val="center"/>
            <w:hideMark/>
          </w:tcPr>
          <w:p w14:paraId="4FAB7040"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7.4% - 20.2%</w:t>
            </w:r>
          </w:p>
        </w:tc>
      </w:tr>
      <w:tr w:rsidR="005D4FCC" w:rsidRPr="005E2F89" w14:paraId="68CC9066" w14:textId="77777777" w:rsidTr="004D4519">
        <w:trPr>
          <w:trHeight w:val="397"/>
        </w:trPr>
        <w:tc>
          <w:tcPr>
            <w:tcW w:w="588" w:type="pct"/>
            <w:vMerge/>
            <w:tcBorders>
              <w:top w:val="nil"/>
              <w:left w:val="nil"/>
              <w:bottom w:val="single" w:sz="4" w:space="0" w:color="000000"/>
              <w:right w:val="nil"/>
            </w:tcBorders>
            <w:vAlign w:val="center"/>
            <w:hideMark/>
          </w:tcPr>
          <w:p w14:paraId="7708D85C" w14:textId="77777777" w:rsidR="005D4FCC" w:rsidRPr="005E2F89" w:rsidRDefault="005D4FCC" w:rsidP="005D4FCC">
            <w:pPr>
              <w:spacing w:line="276" w:lineRule="auto"/>
              <w:rPr>
                <w:rFonts w:ascii="Arial" w:hAnsi="Arial" w:cs="Arial"/>
                <w:color w:val="000000"/>
                <w:sz w:val="14"/>
                <w:szCs w:val="14"/>
              </w:rPr>
            </w:pPr>
          </w:p>
        </w:tc>
        <w:tc>
          <w:tcPr>
            <w:tcW w:w="625" w:type="pct"/>
            <w:vMerge/>
            <w:tcBorders>
              <w:top w:val="nil"/>
              <w:left w:val="nil"/>
              <w:bottom w:val="single" w:sz="4" w:space="0" w:color="000000"/>
              <w:right w:val="nil"/>
            </w:tcBorders>
            <w:vAlign w:val="center"/>
            <w:hideMark/>
          </w:tcPr>
          <w:p w14:paraId="296139AF" w14:textId="77777777" w:rsidR="005D4FCC" w:rsidRPr="005E2F89" w:rsidRDefault="005D4FCC" w:rsidP="005D4FCC">
            <w:pPr>
              <w:spacing w:line="276" w:lineRule="auto"/>
              <w:rPr>
                <w:rFonts w:ascii="Arial"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11EEB695"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0DDF3AF6"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53.9%</w:t>
            </w:r>
          </w:p>
        </w:tc>
        <w:tc>
          <w:tcPr>
            <w:tcW w:w="550" w:type="pct"/>
            <w:tcBorders>
              <w:top w:val="nil"/>
              <w:left w:val="nil"/>
              <w:bottom w:val="nil"/>
              <w:right w:val="nil"/>
            </w:tcBorders>
            <w:shd w:val="clear" w:color="auto" w:fill="auto"/>
            <w:noWrap/>
            <w:vAlign w:val="center"/>
            <w:hideMark/>
          </w:tcPr>
          <w:p w14:paraId="47E5B81F"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51.1% - 57.2%</w:t>
            </w:r>
          </w:p>
        </w:tc>
        <w:tc>
          <w:tcPr>
            <w:tcW w:w="550" w:type="pct"/>
            <w:tcBorders>
              <w:top w:val="nil"/>
              <w:left w:val="nil"/>
              <w:bottom w:val="nil"/>
              <w:right w:val="nil"/>
            </w:tcBorders>
            <w:shd w:val="clear" w:color="auto" w:fill="auto"/>
            <w:noWrap/>
            <w:vAlign w:val="center"/>
            <w:hideMark/>
          </w:tcPr>
          <w:p w14:paraId="52D56569"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13.9%</w:t>
            </w:r>
          </w:p>
        </w:tc>
        <w:tc>
          <w:tcPr>
            <w:tcW w:w="550" w:type="pct"/>
            <w:tcBorders>
              <w:top w:val="nil"/>
              <w:left w:val="nil"/>
              <w:bottom w:val="nil"/>
              <w:right w:val="nil"/>
            </w:tcBorders>
            <w:shd w:val="clear" w:color="auto" w:fill="auto"/>
            <w:noWrap/>
            <w:vAlign w:val="center"/>
            <w:hideMark/>
          </w:tcPr>
          <w:p w14:paraId="5FA0596A"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11% - 20.5%</w:t>
            </w:r>
          </w:p>
        </w:tc>
        <w:tc>
          <w:tcPr>
            <w:tcW w:w="550" w:type="pct"/>
            <w:tcBorders>
              <w:top w:val="nil"/>
              <w:left w:val="nil"/>
              <w:bottom w:val="nil"/>
              <w:right w:val="nil"/>
            </w:tcBorders>
            <w:shd w:val="clear" w:color="auto" w:fill="auto"/>
            <w:noWrap/>
            <w:vAlign w:val="center"/>
            <w:hideMark/>
          </w:tcPr>
          <w:p w14:paraId="25932368"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11.2%</w:t>
            </w:r>
          </w:p>
        </w:tc>
        <w:tc>
          <w:tcPr>
            <w:tcW w:w="550" w:type="pct"/>
            <w:tcBorders>
              <w:top w:val="nil"/>
              <w:left w:val="nil"/>
              <w:bottom w:val="nil"/>
              <w:right w:val="nil"/>
            </w:tcBorders>
            <w:shd w:val="clear" w:color="auto" w:fill="auto"/>
            <w:noWrap/>
            <w:vAlign w:val="center"/>
            <w:hideMark/>
          </w:tcPr>
          <w:p w14:paraId="18C215D7"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8.4% - 19%</w:t>
            </w:r>
          </w:p>
        </w:tc>
      </w:tr>
      <w:tr w:rsidR="005D4FCC" w:rsidRPr="005E2F89" w14:paraId="4CAD1E43" w14:textId="77777777" w:rsidTr="004D4519">
        <w:trPr>
          <w:trHeight w:val="397"/>
        </w:trPr>
        <w:tc>
          <w:tcPr>
            <w:tcW w:w="588" w:type="pct"/>
            <w:vMerge/>
            <w:tcBorders>
              <w:top w:val="nil"/>
              <w:left w:val="nil"/>
              <w:bottom w:val="single" w:sz="4" w:space="0" w:color="000000"/>
              <w:right w:val="nil"/>
            </w:tcBorders>
            <w:vAlign w:val="center"/>
            <w:hideMark/>
          </w:tcPr>
          <w:p w14:paraId="0ACC9B35" w14:textId="77777777" w:rsidR="005D4FCC" w:rsidRPr="005E2F89" w:rsidRDefault="005D4FCC" w:rsidP="005D4FCC">
            <w:pPr>
              <w:spacing w:line="276" w:lineRule="auto"/>
              <w:rPr>
                <w:rFonts w:ascii="Arial" w:hAnsi="Arial" w:cs="Arial"/>
                <w:color w:val="000000"/>
                <w:sz w:val="14"/>
                <w:szCs w:val="14"/>
              </w:rPr>
            </w:pPr>
          </w:p>
        </w:tc>
        <w:tc>
          <w:tcPr>
            <w:tcW w:w="625" w:type="pct"/>
            <w:vMerge/>
            <w:tcBorders>
              <w:top w:val="nil"/>
              <w:left w:val="nil"/>
              <w:bottom w:val="single" w:sz="4" w:space="0" w:color="000000"/>
              <w:right w:val="nil"/>
            </w:tcBorders>
            <w:vAlign w:val="center"/>
            <w:hideMark/>
          </w:tcPr>
          <w:p w14:paraId="666B0749" w14:textId="77777777" w:rsidR="005D4FCC" w:rsidRPr="005E2F89" w:rsidRDefault="005D4FCC" w:rsidP="005D4FCC">
            <w:pPr>
              <w:spacing w:line="276" w:lineRule="auto"/>
              <w:rPr>
                <w:rFonts w:ascii="Arial"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33035CDA"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230DEF2A"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32.4%</w:t>
            </w:r>
          </w:p>
        </w:tc>
        <w:tc>
          <w:tcPr>
            <w:tcW w:w="550" w:type="pct"/>
            <w:tcBorders>
              <w:top w:val="nil"/>
              <w:left w:val="nil"/>
              <w:bottom w:val="nil"/>
              <w:right w:val="nil"/>
            </w:tcBorders>
            <w:shd w:val="clear" w:color="auto" w:fill="auto"/>
            <w:noWrap/>
            <w:vAlign w:val="center"/>
            <w:hideMark/>
          </w:tcPr>
          <w:p w14:paraId="689CDB2C"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21.8% - 37.1%</w:t>
            </w:r>
          </w:p>
        </w:tc>
        <w:tc>
          <w:tcPr>
            <w:tcW w:w="550" w:type="pct"/>
            <w:tcBorders>
              <w:top w:val="nil"/>
              <w:left w:val="nil"/>
              <w:bottom w:val="nil"/>
              <w:right w:val="nil"/>
            </w:tcBorders>
            <w:shd w:val="clear" w:color="auto" w:fill="auto"/>
            <w:noWrap/>
            <w:vAlign w:val="center"/>
            <w:hideMark/>
          </w:tcPr>
          <w:p w14:paraId="64911AAC"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2.5%</w:t>
            </w:r>
          </w:p>
        </w:tc>
        <w:tc>
          <w:tcPr>
            <w:tcW w:w="550" w:type="pct"/>
            <w:tcBorders>
              <w:top w:val="nil"/>
              <w:left w:val="nil"/>
              <w:bottom w:val="nil"/>
              <w:right w:val="nil"/>
            </w:tcBorders>
            <w:shd w:val="clear" w:color="auto" w:fill="auto"/>
            <w:noWrap/>
            <w:vAlign w:val="center"/>
            <w:hideMark/>
          </w:tcPr>
          <w:p w14:paraId="2DB923B5"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1.2% - 4.2%</w:t>
            </w:r>
          </w:p>
        </w:tc>
        <w:tc>
          <w:tcPr>
            <w:tcW w:w="550" w:type="pct"/>
            <w:tcBorders>
              <w:top w:val="nil"/>
              <w:left w:val="nil"/>
              <w:bottom w:val="nil"/>
              <w:right w:val="nil"/>
            </w:tcBorders>
            <w:shd w:val="clear" w:color="auto" w:fill="auto"/>
            <w:noWrap/>
            <w:vAlign w:val="center"/>
            <w:hideMark/>
          </w:tcPr>
          <w:p w14:paraId="329BADD2"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5.5%</w:t>
            </w:r>
          </w:p>
        </w:tc>
        <w:tc>
          <w:tcPr>
            <w:tcW w:w="550" w:type="pct"/>
            <w:tcBorders>
              <w:top w:val="nil"/>
              <w:left w:val="nil"/>
              <w:bottom w:val="nil"/>
              <w:right w:val="nil"/>
            </w:tcBorders>
            <w:shd w:val="clear" w:color="auto" w:fill="auto"/>
            <w:noWrap/>
            <w:vAlign w:val="center"/>
            <w:hideMark/>
          </w:tcPr>
          <w:p w14:paraId="19682DAE"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4% - 7.4%</w:t>
            </w:r>
          </w:p>
        </w:tc>
      </w:tr>
      <w:tr w:rsidR="005D4FCC" w:rsidRPr="005E2F89" w14:paraId="5C69BEE8" w14:textId="77777777" w:rsidTr="004D4519">
        <w:trPr>
          <w:trHeight w:val="397"/>
        </w:trPr>
        <w:tc>
          <w:tcPr>
            <w:tcW w:w="588" w:type="pct"/>
            <w:vMerge/>
            <w:tcBorders>
              <w:top w:val="nil"/>
              <w:left w:val="nil"/>
              <w:bottom w:val="single" w:sz="4" w:space="0" w:color="000000"/>
              <w:right w:val="nil"/>
            </w:tcBorders>
            <w:vAlign w:val="center"/>
            <w:hideMark/>
          </w:tcPr>
          <w:p w14:paraId="286ED711" w14:textId="77777777" w:rsidR="005D4FCC" w:rsidRPr="005E2F89" w:rsidRDefault="005D4FCC" w:rsidP="005D4FCC">
            <w:pPr>
              <w:spacing w:line="276" w:lineRule="auto"/>
              <w:rPr>
                <w:rFonts w:ascii="Arial" w:hAnsi="Arial" w:cs="Arial"/>
                <w:color w:val="000000"/>
                <w:sz w:val="14"/>
                <w:szCs w:val="14"/>
              </w:rPr>
            </w:pPr>
          </w:p>
        </w:tc>
        <w:tc>
          <w:tcPr>
            <w:tcW w:w="625" w:type="pct"/>
            <w:vMerge/>
            <w:tcBorders>
              <w:top w:val="nil"/>
              <w:left w:val="nil"/>
              <w:bottom w:val="single" w:sz="4" w:space="0" w:color="000000"/>
              <w:right w:val="nil"/>
            </w:tcBorders>
            <w:vAlign w:val="center"/>
            <w:hideMark/>
          </w:tcPr>
          <w:p w14:paraId="3F3D8224" w14:textId="77777777" w:rsidR="005D4FCC" w:rsidRPr="005E2F89" w:rsidRDefault="005D4FCC" w:rsidP="005D4FCC">
            <w:pPr>
              <w:spacing w:line="276" w:lineRule="auto"/>
              <w:rPr>
                <w:rFonts w:ascii="Arial" w:hAnsi="Arial"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35B66630"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317B0160"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51.1%</w:t>
            </w:r>
          </w:p>
        </w:tc>
        <w:tc>
          <w:tcPr>
            <w:tcW w:w="550" w:type="pct"/>
            <w:tcBorders>
              <w:top w:val="nil"/>
              <w:left w:val="nil"/>
              <w:bottom w:val="single" w:sz="4" w:space="0" w:color="auto"/>
              <w:right w:val="nil"/>
            </w:tcBorders>
            <w:shd w:val="clear" w:color="auto" w:fill="auto"/>
            <w:noWrap/>
            <w:vAlign w:val="center"/>
            <w:hideMark/>
          </w:tcPr>
          <w:p w14:paraId="56F093B8"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33.3% - 58.8%</w:t>
            </w:r>
          </w:p>
        </w:tc>
        <w:tc>
          <w:tcPr>
            <w:tcW w:w="550" w:type="pct"/>
            <w:tcBorders>
              <w:top w:val="nil"/>
              <w:left w:val="nil"/>
              <w:bottom w:val="single" w:sz="4" w:space="0" w:color="auto"/>
              <w:right w:val="nil"/>
            </w:tcBorders>
            <w:shd w:val="clear" w:color="auto" w:fill="auto"/>
            <w:noWrap/>
            <w:vAlign w:val="center"/>
            <w:hideMark/>
          </w:tcPr>
          <w:p w14:paraId="665FDD7F"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19.9%</w:t>
            </w:r>
          </w:p>
        </w:tc>
        <w:tc>
          <w:tcPr>
            <w:tcW w:w="550" w:type="pct"/>
            <w:tcBorders>
              <w:top w:val="nil"/>
              <w:left w:val="nil"/>
              <w:bottom w:val="single" w:sz="4" w:space="0" w:color="auto"/>
              <w:right w:val="nil"/>
            </w:tcBorders>
            <w:shd w:val="clear" w:color="auto" w:fill="auto"/>
            <w:noWrap/>
            <w:vAlign w:val="center"/>
            <w:hideMark/>
          </w:tcPr>
          <w:p w14:paraId="06C1414F"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0% - 29.2%</w:t>
            </w:r>
          </w:p>
        </w:tc>
        <w:tc>
          <w:tcPr>
            <w:tcW w:w="550" w:type="pct"/>
            <w:tcBorders>
              <w:top w:val="nil"/>
              <w:left w:val="nil"/>
              <w:bottom w:val="single" w:sz="4" w:space="0" w:color="auto"/>
              <w:right w:val="nil"/>
            </w:tcBorders>
            <w:shd w:val="clear" w:color="auto" w:fill="auto"/>
            <w:noWrap/>
            <w:vAlign w:val="center"/>
            <w:hideMark/>
          </w:tcPr>
          <w:p w14:paraId="3EF323F4"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13.2%</w:t>
            </w:r>
          </w:p>
        </w:tc>
        <w:tc>
          <w:tcPr>
            <w:tcW w:w="550" w:type="pct"/>
            <w:tcBorders>
              <w:top w:val="nil"/>
              <w:left w:val="nil"/>
              <w:bottom w:val="single" w:sz="4" w:space="0" w:color="auto"/>
              <w:right w:val="nil"/>
            </w:tcBorders>
            <w:shd w:val="clear" w:color="auto" w:fill="auto"/>
            <w:noWrap/>
            <w:vAlign w:val="center"/>
            <w:hideMark/>
          </w:tcPr>
          <w:p w14:paraId="10B72095"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0.1% - 27.1%</w:t>
            </w:r>
          </w:p>
        </w:tc>
      </w:tr>
      <w:tr w:rsidR="005D4FCC" w:rsidRPr="005E2F89" w14:paraId="06D0BA38" w14:textId="77777777" w:rsidTr="004D4519">
        <w:trPr>
          <w:trHeight w:val="397"/>
        </w:trPr>
        <w:tc>
          <w:tcPr>
            <w:tcW w:w="588" w:type="pct"/>
            <w:vMerge/>
            <w:tcBorders>
              <w:top w:val="nil"/>
              <w:left w:val="nil"/>
              <w:bottom w:val="single" w:sz="4" w:space="0" w:color="000000"/>
              <w:right w:val="nil"/>
            </w:tcBorders>
            <w:vAlign w:val="center"/>
            <w:hideMark/>
          </w:tcPr>
          <w:p w14:paraId="5FCDAEC2" w14:textId="77777777" w:rsidR="005D4FCC" w:rsidRPr="005E2F89" w:rsidRDefault="005D4FCC" w:rsidP="005D4FCC">
            <w:pPr>
              <w:spacing w:line="276" w:lineRule="auto"/>
              <w:rPr>
                <w:rFonts w:ascii="Arial" w:hAnsi="Arial" w:cs="Arial"/>
                <w:color w:val="000000"/>
                <w:sz w:val="14"/>
                <w:szCs w:val="14"/>
              </w:rPr>
            </w:pPr>
          </w:p>
        </w:tc>
        <w:tc>
          <w:tcPr>
            <w:tcW w:w="625" w:type="pct"/>
            <w:vMerge w:val="restart"/>
            <w:tcBorders>
              <w:top w:val="nil"/>
              <w:left w:val="nil"/>
              <w:bottom w:val="single" w:sz="4" w:space="0" w:color="000000"/>
              <w:right w:val="nil"/>
            </w:tcBorders>
            <w:shd w:val="clear" w:color="auto" w:fill="auto"/>
            <w:noWrap/>
            <w:vAlign w:val="center"/>
            <w:hideMark/>
          </w:tcPr>
          <w:p w14:paraId="70B63891"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&gt;64y</w:t>
            </w:r>
          </w:p>
        </w:tc>
        <w:tc>
          <w:tcPr>
            <w:tcW w:w="488" w:type="pct"/>
            <w:tcBorders>
              <w:top w:val="nil"/>
              <w:left w:val="nil"/>
              <w:bottom w:val="nil"/>
              <w:right w:val="nil"/>
            </w:tcBorders>
            <w:shd w:val="clear" w:color="auto" w:fill="auto"/>
            <w:noWrap/>
            <w:vAlign w:val="center"/>
            <w:hideMark/>
          </w:tcPr>
          <w:p w14:paraId="19A508B1"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6B4B2512"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6.6%</w:t>
            </w:r>
          </w:p>
        </w:tc>
        <w:tc>
          <w:tcPr>
            <w:tcW w:w="550" w:type="pct"/>
            <w:tcBorders>
              <w:top w:val="nil"/>
              <w:left w:val="nil"/>
              <w:bottom w:val="nil"/>
              <w:right w:val="nil"/>
            </w:tcBorders>
            <w:shd w:val="clear" w:color="auto" w:fill="auto"/>
            <w:noWrap/>
            <w:vAlign w:val="center"/>
            <w:hideMark/>
          </w:tcPr>
          <w:p w14:paraId="3CDA1B46"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5.3% - 8.2%</w:t>
            </w:r>
          </w:p>
        </w:tc>
        <w:tc>
          <w:tcPr>
            <w:tcW w:w="550" w:type="pct"/>
            <w:tcBorders>
              <w:top w:val="nil"/>
              <w:left w:val="nil"/>
              <w:bottom w:val="nil"/>
              <w:right w:val="nil"/>
            </w:tcBorders>
            <w:shd w:val="clear" w:color="auto" w:fill="auto"/>
            <w:noWrap/>
            <w:vAlign w:val="center"/>
            <w:hideMark/>
          </w:tcPr>
          <w:p w14:paraId="16553076"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1.8%</w:t>
            </w:r>
          </w:p>
        </w:tc>
        <w:tc>
          <w:tcPr>
            <w:tcW w:w="550" w:type="pct"/>
            <w:tcBorders>
              <w:top w:val="nil"/>
              <w:left w:val="nil"/>
              <w:bottom w:val="nil"/>
              <w:right w:val="nil"/>
            </w:tcBorders>
            <w:shd w:val="clear" w:color="auto" w:fill="auto"/>
            <w:noWrap/>
            <w:vAlign w:val="center"/>
            <w:hideMark/>
          </w:tcPr>
          <w:p w14:paraId="5D30E526"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1.2% - 2.7%</w:t>
            </w:r>
          </w:p>
        </w:tc>
        <w:tc>
          <w:tcPr>
            <w:tcW w:w="550" w:type="pct"/>
            <w:tcBorders>
              <w:top w:val="nil"/>
              <w:left w:val="nil"/>
              <w:bottom w:val="nil"/>
              <w:right w:val="nil"/>
            </w:tcBorders>
            <w:shd w:val="clear" w:color="auto" w:fill="auto"/>
            <w:noWrap/>
            <w:vAlign w:val="center"/>
            <w:hideMark/>
          </w:tcPr>
          <w:p w14:paraId="37D3CB2E"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25.2%</w:t>
            </w:r>
          </w:p>
        </w:tc>
        <w:tc>
          <w:tcPr>
            <w:tcW w:w="550" w:type="pct"/>
            <w:tcBorders>
              <w:top w:val="nil"/>
              <w:left w:val="nil"/>
              <w:bottom w:val="nil"/>
              <w:right w:val="nil"/>
            </w:tcBorders>
            <w:shd w:val="clear" w:color="auto" w:fill="auto"/>
            <w:noWrap/>
            <w:vAlign w:val="center"/>
            <w:hideMark/>
          </w:tcPr>
          <w:p w14:paraId="53267E86"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17.1% - 41.5%</w:t>
            </w:r>
          </w:p>
        </w:tc>
      </w:tr>
      <w:tr w:rsidR="005D4FCC" w:rsidRPr="005E2F89" w14:paraId="360FAF98" w14:textId="77777777" w:rsidTr="004D4519">
        <w:trPr>
          <w:trHeight w:val="397"/>
        </w:trPr>
        <w:tc>
          <w:tcPr>
            <w:tcW w:w="588" w:type="pct"/>
            <w:vMerge/>
            <w:tcBorders>
              <w:top w:val="nil"/>
              <w:left w:val="nil"/>
              <w:bottom w:val="single" w:sz="4" w:space="0" w:color="000000"/>
              <w:right w:val="nil"/>
            </w:tcBorders>
            <w:vAlign w:val="center"/>
            <w:hideMark/>
          </w:tcPr>
          <w:p w14:paraId="10849A2A" w14:textId="77777777" w:rsidR="005D4FCC" w:rsidRPr="005E2F89" w:rsidRDefault="005D4FCC" w:rsidP="005D4FCC">
            <w:pPr>
              <w:spacing w:line="276" w:lineRule="auto"/>
              <w:rPr>
                <w:rFonts w:ascii="Arial" w:hAnsi="Arial" w:cs="Arial"/>
                <w:color w:val="000000"/>
                <w:sz w:val="14"/>
                <w:szCs w:val="14"/>
              </w:rPr>
            </w:pPr>
          </w:p>
        </w:tc>
        <w:tc>
          <w:tcPr>
            <w:tcW w:w="625" w:type="pct"/>
            <w:vMerge/>
            <w:tcBorders>
              <w:top w:val="nil"/>
              <w:left w:val="nil"/>
              <w:bottom w:val="single" w:sz="4" w:space="0" w:color="000000"/>
              <w:right w:val="nil"/>
            </w:tcBorders>
            <w:vAlign w:val="center"/>
            <w:hideMark/>
          </w:tcPr>
          <w:p w14:paraId="4A1AE9FD" w14:textId="77777777" w:rsidR="005D4FCC" w:rsidRPr="005E2F89" w:rsidRDefault="005D4FCC" w:rsidP="005D4FCC">
            <w:pPr>
              <w:spacing w:line="276" w:lineRule="auto"/>
              <w:rPr>
                <w:rFonts w:ascii="Arial"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058F799D"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6C392252"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5.9%</w:t>
            </w:r>
          </w:p>
        </w:tc>
        <w:tc>
          <w:tcPr>
            <w:tcW w:w="550" w:type="pct"/>
            <w:tcBorders>
              <w:top w:val="nil"/>
              <w:left w:val="nil"/>
              <w:bottom w:val="nil"/>
              <w:right w:val="nil"/>
            </w:tcBorders>
            <w:shd w:val="clear" w:color="auto" w:fill="auto"/>
            <w:noWrap/>
            <w:vAlign w:val="center"/>
            <w:hideMark/>
          </w:tcPr>
          <w:p w14:paraId="66E69D05"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4.7% - 6.7%</w:t>
            </w:r>
          </w:p>
        </w:tc>
        <w:tc>
          <w:tcPr>
            <w:tcW w:w="550" w:type="pct"/>
            <w:tcBorders>
              <w:top w:val="nil"/>
              <w:left w:val="nil"/>
              <w:bottom w:val="nil"/>
              <w:right w:val="nil"/>
            </w:tcBorders>
            <w:shd w:val="clear" w:color="auto" w:fill="auto"/>
            <w:noWrap/>
            <w:vAlign w:val="center"/>
            <w:hideMark/>
          </w:tcPr>
          <w:p w14:paraId="3822C520"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1.5%</w:t>
            </w:r>
          </w:p>
        </w:tc>
        <w:tc>
          <w:tcPr>
            <w:tcW w:w="550" w:type="pct"/>
            <w:tcBorders>
              <w:top w:val="nil"/>
              <w:left w:val="nil"/>
              <w:bottom w:val="nil"/>
              <w:right w:val="nil"/>
            </w:tcBorders>
            <w:shd w:val="clear" w:color="auto" w:fill="auto"/>
            <w:noWrap/>
            <w:vAlign w:val="center"/>
            <w:hideMark/>
          </w:tcPr>
          <w:p w14:paraId="28F11D37"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1.1% - 2.4%</w:t>
            </w:r>
          </w:p>
        </w:tc>
        <w:tc>
          <w:tcPr>
            <w:tcW w:w="550" w:type="pct"/>
            <w:tcBorders>
              <w:top w:val="nil"/>
              <w:left w:val="nil"/>
              <w:bottom w:val="nil"/>
              <w:right w:val="nil"/>
            </w:tcBorders>
            <w:shd w:val="clear" w:color="auto" w:fill="auto"/>
            <w:noWrap/>
            <w:vAlign w:val="center"/>
            <w:hideMark/>
          </w:tcPr>
          <w:p w14:paraId="44FA907C"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25.2%</w:t>
            </w:r>
          </w:p>
        </w:tc>
        <w:tc>
          <w:tcPr>
            <w:tcW w:w="550" w:type="pct"/>
            <w:tcBorders>
              <w:top w:val="nil"/>
              <w:left w:val="nil"/>
              <w:bottom w:val="nil"/>
              <w:right w:val="nil"/>
            </w:tcBorders>
            <w:shd w:val="clear" w:color="auto" w:fill="auto"/>
            <w:noWrap/>
            <w:vAlign w:val="center"/>
            <w:hideMark/>
          </w:tcPr>
          <w:p w14:paraId="5B85C627"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19.8% - 39.5%</w:t>
            </w:r>
          </w:p>
        </w:tc>
      </w:tr>
      <w:tr w:rsidR="005D4FCC" w:rsidRPr="005E2F89" w14:paraId="2A227324" w14:textId="77777777" w:rsidTr="004D4519">
        <w:trPr>
          <w:trHeight w:val="397"/>
        </w:trPr>
        <w:tc>
          <w:tcPr>
            <w:tcW w:w="588" w:type="pct"/>
            <w:vMerge/>
            <w:tcBorders>
              <w:top w:val="nil"/>
              <w:left w:val="nil"/>
              <w:bottom w:val="single" w:sz="4" w:space="0" w:color="000000"/>
              <w:right w:val="nil"/>
            </w:tcBorders>
            <w:vAlign w:val="center"/>
            <w:hideMark/>
          </w:tcPr>
          <w:p w14:paraId="12D02380" w14:textId="77777777" w:rsidR="005D4FCC" w:rsidRPr="005E2F89" w:rsidRDefault="005D4FCC" w:rsidP="005D4FCC">
            <w:pPr>
              <w:spacing w:line="276" w:lineRule="auto"/>
              <w:rPr>
                <w:rFonts w:ascii="Arial" w:hAnsi="Arial" w:cs="Arial"/>
                <w:color w:val="000000"/>
                <w:sz w:val="14"/>
                <w:szCs w:val="14"/>
              </w:rPr>
            </w:pPr>
          </w:p>
        </w:tc>
        <w:tc>
          <w:tcPr>
            <w:tcW w:w="625" w:type="pct"/>
            <w:vMerge/>
            <w:tcBorders>
              <w:top w:val="nil"/>
              <w:left w:val="nil"/>
              <w:bottom w:val="single" w:sz="4" w:space="0" w:color="000000"/>
              <w:right w:val="nil"/>
            </w:tcBorders>
            <w:vAlign w:val="center"/>
            <w:hideMark/>
          </w:tcPr>
          <w:p w14:paraId="55EEB1B3" w14:textId="77777777" w:rsidR="005D4FCC" w:rsidRPr="005E2F89" w:rsidRDefault="005D4FCC" w:rsidP="005D4FCC">
            <w:pPr>
              <w:spacing w:line="276" w:lineRule="auto"/>
              <w:rPr>
                <w:rFonts w:ascii="Arial"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412415D1"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2065BB15"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0.5%</w:t>
            </w:r>
          </w:p>
        </w:tc>
        <w:tc>
          <w:tcPr>
            <w:tcW w:w="550" w:type="pct"/>
            <w:tcBorders>
              <w:top w:val="nil"/>
              <w:left w:val="nil"/>
              <w:bottom w:val="nil"/>
              <w:right w:val="nil"/>
            </w:tcBorders>
            <w:shd w:val="clear" w:color="auto" w:fill="auto"/>
            <w:noWrap/>
            <w:vAlign w:val="center"/>
            <w:hideMark/>
          </w:tcPr>
          <w:p w14:paraId="79C6EB65"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0.3% - 1.5%</w:t>
            </w:r>
          </w:p>
        </w:tc>
        <w:tc>
          <w:tcPr>
            <w:tcW w:w="550" w:type="pct"/>
            <w:tcBorders>
              <w:top w:val="nil"/>
              <w:left w:val="nil"/>
              <w:bottom w:val="nil"/>
              <w:right w:val="nil"/>
            </w:tcBorders>
            <w:shd w:val="clear" w:color="auto" w:fill="auto"/>
            <w:noWrap/>
            <w:vAlign w:val="center"/>
            <w:hideMark/>
          </w:tcPr>
          <w:p w14:paraId="5F416891"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0.0%</w:t>
            </w:r>
          </w:p>
        </w:tc>
        <w:tc>
          <w:tcPr>
            <w:tcW w:w="550" w:type="pct"/>
            <w:tcBorders>
              <w:top w:val="nil"/>
              <w:left w:val="nil"/>
              <w:bottom w:val="nil"/>
              <w:right w:val="nil"/>
            </w:tcBorders>
            <w:shd w:val="clear" w:color="auto" w:fill="auto"/>
            <w:noWrap/>
            <w:vAlign w:val="center"/>
            <w:hideMark/>
          </w:tcPr>
          <w:p w14:paraId="6B556BA6"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0% - 0.2%</w:t>
            </w:r>
          </w:p>
        </w:tc>
        <w:tc>
          <w:tcPr>
            <w:tcW w:w="550" w:type="pct"/>
            <w:tcBorders>
              <w:top w:val="nil"/>
              <w:left w:val="nil"/>
              <w:bottom w:val="nil"/>
              <w:right w:val="nil"/>
            </w:tcBorders>
            <w:shd w:val="clear" w:color="auto" w:fill="auto"/>
            <w:noWrap/>
            <w:vAlign w:val="center"/>
            <w:hideMark/>
          </w:tcPr>
          <w:p w14:paraId="470FAB80"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8.5%</w:t>
            </w:r>
          </w:p>
        </w:tc>
        <w:tc>
          <w:tcPr>
            <w:tcW w:w="550" w:type="pct"/>
            <w:tcBorders>
              <w:top w:val="nil"/>
              <w:left w:val="nil"/>
              <w:bottom w:val="nil"/>
              <w:right w:val="nil"/>
            </w:tcBorders>
            <w:shd w:val="clear" w:color="auto" w:fill="auto"/>
            <w:noWrap/>
            <w:vAlign w:val="center"/>
            <w:hideMark/>
          </w:tcPr>
          <w:p w14:paraId="3F33326E"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5.5% - 11.9%</w:t>
            </w:r>
          </w:p>
        </w:tc>
      </w:tr>
      <w:tr w:rsidR="005D4FCC" w:rsidRPr="005E2F89" w14:paraId="6B004B08" w14:textId="77777777" w:rsidTr="004D4519">
        <w:trPr>
          <w:trHeight w:val="397"/>
        </w:trPr>
        <w:tc>
          <w:tcPr>
            <w:tcW w:w="588" w:type="pct"/>
            <w:vMerge/>
            <w:tcBorders>
              <w:top w:val="nil"/>
              <w:left w:val="nil"/>
              <w:bottom w:val="single" w:sz="4" w:space="0" w:color="000000"/>
              <w:right w:val="nil"/>
            </w:tcBorders>
            <w:vAlign w:val="center"/>
            <w:hideMark/>
          </w:tcPr>
          <w:p w14:paraId="06A7E301" w14:textId="77777777" w:rsidR="005D4FCC" w:rsidRPr="005E2F89" w:rsidRDefault="005D4FCC" w:rsidP="005D4FCC">
            <w:pPr>
              <w:spacing w:line="276" w:lineRule="auto"/>
              <w:rPr>
                <w:rFonts w:ascii="Arial" w:hAnsi="Arial" w:cs="Arial"/>
                <w:color w:val="000000"/>
                <w:sz w:val="14"/>
                <w:szCs w:val="14"/>
              </w:rPr>
            </w:pPr>
          </w:p>
        </w:tc>
        <w:tc>
          <w:tcPr>
            <w:tcW w:w="625" w:type="pct"/>
            <w:vMerge/>
            <w:tcBorders>
              <w:top w:val="nil"/>
              <w:left w:val="nil"/>
              <w:bottom w:val="single" w:sz="4" w:space="0" w:color="000000"/>
              <w:right w:val="nil"/>
            </w:tcBorders>
            <w:vAlign w:val="center"/>
            <w:hideMark/>
          </w:tcPr>
          <w:p w14:paraId="71BC564E" w14:textId="77777777" w:rsidR="005D4FCC" w:rsidRPr="005E2F89" w:rsidRDefault="005D4FCC" w:rsidP="005D4FCC">
            <w:pPr>
              <w:spacing w:line="276" w:lineRule="auto"/>
              <w:rPr>
                <w:rFonts w:ascii="Arial" w:hAnsi="Arial"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6147F056" w14:textId="77777777" w:rsidR="005D4FCC" w:rsidRPr="005E2F89" w:rsidRDefault="005D4FCC" w:rsidP="005D4FCC">
            <w:pPr>
              <w:spacing w:line="276" w:lineRule="auto"/>
              <w:rPr>
                <w:rFonts w:ascii="Arial" w:hAnsi="Arial" w:cs="Arial"/>
                <w:color w:val="000000"/>
                <w:sz w:val="14"/>
                <w:szCs w:val="14"/>
              </w:rPr>
            </w:pPr>
            <w:r w:rsidRPr="005E2F89">
              <w:rPr>
                <w:rFonts w:ascii="Arial" w:hAnsi="Arial"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1FDBF2C7"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12.3%</w:t>
            </w:r>
          </w:p>
        </w:tc>
        <w:tc>
          <w:tcPr>
            <w:tcW w:w="550" w:type="pct"/>
            <w:tcBorders>
              <w:top w:val="nil"/>
              <w:left w:val="nil"/>
              <w:bottom w:val="single" w:sz="4" w:space="0" w:color="auto"/>
              <w:right w:val="nil"/>
            </w:tcBorders>
            <w:shd w:val="clear" w:color="auto" w:fill="auto"/>
            <w:noWrap/>
            <w:vAlign w:val="center"/>
            <w:hideMark/>
          </w:tcPr>
          <w:p w14:paraId="53FD8679"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8.3% - 17.4%</w:t>
            </w:r>
          </w:p>
        </w:tc>
        <w:tc>
          <w:tcPr>
            <w:tcW w:w="550" w:type="pct"/>
            <w:tcBorders>
              <w:top w:val="nil"/>
              <w:left w:val="nil"/>
              <w:bottom w:val="single" w:sz="4" w:space="0" w:color="auto"/>
              <w:right w:val="nil"/>
            </w:tcBorders>
            <w:shd w:val="clear" w:color="auto" w:fill="auto"/>
            <w:noWrap/>
            <w:vAlign w:val="center"/>
            <w:hideMark/>
          </w:tcPr>
          <w:p w14:paraId="401CA30E"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3.7%</w:t>
            </w:r>
          </w:p>
        </w:tc>
        <w:tc>
          <w:tcPr>
            <w:tcW w:w="550" w:type="pct"/>
            <w:tcBorders>
              <w:top w:val="nil"/>
              <w:left w:val="nil"/>
              <w:bottom w:val="single" w:sz="4" w:space="0" w:color="auto"/>
              <w:right w:val="nil"/>
            </w:tcBorders>
            <w:shd w:val="clear" w:color="auto" w:fill="auto"/>
            <w:noWrap/>
            <w:vAlign w:val="center"/>
            <w:hideMark/>
          </w:tcPr>
          <w:p w14:paraId="25A8146C"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0% - 5.7%</w:t>
            </w:r>
          </w:p>
        </w:tc>
        <w:tc>
          <w:tcPr>
            <w:tcW w:w="550" w:type="pct"/>
            <w:tcBorders>
              <w:top w:val="nil"/>
              <w:left w:val="nil"/>
              <w:bottom w:val="single" w:sz="4" w:space="0" w:color="auto"/>
              <w:right w:val="nil"/>
            </w:tcBorders>
            <w:shd w:val="clear" w:color="auto" w:fill="auto"/>
            <w:noWrap/>
            <w:vAlign w:val="center"/>
            <w:hideMark/>
          </w:tcPr>
          <w:p w14:paraId="3C243FE3"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29.3%</w:t>
            </w:r>
          </w:p>
        </w:tc>
        <w:tc>
          <w:tcPr>
            <w:tcW w:w="550" w:type="pct"/>
            <w:tcBorders>
              <w:top w:val="nil"/>
              <w:left w:val="nil"/>
              <w:bottom w:val="single" w:sz="4" w:space="0" w:color="auto"/>
              <w:right w:val="nil"/>
            </w:tcBorders>
            <w:shd w:val="clear" w:color="auto" w:fill="auto"/>
            <w:noWrap/>
            <w:vAlign w:val="center"/>
            <w:hideMark/>
          </w:tcPr>
          <w:p w14:paraId="55B3BA56" w14:textId="77777777" w:rsidR="005D4FCC" w:rsidRPr="005E2F89" w:rsidRDefault="005D4FCC" w:rsidP="005D4FCC">
            <w:pPr>
              <w:spacing w:line="276" w:lineRule="auto"/>
              <w:jc w:val="right"/>
              <w:rPr>
                <w:rFonts w:ascii="Arial" w:hAnsi="Arial" w:cs="Arial"/>
                <w:color w:val="000000"/>
                <w:sz w:val="14"/>
                <w:szCs w:val="14"/>
              </w:rPr>
            </w:pPr>
            <w:r w:rsidRPr="005E2F89">
              <w:rPr>
                <w:rFonts w:ascii="Arial" w:hAnsi="Arial" w:cs="Arial"/>
                <w:color w:val="000000"/>
                <w:sz w:val="14"/>
                <w:szCs w:val="14"/>
              </w:rPr>
              <w:t>0.1% - 49.5%</w:t>
            </w:r>
          </w:p>
        </w:tc>
      </w:tr>
    </w:tbl>
    <w:p w14:paraId="054B714A" w14:textId="77777777" w:rsidR="005D4FCC" w:rsidRDefault="005D4FCC" w:rsidP="005D4FCC"/>
    <w:p w14:paraId="71D206E5" w14:textId="3A45CF44" w:rsidR="005D4FCC" w:rsidRDefault="005D4FCC" w:rsidP="005D4FCC">
      <w:pPr>
        <w:rPr>
          <w:lang w:val="en-US"/>
        </w:rPr>
      </w:pPr>
      <w:r w:rsidRPr="00F04787">
        <w:br w:type="page"/>
      </w:r>
    </w:p>
    <w:p w14:paraId="6E1C2D79" w14:textId="77777777" w:rsidR="005D4FCC" w:rsidRDefault="005D4FCC" w:rsidP="00D632DA">
      <w:pPr>
        <w:rPr>
          <w:lang w:val="en-US"/>
        </w:rPr>
      </w:pPr>
    </w:p>
    <w:p w14:paraId="349401CA" w14:textId="77777777" w:rsidR="00672C69" w:rsidRPr="005247CB" w:rsidRDefault="00672C69" w:rsidP="00672C69">
      <w:pPr>
        <w:pStyle w:val="Heading1"/>
      </w:pPr>
      <w:r w:rsidRPr="005247CB">
        <w:t>Data availability</w:t>
      </w:r>
    </w:p>
    <w:p w14:paraId="2D156239" w14:textId="77777777" w:rsidR="00672C69" w:rsidRPr="005247CB" w:rsidRDefault="00672C69" w:rsidP="00672C69">
      <w:pPr>
        <w:rPr>
          <w:lang w:val="en-US"/>
        </w:rPr>
      </w:pPr>
      <w:r w:rsidRPr="005247CB">
        <w:rPr>
          <w:lang w:val="en-US"/>
        </w:rPr>
        <w:t>All simulation data</w:t>
      </w:r>
      <w:r>
        <w:rPr>
          <w:lang w:val="en-US"/>
        </w:rPr>
        <w:t>, model source and custom analysis codes</w:t>
      </w:r>
      <w:r w:rsidRPr="005247CB">
        <w:rPr>
          <w:lang w:val="en-US"/>
        </w:rPr>
        <w:t xml:space="preserve"> are available at </w:t>
      </w:r>
      <w:hyperlink r:id="rId25" w:history="1">
        <w:r w:rsidRPr="005247CB">
          <w:rPr>
            <w:rStyle w:val="Hyperlink"/>
          </w:rPr>
          <w:t>https://github.com/AMC-LAEB/flu-antiviral-stockpile</w:t>
        </w:r>
      </w:hyperlink>
      <w:r w:rsidRPr="005247CB">
        <w:t>.</w:t>
      </w:r>
    </w:p>
    <w:p w14:paraId="5B890261" w14:textId="77777777" w:rsidR="00672C69" w:rsidRPr="005247CB" w:rsidRDefault="00672C69" w:rsidP="00D632DA">
      <w:pPr>
        <w:rPr>
          <w:lang w:val="en-US"/>
        </w:rPr>
      </w:pPr>
    </w:p>
    <w:p w14:paraId="35F89F08" w14:textId="3354B949" w:rsidR="00DC1B32" w:rsidRPr="005247CB" w:rsidRDefault="00217EDB" w:rsidP="00DC1B32">
      <w:pPr>
        <w:pStyle w:val="Heading1"/>
      </w:pPr>
      <w:r w:rsidRPr="005247CB">
        <w:t xml:space="preserve">Contributions </w:t>
      </w:r>
    </w:p>
    <w:p w14:paraId="5FAC86A7" w14:textId="6369E93F" w:rsidR="00DC1B32" w:rsidRPr="005247CB" w:rsidRDefault="001C1B00" w:rsidP="00B60886">
      <w:r w:rsidRPr="005247CB">
        <w:t>A</w:t>
      </w:r>
      <w:r w:rsidR="00217EDB" w:rsidRPr="005247CB">
        <w:t>.</w:t>
      </w:r>
      <w:r w:rsidR="00B547CF" w:rsidRPr="005247CB">
        <w:t>X</w:t>
      </w:r>
      <w:r w:rsidR="00217EDB" w:rsidRPr="005247CB">
        <w:t>.</w:t>
      </w:r>
      <w:r w:rsidR="00B547CF" w:rsidRPr="005247CB">
        <w:t>H</w:t>
      </w:r>
      <w:r w:rsidR="00217EDB" w:rsidRPr="005247CB">
        <w:t>.</w:t>
      </w:r>
      <w:r w:rsidRPr="005247CB">
        <w:t xml:space="preserve"> and </w:t>
      </w:r>
      <w:r w:rsidR="00B547CF" w:rsidRPr="005247CB">
        <w:t>C</w:t>
      </w:r>
      <w:r w:rsidR="00217EDB" w:rsidRPr="005247CB">
        <w:t>.</w:t>
      </w:r>
      <w:r w:rsidR="00B547CF" w:rsidRPr="005247CB">
        <w:t>A</w:t>
      </w:r>
      <w:r w:rsidR="00217EDB" w:rsidRPr="005247CB">
        <w:t>.</w:t>
      </w:r>
      <w:r w:rsidR="00B547CF" w:rsidRPr="005247CB">
        <w:t>R</w:t>
      </w:r>
      <w:r w:rsidR="00217EDB" w:rsidRPr="005247CB">
        <w:t>.</w:t>
      </w:r>
      <w:r w:rsidRPr="005247CB">
        <w:t xml:space="preserve"> contributed to conceptualization</w:t>
      </w:r>
      <w:r w:rsidR="004A0A21" w:rsidRPr="005247CB">
        <w:t xml:space="preserve"> </w:t>
      </w:r>
      <w:r w:rsidR="00B547CF" w:rsidRPr="005247CB">
        <w:t>and funding acquisition</w:t>
      </w:r>
      <w:r w:rsidRPr="005247CB">
        <w:t xml:space="preserve">. </w:t>
      </w:r>
      <w:r w:rsidR="00B547CF" w:rsidRPr="005247CB">
        <w:t>A</w:t>
      </w:r>
      <w:r w:rsidR="00217EDB" w:rsidRPr="005247CB">
        <w:t>.</w:t>
      </w:r>
      <w:r w:rsidR="00B547CF" w:rsidRPr="005247CB">
        <w:t>X</w:t>
      </w:r>
      <w:r w:rsidR="00217EDB" w:rsidRPr="005247CB">
        <w:t>.</w:t>
      </w:r>
      <w:r w:rsidR="00B547CF" w:rsidRPr="005247CB">
        <w:t>H</w:t>
      </w:r>
      <w:r w:rsidR="00217EDB" w:rsidRPr="005247CB">
        <w:t>.</w:t>
      </w:r>
      <w:r w:rsidRPr="005247CB">
        <w:t xml:space="preserve"> contributed to </w:t>
      </w:r>
      <w:r w:rsidR="004A0A21" w:rsidRPr="005247CB">
        <w:t xml:space="preserve">methodology, </w:t>
      </w:r>
      <w:r w:rsidRPr="005247CB">
        <w:t>formal analysis and data curation</w:t>
      </w:r>
      <w:r w:rsidR="00B034BB" w:rsidRPr="005247CB">
        <w:t>, and wrote the original draft</w:t>
      </w:r>
      <w:r w:rsidRPr="005247CB">
        <w:t xml:space="preserve">. </w:t>
      </w:r>
      <w:r w:rsidR="00217EDB" w:rsidRPr="005247CB">
        <w:t>A.X.H.</w:t>
      </w:r>
      <w:r w:rsidR="00B547CF" w:rsidRPr="005247CB">
        <w:t>, K</w:t>
      </w:r>
      <w:r w:rsidR="00217EDB" w:rsidRPr="005247CB">
        <w:t>.</w:t>
      </w:r>
      <w:r w:rsidR="00B547CF" w:rsidRPr="005247CB">
        <w:t>D</w:t>
      </w:r>
      <w:r w:rsidR="00217EDB" w:rsidRPr="005247CB">
        <w:t>.</w:t>
      </w:r>
      <w:r w:rsidR="00B547CF" w:rsidRPr="005247CB">
        <w:t>H</w:t>
      </w:r>
      <w:r w:rsidR="00217EDB" w:rsidRPr="005247CB">
        <w:t>.</w:t>
      </w:r>
      <w:r w:rsidRPr="005247CB">
        <w:t xml:space="preserve"> and </w:t>
      </w:r>
      <w:r w:rsidR="00B547CF" w:rsidRPr="005247CB">
        <w:t>C</w:t>
      </w:r>
      <w:r w:rsidR="00217EDB" w:rsidRPr="005247CB">
        <w:t>.</w:t>
      </w:r>
      <w:r w:rsidR="00B547CF" w:rsidRPr="005247CB">
        <w:t>A</w:t>
      </w:r>
      <w:r w:rsidR="00217EDB" w:rsidRPr="005247CB">
        <w:t>.</w:t>
      </w:r>
      <w:r w:rsidR="00B547CF" w:rsidRPr="005247CB">
        <w:t>R</w:t>
      </w:r>
      <w:r w:rsidR="00217EDB" w:rsidRPr="005247CB">
        <w:t>.</w:t>
      </w:r>
      <w:r w:rsidRPr="005247CB">
        <w:t xml:space="preserve"> contributed to investigation, validation and visualization. </w:t>
      </w:r>
      <w:r w:rsidR="00B547CF" w:rsidRPr="005247CB">
        <w:t>C</w:t>
      </w:r>
      <w:r w:rsidR="00217EDB" w:rsidRPr="005247CB">
        <w:t>.</w:t>
      </w:r>
      <w:r w:rsidR="00B547CF" w:rsidRPr="005247CB">
        <w:t>A</w:t>
      </w:r>
      <w:r w:rsidR="00217EDB" w:rsidRPr="005247CB">
        <w:t>.</w:t>
      </w:r>
      <w:r w:rsidR="00B547CF" w:rsidRPr="005247CB">
        <w:t>R</w:t>
      </w:r>
      <w:r w:rsidR="00217EDB" w:rsidRPr="005247CB">
        <w:t>.</w:t>
      </w:r>
      <w:r w:rsidRPr="005247CB">
        <w:t xml:space="preserve"> provided supervision. All authors reviewed and edited the manuscript.</w:t>
      </w:r>
      <w:r w:rsidR="00DC1B32" w:rsidRPr="005247CB">
        <w:t xml:space="preserve"> </w:t>
      </w:r>
    </w:p>
    <w:p w14:paraId="40A43D47" w14:textId="77777777" w:rsidR="00DC1B32" w:rsidRPr="005247CB" w:rsidRDefault="00DC1B32" w:rsidP="00B60886"/>
    <w:p w14:paraId="14CDF02A" w14:textId="5B962158" w:rsidR="00DC1B32" w:rsidRPr="005247CB" w:rsidRDefault="00217EDB" w:rsidP="00DC1B32">
      <w:pPr>
        <w:pStyle w:val="Heading1"/>
      </w:pPr>
      <w:r w:rsidRPr="005247CB">
        <w:t>Competing interests</w:t>
      </w:r>
      <w:r w:rsidR="00DC1B32" w:rsidRPr="005247CB">
        <w:t xml:space="preserve"> </w:t>
      </w:r>
    </w:p>
    <w:p w14:paraId="35A43171" w14:textId="4EF7552D" w:rsidR="00DC1B32" w:rsidRPr="005247CB" w:rsidRDefault="00DC1B32" w:rsidP="00DC1B32">
      <w:r w:rsidRPr="005247CB">
        <w:t xml:space="preserve">We declare no competing interests. </w:t>
      </w:r>
    </w:p>
    <w:p w14:paraId="4CBCE8A5" w14:textId="77777777" w:rsidR="00DC1B32" w:rsidRPr="005247CB" w:rsidRDefault="00DC1B32" w:rsidP="00DC1B32"/>
    <w:p w14:paraId="7EC81339" w14:textId="187E114C" w:rsidR="00DC1B32" w:rsidRPr="005247CB" w:rsidRDefault="00DC1B32" w:rsidP="00F45DD5">
      <w:pPr>
        <w:pStyle w:val="Heading1"/>
      </w:pPr>
      <w:r w:rsidRPr="005247CB">
        <w:t xml:space="preserve">Acknowledgements </w:t>
      </w:r>
    </w:p>
    <w:p w14:paraId="21E9EECC" w14:textId="754BC55B" w:rsidR="00D76CAB" w:rsidRPr="005247CB" w:rsidRDefault="00260400" w:rsidP="00217EDB">
      <w:r w:rsidRPr="005247CB">
        <w:t>A</w:t>
      </w:r>
      <w:r w:rsidR="00B73CC6" w:rsidRPr="005247CB">
        <w:t>.</w:t>
      </w:r>
      <w:r w:rsidRPr="005247CB">
        <w:t>X</w:t>
      </w:r>
      <w:r w:rsidR="00B73CC6" w:rsidRPr="005247CB">
        <w:t>.</w:t>
      </w:r>
      <w:r w:rsidRPr="005247CB">
        <w:t>H</w:t>
      </w:r>
      <w:r w:rsidR="00B73CC6" w:rsidRPr="005247CB">
        <w:t>.</w:t>
      </w:r>
      <w:r w:rsidRPr="005247CB">
        <w:t xml:space="preserve">, </w:t>
      </w:r>
      <w:r w:rsidR="00B73CC6" w:rsidRPr="005247CB">
        <w:t>K.D.H.</w:t>
      </w:r>
      <w:r w:rsidRPr="005247CB">
        <w:t xml:space="preserve"> and </w:t>
      </w:r>
      <w:r w:rsidR="00B73CC6" w:rsidRPr="005247CB">
        <w:t>C.A.R.</w:t>
      </w:r>
      <w:r w:rsidRPr="005247CB">
        <w:t xml:space="preserve"> were supported by</w:t>
      </w:r>
      <w:r w:rsidR="004B74C7" w:rsidRPr="005247CB">
        <w:t xml:space="preserve"> the</w:t>
      </w:r>
      <w:r w:rsidRPr="005247CB">
        <w:t xml:space="preserve"> European Research Council NaviFlu (grant 818353).</w:t>
      </w:r>
      <w:r w:rsidR="006D45F1" w:rsidRPr="005247CB">
        <w:t xml:space="preserve"> </w:t>
      </w:r>
      <w:r w:rsidR="00B73CC6" w:rsidRPr="005247CB">
        <w:t>A.X.H.</w:t>
      </w:r>
      <w:r w:rsidR="006D45F1" w:rsidRPr="005247CB">
        <w:t xml:space="preserve"> and </w:t>
      </w:r>
      <w:r w:rsidR="00B73CC6" w:rsidRPr="005247CB">
        <w:t xml:space="preserve">C.A.R. </w:t>
      </w:r>
      <w:r w:rsidR="006D45F1" w:rsidRPr="005247CB">
        <w:t>were also supported by</w:t>
      </w:r>
      <w:r w:rsidR="004B74C7" w:rsidRPr="005247CB">
        <w:t xml:space="preserve"> the</w:t>
      </w:r>
      <w:r w:rsidR="006D45F1" w:rsidRPr="005247CB">
        <w:t xml:space="preserve"> Dutch Research Council</w:t>
      </w:r>
      <w:r w:rsidR="007B668B" w:rsidRPr="005247CB">
        <w:t xml:space="preserve"> (NWO)</w:t>
      </w:r>
      <w:r w:rsidR="006D45F1" w:rsidRPr="005247CB">
        <w:t xml:space="preserve"> Modelling for Pandemic Preparedness grant (10710062310004).</w:t>
      </w:r>
      <w:r w:rsidRPr="005247CB">
        <w:t xml:space="preserve"> </w:t>
      </w:r>
      <w:r w:rsidR="00B73CC6" w:rsidRPr="005247CB">
        <w:t>A.X.H.</w:t>
      </w:r>
      <w:r w:rsidRPr="005247CB">
        <w:t xml:space="preserve"> </w:t>
      </w:r>
      <w:r w:rsidR="00F62105" w:rsidRPr="005247CB">
        <w:t xml:space="preserve">was </w:t>
      </w:r>
      <w:r w:rsidRPr="005247CB">
        <w:t xml:space="preserve">supported by </w:t>
      </w:r>
      <w:r w:rsidR="004B74C7" w:rsidRPr="005247CB">
        <w:t>the</w:t>
      </w:r>
      <w:r w:rsidRPr="005247CB">
        <w:t xml:space="preserve"> Dutch Research Council (NWO) Veni </w:t>
      </w:r>
      <w:r w:rsidR="00F62105" w:rsidRPr="005247CB">
        <w:t xml:space="preserve">Award </w:t>
      </w:r>
      <w:r w:rsidRPr="005247CB">
        <w:t>(</w:t>
      </w:r>
      <w:r w:rsidR="006D45F1" w:rsidRPr="005247CB">
        <w:t>09150162210121</w:t>
      </w:r>
      <w:r w:rsidRPr="005247CB">
        <w:t>)</w:t>
      </w:r>
      <w:r w:rsidR="00F62105" w:rsidRPr="005247CB">
        <w:t xml:space="preserve">. </w:t>
      </w:r>
      <w:r w:rsidR="00B73CC6" w:rsidRPr="005247CB">
        <w:t>C.A.R.</w:t>
      </w:r>
      <w:r w:rsidR="00F62105" w:rsidRPr="005247CB">
        <w:t xml:space="preserve"> was supported by </w:t>
      </w:r>
      <w:r w:rsidR="004B74C7" w:rsidRPr="005247CB">
        <w:t>the</w:t>
      </w:r>
      <w:r w:rsidR="00F62105" w:rsidRPr="005247CB">
        <w:t xml:space="preserve"> Dutch Research </w:t>
      </w:r>
      <w:bookmarkStart w:id="8" w:name="_GoBack"/>
      <w:bookmarkEnd w:id="8"/>
      <w:r w:rsidR="00F62105" w:rsidRPr="005247CB">
        <w:t xml:space="preserve">Council (NWO) </w:t>
      </w:r>
      <w:r w:rsidRPr="005247CB">
        <w:t>Vici Award (09150182010027).</w:t>
      </w:r>
      <w:r w:rsidR="006D45F1" w:rsidRPr="005247CB">
        <w:t xml:space="preserve"> </w:t>
      </w:r>
      <w:r w:rsidR="00D76CAB" w:rsidRPr="005247CB">
        <w:br w:type="page"/>
      </w:r>
    </w:p>
    <w:p w14:paraId="38CF93D8" w14:textId="551BADDE" w:rsidR="00BA7109" w:rsidRPr="005247CB" w:rsidRDefault="00D326D1" w:rsidP="00344AD1">
      <w:pPr>
        <w:pStyle w:val="Heading1"/>
      </w:pPr>
      <w:r w:rsidRPr="005247CB">
        <w:lastRenderedPageBreak/>
        <w:t>References</w:t>
      </w:r>
    </w:p>
    <w:p w14:paraId="3CD6113A" w14:textId="77777777" w:rsidR="00980AE9" w:rsidRPr="00980AE9" w:rsidRDefault="0044448D" w:rsidP="000945AC">
      <w:pPr>
        <w:pStyle w:val="Bibliography"/>
        <w:spacing w:after="120"/>
        <w:ind w:left="0" w:firstLine="0"/>
        <w:rPr>
          <w:lang w:val="en-US"/>
        </w:rPr>
      </w:pPr>
      <w:r w:rsidRPr="005247CB">
        <w:rPr>
          <w:lang w:val="en-US"/>
        </w:rPr>
        <w:fldChar w:fldCharType="begin"/>
      </w:r>
      <w:r w:rsidR="00980AE9">
        <w:rPr>
          <w:lang w:val="en-US"/>
        </w:rPr>
        <w:instrText xml:space="preserve"> ADDIN ZOTERO_BIBL {"uncited":[],"omitted":[],"custom":[]} CSL_BIBLIOGRAPHY </w:instrText>
      </w:r>
      <w:r w:rsidRPr="005247CB">
        <w:rPr>
          <w:lang w:val="en-US"/>
        </w:rPr>
        <w:fldChar w:fldCharType="separate"/>
      </w:r>
      <w:r w:rsidR="00980AE9" w:rsidRPr="00980AE9">
        <w:rPr>
          <w:lang w:val="en-US"/>
        </w:rPr>
        <w:t xml:space="preserve">Andrew Gelman, Aleks Jakulin, Maria Grazia Pittau, Yu-Sung Su. 2008. A weakly informative default prior distribution for logistic and other regression models. </w:t>
      </w:r>
      <w:r w:rsidR="00980AE9" w:rsidRPr="00980AE9">
        <w:rPr>
          <w:i/>
          <w:iCs/>
          <w:lang w:val="en-US"/>
        </w:rPr>
        <w:t>Ann Appl Stat</w:t>
      </w:r>
      <w:r w:rsidR="00980AE9" w:rsidRPr="00980AE9">
        <w:rPr>
          <w:lang w:val="en-US"/>
        </w:rPr>
        <w:t xml:space="preserve"> </w:t>
      </w:r>
      <w:r w:rsidR="00980AE9" w:rsidRPr="00980AE9">
        <w:rPr>
          <w:b/>
          <w:bCs/>
          <w:lang w:val="en-US"/>
        </w:rPr>
        <w:t>2</w:t>
      </w:r>
      <w:r w:rsidR="00980AE9" w:rsidRPr="00980AE9">
        <w:rPr>
          <w:lang w:val="en-US"/>
        </w:rPr>
        <w:t>:1360–1383. doi:10.1214/08-AOAS191</w:t>
      </w:r>
    </w:p>
    <w:p w14:paraId="7B5FAB9E" w14:textId="77777777" w:rsidR="00980AE9" w:rsidRPr="00980AE9" w:rsidRDefault="00980AE9" w:rsidP="000945AC">
      <w:pPr>
        <w:pStyle w:val="Bibliography"/>
        <w:spacing w:after="120"/>
        <w:ind w:left="0" w:firstLine="0"/>
        <w:rPr>
          <w:lang w:val="en-US"/>
        </w:rPr>
      </w:pPr>
      <w:r w:rsidRPr="00980AE9">
        <w:rPr>
          <w:lang w:val="en-US"/>
        </w:rPr>
        <w:t xml:space="preserve">Baker J, Block SL, Matharu B, Burleigh Macutkiewicz L, Wildum S, Dimonaco S, Collinson N, Clinch B, Piedra PA. 2020. Baloxavir Marboxil Single-dose Treatment in Influenza-infected Children: A Randomized, Double-blind, Active Controlled Phase 3 Safety and Efficacy Trial (miniSTONE-2). </w:t>
      </w:r>
      <w:r w:rsidRPr="00980AE9">
        <w:rPr>
          <w:i/>
          <w:iCs/>
          <w:lang w:val="en-US"/>
        </w:rPr>
        <w:t>Pediatr Infect Dis J</w:t>
      </w:r>
      <w:r w:rsidRPr="00980AE9">
        <w:rPr>
          <w:lang w:val="en-US"/>
        </w:rPr>
        <w:t xml:space="preserve"> </w:t>
      </w:r>
      <w:r w:rsidRPr="00980AE9">
        <w:rPr>
          <w:b/>
          <w:bCs/>
          <w:lang w:val="en-US"/>
        </w:rPr>
        <w:t>39</w:t>
      </w:r>
      <w:r w:rsidRPr="00980AE9">
        <w:rPr>
          <w:lang w:val="en-US"/>
        </w:rPr>
        <w:t>.</w:t>
      </w:r>
    </w:p>
    <w:p w14:paraId="2047CC87" w14:textId="77777777" w:rsidR="00980AE9" w:rsidRPr="00980AE9" w:rsidRDefault="00980AE9" w:rsidP="000945AC">
      <w:pPr>
        <w:pStyle w:val="Bibliography"/>
        <w:spacing w:after="120"/>
        <w:ind w:left="0" w:firstLine="0"/>
        <w:rPr>
          <w:lang w:val="en-US"/>
        </w:rPr>
      </w:pPr>
      <w:r w:rsidRPr="00980AE9">
        <w:rPr>
          <w:lang w:val="en-US"/>
        </w:rPr>
        <w:t xml:space="preserve">Biggerstaff M, Cauchemez S, Reed C, Gambhir M, Finelli L. 2014. Estimates of the reproduction number for seasonal, pandemic, and zoonotic influenza: a systematic review of the literature. </w:t>
      </w:r>
      <w:r w:rsidRPr="00980AE9">
        <w:rPr>
          <w:i/>
          <w:iCs/>
          <w:lang w:val="en-US"/>
        </w:rPr>
        <w:t>BMC Infect Dis</w:t>
      </w:r>
      <w:r w:rsidRPr="00980AE9">
        <w:rPr>
          <w:lang w:val="en-US"/>
        </w:rPr>
        <w:t xml:space="preserve"> </w:t>
      </w:r>
      <w:r w:rsidRPr="00980AE9">
        <w:rPr>
          <w:b/>
          <w:bCs/>
          <w:lang w:val="en-US"/>
        </w:rPr>
        <w:t>14</w:t>
      </w:r>
      <w:r w:rsidRPr="00980AE9">
        <w:rPr>
          <w:lang w:val="en-US"/>
        </w:rPr>
        <w:t>:480. doi:10.1186/1471-2334-14-480</w:t>
      </w:r>
    </w:p>
    <w:p w14:paraId="7D7E21E5" w14:textId="77777777" w:rsidR="00980AE9" w:rsidRPr="00980AE9" w:rsidRDefault="00980AE9" w:rsidP="000945AC">
      <w:pPr>
        <w:pStyle w:val="Bibliography"/>
        <w:spacing w:after="120"/>
        <w:ind w:left="0" w:firstLine="0"/>
        <w:rPr>
          <w:lang w:val="en-US"/>
        </w:rPr>
      </w:pPr>
      <w:r w:rsidRPr="00980AE9">
        <w:rPr>
          <w:lang w:val="en-US"/>
        </w:rPr>
        <w:t xml:space="preserve">Brugger J, Althaus CL. 2020. Transmission of and susceptibility to seasonal influenza in Switzerland from 2003 to 2015. </w:t>
      </w:r>
      <w:r w:rsidRPr="00980AE9">
        <w:rPr>
          <w:i/>
          <w:iCs/>
          <w:lang w:val="en-US"/>
        </w:rPr>
        <w:t>Epidemics</w:t>
      </w:r>
      <w:r w:rsidRPr="00980AE9">
        <w:rPr>
          <w:lang w:val="en-US"/>
        </w:rPr>
        <w:t xml:space="preserve"> </w:t>
      </w:r>
      <w:r w:rsidRPr="00980AE9">
        <w:rPr>
          <w:b/>
          <w:bCs/>
          <w:lang w:val="en-US"/>
        </w:rPr>
        <w:t>30</w:t>
      </w:r>
      <w:r w:rsidRPr="00980AE9">
        <w:rPr>
          <w:lang w:val="en-US"/>
        </w:rPr>
        <w:t>:100373. doi:10.1016/j.epidem.2019.100373</w:t>
      </w:r>
    </w:p>
    <w:p w14:paraId="6AE739A3" w14:textId="77777777" w:rsidR="00980AE9" w:rsidRPr="00980AE9" w:rsidRDefault="00980AE9" w:rsidP="000945AC">
      <w:pPr>
        <w:pStyle w:val="Bibliography"/>
        <w:spacing w:after="120"/>
        <w:ind w:left="0" w:firstLine="0"/>
        <w:rPr>
          <w:lang w:val="en-US"/>
        </w:rPr>
      </w:pPr>
      <w:r w:rsidRPr="00980AE9">
        <w:rPr>
          <w:lang w:val="en-US"/>
        </w:rPr>
        <w:t xml:space="preserve">Bürkner P-C. 2017. brms: An R Package for Bayesian Multilevel Models Using Stan. </w:t>
      </w:r>
      <w:r w:rsidRPr="00980AE9">
        <w:rPr>
          <w:i/>
          <w:iCs/>
          <w:lang w:val="en-US"/>
        </w:rPr>
        <w:t>J Stat Softw</w:t>
      </w:r>
      <w:r w:rsidRPr="00980AE9">
        <w:rPr>
          <w:lang w:val="en-US"/>
        </w:rPr>
        <w:t xml:space="preserve"> </w:t>
      </w:r>
      <w:r w:rsidRPr="00980AE9">
        <w:rPr>
          <w:b/>
          <w:bCs/>
          <w:lang w:val="en-US"/>
        </w:rPr>
        <w:t>80</w:t>
      </w:r>
      <w:r w:rsidRPr="00980AE9">
        <w:rPr>
          <w:lang w:val="en-US"/>
        </w:rPr>
        <w:t>:1–28. doi:10.18637/jss.v080.i01</w:t>
      </w:r>
    </w:p>
    <w:p w14:paraId="439B0E56" w14:textId="77777777" w:rsidR="00980AE9" w:rsidRPr="00980AE9" w:rsidRDefault="00980AE9" w:rsidP="000945AC">
      <w:pPr>
        <w:pStyle w:val="Bibliography"/>
        <w:spacing w:after="120"/>
        <w:ind w:left="0" w:firstLine="0"/>
        <w:rPr>
          <w:lang w:val="en-US"/>
        </w:rPr>
      </w:pPr>
      <w:r w:rsidRPr="00980AE9">
        <w:rPr>
          <w:lang w:val="en-US"/>
        </w:rPr>
        <w:t xml:space="preserve">Carrasco LR, Lee VJ, Chen MI, Matchar DB, Thompson JP, Cook AR. 2011. Strategies for antiviral stockpiling for future influenza pandemics: a global epidemic-economic perspective. </w:t>
      </w:r>
      <w:r w:rsidRPr="00980AE9">
        <w:rPr>
          <w:i/>
          <w:iCs/>
          <w:lang w:val="en-US"/>
        </w:rPr>
        <w:t>J R Soc Interface</w:t>
      </w:r>
      <w:r w:rsidRPr="00980AE9">
        <w:rPr>
          <w:lang w:val="en-US"/>
        </w:rPr>
        <w:t xml:space="preserve"> </w:t>
      </w:r>
      <w:r w:rsidRPr="00980AE9">
        <w:rPr>
          <w:b/>
          <w:bCs/>
          <w:lang w:val="en-US"/>
        </w:rPr>
        <w:t>8</w:t>
      </w:r>
      <w:r w:rsidRPr="00980AE9">
        <w:rPr>
          <w:lang w:val="en-US"/>
        </w:rPr>
        <w:t>:1307–1313. doi:10.1098/rsif.2010.0715</w:t>
      </w:r>
    </w:p>
    <w:p w14:paraId="2E81D747" w14:textId="77777777" w:rsidR="00980AE9" w:rsidRPr="00980AE9" w:rsidRDefault="00980AE9" w:rsidP="000945AC">
      <w:pPr>
        <w:pStyle w:val="Bibliography"/>
        <w:spacing w:after="120"/>
        <w:ind w:left="0" w:firstLine="0"/>
        <w:rPr>
          <w:lang w:val="en-US"/>
        </w:rPr>
      </w:pPr>
      <w:r w:rsidRPr="00980AE9">
        <w:rPr>
          <w:lang w:val="en-US"/>
        </w:rPr>
        <w:t xml:space="preserve">Cauchemez Simon, Donnelly Christl A., Reed Carrie, Ghani Azra C., Fraser Christophe, Kent Charlotte K., Finelli Lyn, Ferguson Neil M. 2009. Household Transmission of 2009 Pandemic Influenza A (H1N1) Virus in the United States. </w:t>
      </w:r>
      <w:r w:rsidRPr="00980AE9">
        <w:rPr>
          <w:i/>
          <w:iCs/>
          <w:lang w:val="en-US"/>
        </w:rPr>
        <w:t>N Engl J Med</w:t>
      </w:r>
      <w:r w:rsidRPr="00980AE9">
        <w:rPr>
          <w:lang w:val="en-US"/>
        </w:rPr>
        <w:t xml:space="preserve"> </w:t>
      </w:r>
      <w:r w:rsidRPr="00980AE9">
        <w:rPr>
          <w:b/>
          <w:bCs/>
          <w:lang w:val="en-US"/>
        </w:rPr>
        <w:t>361</w:t>
      </w:r>
      <w:r w:rsidRPr="00980AE9">
        <w:rPr>
          <w:lang w:val="en-US"/>
        </w:rPr>
        <w:t>:2619–2627. doi:10.1056/NEJMoa0905498</w:t>
      </w:r>
    </w:p>
    <w:p w14:paraId="462C970F" w14:textId="77777777" w:rsidR="00980AE9" w:rsidRPr="00980AE9" w:rsidRDefault="00980AE9" w:rsidP="000945AC">
      <w:pPr>
        <w:pStyle w:val="Bibliography"/>
        <w:spacing w:after="120"/>
        <w:ind w:left="0" w:firstLine="0"/>
        <w:rPr>
          <w:lang w:val="en-US"/>
        </w:rPr>
      </w:pPr>
      <w:r w:rsidRPr="00980AE9">
        <w:rPr>
          <w:lang w:val="en-US"/>
        </w:rPr>
        <w:t xml:space="preserve">Checkmahomed L, M’hamdi Z, Carbonneau J, Venable M-C, Baz M, Abed Y, Boivin G. 2020. Impact of the Baloxavir-Resistant Polymerase Acid I38T Substitution on the Fitness of Contemporary Influenza A(H1N1)pdm09 and A(H3N2) Strains. </w:t>
      </w:r>
      <w:r w:rsidRPr="00980AE9">
        <w:rPr>
          <w:i/>
          <w:iCs/>
          <w:lang w:val="en-US"/>
        </w:rPr>
        <w:t>J Infect Dis</w:t>
      </w:r>
      <w:r w:rsidRPr="00980AE9">
        <w:rPr>
          <w:lang w:val="en-US"/>
        </w:rPr>
        <w:t xml:space="preserve"> </w:t>
      </w:r>
      <w:r w:rsidRPr="00980AE9">
        <w:rPr>
          <w:b/>
          <w:bCs/>
          <w:lang w:val="en-US"/>
        </w:rPr>
        <w:t>221</w:t>
      </w:r>
      <w:r w:rsidRPr="00980AE9">
        <w:rPr>
          <w:lang w:val="en-US"/>
        </w:rPr>
        <w:t>:63–70. doi:10.1093/infdis/jiz418</w:t>
      </w:r>
    </w:p>
    <w:p w14:paraId="37ABF33D" w14:textId="77777777" w:rsidR="00980AE9" w:rsidRPr="00980AE9" w:rsidRDefault="00980AE9" w:rsidP="000945AC">
      <w:pPr>
        <w:pStyle w:val="Bibliography"/>
        <w:spacing w:after="120"/>
        <w:ind w:left="0" w:firstLine="0"/>
        <w:rPr>
          <w:lang w:val="en-US"/>
        </w:rPr>
      </w:pPr>
      <w:r w:rsidRPr="00980AE9">
        <w:rPr>
          <w:lang w:val="en-US"/>
        </w:rPr>
        <w:t xml:space="preserve">Clark E, Chiao EY, Amirian ES. 2021. Why Contact Tracing Efforts Have Failed to Curb Coronavirus Disease 2019 (COVID-19) Transmission in Much of the United States. </w:t>
      </w:r>
      <w:r w:rsidRPr="00980AE9">
        <w:rPr>
          <w:i/>
          <w:iCs/>
          <w:lang w:val="en-US"/>
        </w:rPr>
        <w:t>Clin Infect Dis</w:t>
      </w:r>
      <w:r w:rsidRPr="00980AE9">
        <w:rPr>
          <w:lang w:val="en-US"/>
        </w:rPr>
        <w:t xml:space="preserve"> </w:t>
      </w:r>
      <w:r w:rsidRPr="00980AE9">
        <w:rPr>
          <w:b/>
          <w:bCs/>
          <w:lang w:val="en-US"/>
        </w:rPr>
        <w:t>72</w:t>
      </w:r>
      <w:r w:rsidRPr="00980AE9">
        <w:rPr>
          <w:lang w:val="en-US"/>
        </w:rPr>
        <w:t>:e415–e419. doi:10.1093/cid/ciaa1155</w:t>
      </w:r>
    </w:p>
    <w:p w14:paraId="5A9F4E5D" w14:textId="77777777" w:rsidR="00980AE9" w:rsidRPr="00980AE9" w:rsidRDefault="00980AE9" w:rsidP="000945AC">
      <w:pPr>
        <w:pStyle w:val="Bibliography"/>
        <w:spacing w:after="120"/>
        <w:ind w:left="0" w:firstLine="0"/>
        <w:rPr>
          <w:lang w:val="en-US"/>
        </w:rPr>
      </w:pPr>
      <w:r w:rsidRPr="00980AE9">
        <w:rPr>
          <w:lang w:val="en-US"/>
        </w:rPr>
        <w:t>Core Team R. 2024. R: A Language and Environment for Statistical Computing.</w:t>
      </w:r>
    </w:p>
    <w:p w14:paraId="2C8E3282" w14:textId="77777777" w:rsidR="00980AE9" w:rsidRPr="00980AE9" w:rsidRDefault="00980AE9" w:rsidP="000945AC">
      <w:pPr>
        <w:pStyle w:val="Bibliography"/>
        <w:spacing w:after="120"/>
        <w:ind w:left="0" w:firstLine="0"/>
        <w:rPr>
          <w:lang w:val="en-US"/>
        </w:rPr>
      </w:pPr>
      <w:r w:rsidRPr="00980AE9">
        <w:rPr>
          <w:lang w:val="en-US"/>
        </w:rPr>
        <w:t xml:space="preserve">Davis EL, Lucas TCD, Borlase A, Pollington TM, Abbott S, Ayabina D, Crellen T, Hellewell J, Pi L, Lowe R, Endo A, Davies N, Gore-Langton GR, Russell TW, Bosse NI, Quaife M, Kucharski AJ, Nightingale ES, Pearson CAB, Gibbs H, O’Reilly K, Jombart T, Rees EM, Deol AK, Hué S, Auzenbergs M, Houben RMGJ, Funk S, Li Y, Sun F, Prem K, Quilty BJ, Villabona-Arenas J, Barnard RC, Hodgson D, Foss A, Jarvis CI, Meakin SR, Eggo RM, Abbas K, Zandvoort K van, Emery JC, Tully DC, Sandmann FG, Edmunds WJ, Gimma A, Knight G, Munday JD, Diamond C, Jit M, Leclerc Q, Rosello A, Chan Y-WD, Simons D, Clifford S, Flasche S, Procter SR, Atkins KE, Medley GF, Hollingsworth TD, Klepac P, CMMID COVID-19 Working Group. 2021. Contact tracing is an imperfect tool for controlling COVID-19 transmission and relies on population adherence. </w:t>
      </w:r>
      <w:r w:rsidRPr="00980AE9">
        <w:rPr>
          <w:i/>
          <w:iCs/>
          <w:lang w:val="en-US"/>
        </w:rPr>
        <w:t>Nat Commun</w:t>
      </w:r>
      <w:r w:rsidRPr="00980AE9">
        <w:rPr>
          <w:lang w:val="en-US"/>
        </w:rPr>
        <w:t xml:space="preserve"> </w:t>
      </w:r>
      <w:r w:rsidRPr="00980AE9">
        <w:rPr>
          <w:b/>
          <w:bCs/>
          <w:lang w:val="en-US"/>
        </w:rPr>
        <w:t>12</w:t>
      </w:r>
      <w:r w:rsidRPr="00980AE9">
        <w:rPr>
          <w:lang w:val="en-US"/>
        </w:rPr>
        <w:t>:5412. doi:10.1038/s41467-021-25531-5</w:t>
      </w:r>
    </w:p>
    <w:p w14:paraId="66346E34" w14:textId="77777777" w:rsidR="00980AE9" w:rsidRPr="00980AE9" w:rsidRDefault="00980AE9" w:rsidP="000945AC">
      <w:pPr>
        <w:pStyle w:val="Bibliography"/>
        <w:spacing w:after="120"/>
        <w:ind w:left="0" w:firstLine="0"/>
        <w:rPr>
          <w:lang w:val="en-US"/>
        </w:rPr>
      </w:pPr>
      <w:r w:rsidRPr="00980AE9">
        <w:rPr>
          <w:lang w:val="en-US"/>
        </w:rPr>
        <w:t xml:space="preserve">Dawood FS, Iuliano AD, Reed C, Meltzer MI, Shay DK, Cheng P-Y, Bandaranayake D, Breiman RF, Brooks WA, Buchy P, Feikin DR, Fowler KB, Gordon A, Hien NT, Horby P, Huang QS, Katz MA, Krishnan A, Lal R, Montgomery JM, Mølbak K, Pebody R, Presanis </w:t>
      </w:r>
      <w:r w:rsidRPr="00980AE9">
        <w:rPr>
          <w:lang w:val="en-US"/>
        </w:rPr>
        <w:lastRenderedPageBreak/>
        <w:t xml:space="preserve">AM, Razuri H, Steens A, Tinoco YO, Wallinga J, Yu H, Vong S, Bresee J, Widdowson M-A. 2012. Estimated global mortality associated with the first 12 months of 2009 pandemic influenza A H1N1 virus circulation: a modelling study. </w:t>
      </w:r>
      <w:r w:rsidRPr="00980AE9">
        <w:rPr>
          <w:i/>
          <w:iCs/>
          <w:lang w:val="en-US"/>
        </w:rPr>
        <w:t>Lancet Infect Dis</w:t>
      </w:r>
      <w:r w:rsidRPr="00980AE9">
        <w:rPr>
          <w:lang w:val="en-US"/>
        </w:rPr>
        <w:t xml:space="preserve"> </w:t>
      </w:r>
      <w:r w:rsidRPr="00980AE9">
        <w:rPr>
          <w:b/>
          <w:bCs/>
          <w:lang w:val="en-US"/>
        </w:rPr>
        <w:t>12</w:t>
      </w:r>
      <w:r w:rsidRPr="00980AE9">
        <w:rPr>
          <w:lang w:val="en-US"/>
        </w:rPr>
        <w:t>:687–695. doi:10.1016/S1473-3099(12)70121-4</w:t>
      </w:r>
    </w:p>
    <w:p w14:paraId="0474BDF3" w14:textId="77777777" w:rsidR="00980AE9" w:rsidRPr="00980AE9" w:rsidRDefault="00980AE9" w:rsidP="000945AC">
      <w:pPr>
        <w:pStyle w:val="Bibliography"/>
        <w:spacing w:after="120"/>
        <w:ind w:left="0" w:firstLine="0"/>
        <w:rPr>
          <w:lang w:val="en-US"/>
        </w:rPr>
      </w:pPr>
      <w:r w:rsidRPr="00980AE9">
        <w:rPr>
          <w:lang w:val="en-US"/>
        </w:rPr>
        <w:t xml:space="preserve">Du Z, Nugent C, Galvani AP, Krug RM, Meyers LA. 2020. Modeling mitigation of influenza epidemics by baloxavir. </w:t>
      </w:r>
      <w:r w:rsidRPr="00980AE9">
        <w:rPr>
          <w:i/>
          <w:iCs/>
          <w:lang w:val="en-US"/>
        </w:rPr>
        <w:t>Nat Commun</w:t>
      </w:r>
      <w:r w:rsidRPr="00980AE9">
        <w:rPr>
          <w:lang w:val="en-US"/>
        </w:rPr>
        <w:t xml:space="preserve"> </w:t>
      </w:r>
      <w:r w:rsidRPr="00980AE9">
        <w:rPr>
          <w:b/>
          <w:bCs/>
          <w:lang w:val="en-US"/>
        </w:rPr>
        <w:t>11</w:t>
      </w:r>
      <w:r w:rsidRPr="00980AE9">
        <w:rPr>
          <w:lang w:val="en-US"/>
        </w:rPr>
        <w:t>:2750. doi:10.1038/s41467-020-16585-y</w:t>
      </w:r>
    </w:p>
    <w:p w14:paraId="0DA7CCD3" w14:textId="77777777" w:rsidR="00980AE9" w:rsidRPr="00980AE9" w:rsidRDefault="00980AE9" w:rsidP="000945AC">
      <w:pPr>
        <w:pStyle w:val="Bibliography"/>
        <w:spacing w:after="120"/>
        <w:ind w:left="0" w:firstLine="0"/>
        <w:rPr>
          <w:lang w:val="en-US"/>
        </w:rPr>
      </w:pPr>
      <w:r w:rsidRPr="00980AE9">
        <w:rPr>
          <w:lang w:val="en-US"/>
        </w:rPr>
        <w:t xml:space="preserve">Ferguson NM, Cummings DAT, Cauchemez S, Fraser C, Riley S, Meeyai A, Iamsirithaworn S, Burke DS. 2005. Strategies for containing an emerging influenza pandemic in Southeast Asia. </w:t>
      </w:r>
      <w:r w:rsidRPr="00980AE9">
        <w:rPr>
          <w:i/>
          <w:iCs/>
          <w:lang w:val="en-US"/>
        </w:rPr>
        <w:t>Nature</w:t>
      </w:r>
      <w:r w:rsidRPr="00980AE9">
        <w:rPr>
          <w:lang w:val="en-US"/>
        </w:rPr>
        <w:t xml:space="preserve"> </w:t>
      </w:r>
      <w:r w:rsidRPr="00980AE9">
        <w:rPr>
          <w:b/>
          <w:bCs/>
          <w:lang w:val="en-US"/>
        </w:rPr>
        <w:t>437</w:t>
      </w:r>
      <w:r w:rsidRPr="00980AE9">
        <w:rPr>
          <w:lang w:val="en-US"/>
        </w:rPr>
        <w:t>:209–214. doi:10.1038/nature04017</w:t>
      </w:r>
    </w:p>
    <w:p w14:paraId="7969814E" w14:textId="77777777" w:rsidR="00980AE9" w:rsidRPr="00980AE9" w:rsidRDefault="00980AE9" w:rsidP="000945AC">
      <w:pPr>
        <w:pStyle w:val="Bibliography"/>
        <w:spacing w:after="120"/>
        <w:ind w:left="0" w:firstLine="0"/>
        <w:rPr>
          <w:lang w:val="en-US"/>
        </w:rPr>
      </w:pPr>
      <w:r w:rsidRPr="00980AE9">
        <w:rPr>
          <w:lang w:val="en-US"/>
        </w:rPr>
        <w:t xml:space="preserve">Gao Y, Guyatt G, Uyeki TM, Liu M, Chen Y, Zhao Y, Shen Y, Xu J, Zheng Q, Li Z, Zhao W, Luo S, Chen X, Tian J, Hao Q. 2024. Antivirals for treatment of severe influenza: a systematic review and network meta-analysis of randomised controlled trials. </w:t>
      </w:r>
      <w:r w:rsidRPr="00980AE9">
        <w:rPr>
          <w:i/>
          <w:iCs/>
          <w:lang w:val="en-US"/>
        </w:rPr>
        <w:t>The Lancet</w:t>
      </w:r>
      <w:r w:rsidRPr="00980AE9">
        <w:rPr>
          <w:lang w:val="en-US"/>
        </w:rPr>
        <w:t xml:space="preserve"> </w:t>
      </w:r>
      <w:r w:rsidRPr="00980AE9">
        <w:rPr>
          <w:b/>
          <w:bCs/>
          <w:lang w:val="en-US"/>
        </w:rPr>
        <w:t>404</w:t>
      </w:r>
      <w:r w:rsidRPr="00980AE9">
        <w:rPr>
          <w:lang w:val="en-US"/>
        </w:rPr>
        <w:t>:753–763. doi:10.1016/S0140-6736(24)01307-2</w:t>
      </w:r>
    </w:p>
    <w:p w14:paraId="5F92988D" w14:textId="77777777" w:rsidR="00980AE9" w:rsidRPr="00980AE9" w:rsidRDefault="00980AE9" w:rsidP="000945AC">
      <w:pPr>
        <w:pStyle w:val="Bibliography"/>
        <w:spacing w:after="120"/>
        <w:ind w:left="0" w:firstLine="0"/>
        <w:rPr>
          <w:lang w:val="en-US"/>
        </w:rPr>
      </w:pPr>
      <w:r w:rsidRPr="00980AE9">
        <w:rPr>
          <w:lang w:val="en-US"/>
        </w:rPr>
        <w:t xml:space="preserve">Gao Y, Zhao Y, Liu M, Luo S, Chen Y, Chen X, Zheng Q, Xu J, Shen Y, Zhao W, Li Z, Huang S, Huang J, Tian J, Guyatt G, Hao Q. 2025. Antiviral Medications for Treatment of Nonsevere Influenza: A Systematic Review and Network Meta-Analysis. </w:t>
      </w:r>
      <w:r w:rsidRPr="00980AE9">
        <w:rPr>
          <w:i/>
          <w:iCs/>
          <w:lang w:val="en-US"/>
        </w:rPr>
        <w:t>JAMA Intern Med</w:t>
      </w:r>
      <w:r w:rsidRPr="00980AE9">
        <w:rPr>
          <w:lang w:val="en-US"/>
        </w:rPr>
        <w:t xml:space="preserve"> </w:t>
      </w:r>
      <w:r w:rsidRPr="00980AE9">
        <w:rPr>
          <w:b/>
          <w:bCs/>
          <w:lang w:val="en-US"/>
        </w:rPr>
        <w:t>185</w:t>
      </w:r>
      <w:r w:rsidRPr="00980AE9">
        <w:rPr>
          <w:lang w:val="en-US"/>
        </w:rPr>
        <w:t>:293–301. doi:10.1001/jamainternmed.2024.7193</w:t>
      </w:r>
    </w:p>
    <w:p w14:paraId="15F345F2" w14:textId="77777777" w:rsidR="00980AE9" w:rsidRPr="00980AE9" w:rsidRDefault="00980AE9" w:rsidP="000945AC">
      <w:pPr>
        <w:pStyle w:val="Bibliography"/>
        <w:spacing w:after="120"/>
        <w:ind w:left="0" w:firstLine="0"/>
        <w:rPr>
          <w:lang w:val="en-US"/>
        </w:rPr>
      </w:pPr>
      <w:r w:rsidRPr="00980AE9">
        <w:rPr>
          <w:lang w:val="en-US"/>
        </w:rPr>
        <w:t xml:space="preserve">Goyal A, Reeves DB, Cardozo-Ojeda EF, Schiffer JT, Mayer BT. 2021. Viral load and contact heterogeneity predict SARS-CoV-2 transmission and super-spreading events. </w:t>
      </w:r>
      <w:r w:rsidRPr="00980AE9">
        <w:rPr>
          <w:i/>
          <w:iCs/>
          <w:lang w:val="en-US"/>
        </w:rPr>
        <w:t>eLife</w:t>
      </w:r>
      <w:r w:rsidRPr="00980AE9">
        <w:rPr>
          <w:lang w:val="en-US"/>
        </w:rPr>
        <w:t xml:space="preserve"> </w:t>
      </w:r>
      <w:r w:rsidRPr="00980AE9">
        <w:rPr>
          <w:b/>
          <w:bCs/>
          <w:lang w:val="en-US"/>
        </w:rPr>
        <w:t>10</w:t>
      </w:r>
      <w:r w:rsidRPr="00980AE9">
        <w:rPr>
          <w:lang w:val="en-US"/>
        </w:rPr>
        <w:t>:e63537. doi:10.7554/eLife.63537</w:t>
      </w:r>
    </w:p>
    <w:p w14:paraId="30CF1DE5" w14:textId="77777777" w:rsidR="00980AE9" w:rsidRPr="00980AE9" w:rsidRDefault="00980AE9" w:rsidP="000945AC">
      <w:pPr>
        <w:pStyle w:val="Bibliography"/>
        <w:spacing w:after="120"/>
        <w:ind w:left="0" w:firstLine="0"/>
        <w:rPr>
          <w:lang w:val="en-US"/>
        </w:rPr>
      </w:pPr>
      <w:r w:rsidRPr="00980AE9">
        <w:rPr>
          <w:lang w:val="en-US"/>
        </w:rPr>
        <w:t xml:space="preserve">Graham MS, May A, Varsavsky T, Sudre CH, Murray B, Kläser K, Antonelli M, Canas LS, Molteni E, Modat M, Cardoso MJ, Drew DA, Nguyen LH, Rader B, Hu C, Capdevila J, Hammers A, Chan AT, Wolf J, Brownstein JS, Spector TD, Ourselin S, Steves CJ, Astley CM. 2022. Knowledge barriers in a national symptomatic-COVID-19 testing programme. </w:t>
      </w:r>
      <w:r w:rsidRPr="00980AE9">
        <w:rPr>
          <w:i/>
          <w:iCs/>
          <w:lang w:val="en-US"/>
        </w:rPr>
        <w:t>PLOS Glob Public Health</w:t>
      </w:r>
      <w:r w:rsidRPr="00980AE9">
        <w:rPr>
          <w:lang w:val="en-US"/>
        </w:rPr>
        <w:t xml:space="preserve"> </w:t>
      </w:r>
      <w:r w:rsidRPr="00980AE9">
        <w:rPr>
          <w:b/>
          <w:bCs/>
          <w:lang w:val="en-US"/>
        </w:rPr>
        <w:t>2</w:t>
      </w:r>
      <w:r w:rsidRPr="00980AE9">
        <w:rPr>
          <w:lang w:val="en-US"/>
        </w:rPr>
        <w:t>:e0000028. doi:10.1371/journal.pgph.0000028</w:t>
      </w:r>
    </w:p>
    <w:p w14:paraId="14BAB0E3" w14:textId="77777777" w:rsidR="00980AE9" w:rsidRPr="00980AE9" w:rsidRDefault="00980AE9" w:rsidP="000945AC">
      <w:pPr>
        <w:pStyle w:val="Bibliography"/>
        <w:spacing w:after="120"/>
        <w:ind w:left="0" w:firstLine="0"/>
        <w:rPr>
          <w:lang w:val="en-US"/>
        </w:rPr>
      </w:pPr>
      <w:r w:rsidRPr="00980AE9">
        <w:rPr>
          <w:lang w:val="en-US"/>
        </w:rPr>
        <w:t xml:space="preserve">Green WD, Ferguson NM, Cori A. 2022. Inferring the reproduction number using the renewal equation in heterogeneous epidemics. </w:t>
      </w:r>
      <w:r w:rsidRPr="00980AE9">
        <w:rPr>
          <w:i/>
          <w:iCs/>
          <w:lang w:val="en-US"/>
        </w:rPr>
        <w:t>J R Soc Interface</w:t>
      </w:r>
      <w:r w:rsidRPr="00980AE9">
        <w:rPr>
          <w:lang w:val="en-US"/>
        </w:rPr>
        <w:t xml:space="preserve"> </w:t>
      </w:r>
      <w:r w:rsidRPr="00980AE9">
        <w:rPr>
          <w:b/>
          <w:bCs/>
          <w:lang w:val="en-US"/>
        </w:rPr>
        <w:t>19</w:t>
      </w:r>
      <w:r w:rsidRPr="00980AE9">
        <w:rPr>
          <w:lang w:val="en-US"/>
        </w:rPr>
        <w:t>:20210429. doi:10.1098/rsif.2021.0429</w:t>
      </w:r>
    </w:p>
    <w:p w14:paraId="5920AE02" w14:textId="77777777" w:rsidR="00980AE9" w:rsidRPr="00980AE9" w:rsidRDefault="00980AE9" w:rsidP="000945AC">
      <w:pPr>
        <w:pStyle w:val="Bibliography"/>
        <w:spacing w:after="120"/>
        <w:ind w:left="0" w:firstLine="0"/>
        <w:rPr>
          <w:lang w:val="en-US"/>
        </w:rPr>
      </w:pPr>
      <w:r w:rsidRPr="00980AE9">
        <w:rPr>
          <w:lang w:val="en-US"/>
        </w:rPr>
        <w:t xml:space="preserve">Greer AL, Schanzer D. 2013. Using a Dynamic Model to Consider Optimal Antiviral Stockpile Size in the Face of Pandemic Influenza Uncertainty. </w:t>
      </w:r>
      <w:r w:rsidRPr="00980AE9">
        <w:rPr>
          <w:i/>
          <w:iCs/>
          <w:lang w:val="en-US"/>
        </w:rPr>
        <w:t>PLOS ONE</w:t>
      </w:r>
      <w:r w:rsidRPr="00980AE9">
        <w:rPr>
          <w:lang w:val="en-US"/>
        </w:rPr>
        <w:t xml:space="preserve"> </w:t>
      </w:r>
      <w:r w:rsidRPr="00980AE9">
        <w:rPr>
          <w:b/>
          <w:bCs/>
          <w:lang w:val="en-US"/>
        </w:rPr>
        <w:t>8</w:t>
      </w:r>
      <w:r w:rsidRPr="00980AE9">
        <w:rPr>
          <w:lang w:val="en-US"/>
        </w:rPr>
        <w:t>:e67253. doi:10.1371/journal.pone.0067253</w:t>
      </w:r>
    </w:p>
    <w:p w14:paraId="55C06FBF" w14:textId="77777777" w:rsidR="00980AE9" w:rsidRPr="00980AE9" w:rsidRDefault="00980AE9" w:rsidP="000945AC">
      <w:pPr>
        <w:pStyle w:val="Bibliography"/>
        <w:spacing w:after="120"/>
        <w:ind w:left="0" w:firstLine="0"/>
        <w:rPr>
          <w:lang w:val="en-US"/>
        </w:rPr>
      </w:pPr>
      <w:r w:rsidRPr="00980AE9">
        <w:rPr>
          <w:lang w:val="en-US"/>
        </w:rPr>
        <w:t xml:space="preserve">Hadjichrysanthou C, Cauët E, Lawrence E, Vegvari C, de Wolf F, Anderson RM. 2016. Understanding the within-host dynamics of influenza A virus: from theory to clinical implications. </w:t>
      </w:r>
      <w:r w:rsidRPr="00980AE9">
        <w:rPr>
          <w:i/>
          <w:iCs/>
          <w:lang w:val="en-US"/>
        </w:rPr>
        <w:t>J R Soc Interface</w:t>
      </w:r>
      <w:r w:rsidRPr="00980AE9">
        <w:rPr>
          <w:lang w:val="en-US"/>
        </w:rPr>
        <w:t xml:space="preserve"> </w:t>
      </w:r>
      <w:r w:rsidRPr="00980AE9">
        <w:rPr>
          <w:b/>
          <w:bCs/>
          <w:lang w:val="en-US"/>
        </w:rPr>
        <w:t>13</w:t>
      </w:r>
      <w:r w:rsidRPr="00980AE9">
        <w:rPr>
          <w:lang w:val="en-US"/>
        </w:rPr>
        <w:t>:20160289. doi:10.1098/rsif.2016.0289</w:t>
      </w:r>
    </w:p>
    <w:p w14:paraId="528BD73D" w14:textId="77777777" w:rsidR="00980AE9" w:rsidRPr="00980AE9" w:rsidRDefault="00980AE9" w:rsidP="000945AC">
      <w:pPr>
        <w:pStyle w:val="Bibliography"/>
        <w:spacing w:after="120"/>
        <w:ind w:left="0" w:firstLine="0"/>
        <w:rPr>
          <w:lang w:val="en-US"/>
        </w:rPr>
      </w:pPr>
      <w:r w:rsidRPr="00980AE9">
        <w:rPr>
          <w:lang w:val="en-US"/>
        </w:rPr>
        <w:t xml:space="preserve">Halloran ME, Ferguson NM, Eubank S, Longini IM, Cummings DAT, Lewis B, Xu S, Fraser C, Vullikanti A, Germann TC, Wagener D, Beckman R, Kadau K, Barrett C, Macken CA, Burke DS, Cooley P. 2008. Modeling targeted layered containment of an influenza pandemic in the United States. </w:t>
      </w:r>
      <w:r w:rsidRPr="00980AE9">
        <w:rPr>
          <w:i/>
          <w:iCs/>
          <w:lang w:val="en-US"/>
        </w:rPr>
        <w:t>Proc Natl Acad Sci</w:t>
      </w:r>
      <w:r w:rsidRPr="00980AE9">
        <w:rPr>
          <w:lang w:val="en-US"/>
        </w:rPr>
        <w:t xml:space="preserve"> </w:t>
      </w:r>
      <w:r w:rsidRPr="00980AE9">
        <w:rPr>
          <w:b/>
          <w:bCs/>
          <w:lang w:val="en-US"/>
        </w:rPr>
        <w:t>105</w:t>
      </w:r>
      <w:r w:rsidRPr="00980AE9">
        <w:rPr>
          <w:lang w:val="en-US"/>
        </w:rPr>
        <w:t>:4639–4644. doi:10.1073/pnas.0706849105</w:t>
      </w:r>
    </w:p>
    <w:p w14:paraId="59CD2BBB" w14:textId="77777777" w:rsidR="00980AE9" w:rsidRPr="00980AE9" w:rsidRDefault="00980AE9" w:rsidP="000945AC">
      <w:pPr>
        <w:pStyle w:val="Bibliography"/>
        <w:spacing w:after="120"/>
        <w:ind w:left="0" w:firstLine="0"/>
        <w:rPr>
          <w:lang w:val="en-US"/>
        </w:rPr>
      </w:pPr>
      <w:r w:rsidRPr="00980AE9">
        <w:rPr>
          <w:lang w:val="en-US"/>
        </w:rPr>
        <w:lastRenderedPageBreak/>
        <w:t xml:space="preserve">Han AX, Hannay E, Carmona S, Rodriguez B, Nichols BE, Russell CA. 2023. Estimating the potential impact and diagnostic requirements for SARS-CoV-2 test-and-treat programs. </w:t>
      </w:r>
      <w:r w:rsidRPr="00980AE9">
        <w:rPr>
          <w:i/>
          <w:iCs/>
          <w:lang w:val="en-US"/>
        </w:rPr>
        <w:t>Nat Commun</w:t>
      </w:r>
      <w:r w:rsidRPr="00980AE9">
        <w:rPr>
          <w:lang w:val="en-US"/>
        </w:rPr>
        <w:t xml:space="preserve"> </w:t>
      </w:r>
      <w:r w:rsidRPr="00980AE9">
        <w:rPr>
          <w:b/>
          <w:bCs/>
          <w:lang w:val="en-US"/>
        </w:rPr>
        <w:t>14</w:t>
      </w:r>
      <w:r w:rsidRPr="00980AE9">
        <w:rPr>
          <w:lang w:val="en-US"/>
        </w:rPr>
        <w:t>:7981. doi:10.1038/s41467-023-43769-z</w:t>
      </w:r>
    </w:p>
    <w:p w14:paraId="2F138657" w14:textId="77777777" w:rsidR="00980AE9" w:rsidRPr="00980AE9" w:rsidRDefault="00980AE9" w:rsidP="000945AC">
      <w:pPr>
        <w:pStyle w:val="Bibliography"/>
        <w:spacing w:after="120"/>
        <w:ind w:left="0" w:firstLine="0"/>
        <w:rPr>
          <w:lang w:val="en-US"/>
        </w:rPr>
      </w:pPr>
      <w:r w:rsidRPr="00980AE9">
        <w:rPr>
          <w:lang w:val="en-US"/>
        </w:rPr>
        <w:t xml:space="preserve">Handel A, Longini IM Jr, Antia R. 2007. Neuraminidase Inhibitor Resistance in Influenza: Assessing the Danger of Its Generation and Spread. </w:t>
      </w:r>
      <w:r w:rsidRPr="00980AE9">
        <w:rPr>
          <w:i/>
          <w:iCs/>
          <w:lang w:val="en-US"/>
        </w:rPr>
        <w:t>PLOS Comput Biol</w:t>
      </w:r>
      <w:r w:rsidRPr="00980AE9">
        <w:rPr>
          <w:lang w:val="en-US"/>
        </w:rPr>
        <w:t xml:space="preserve"> </w:t>
      </w:r>
      <w:r w:rsidRPr="00980AE9">
        <w:rPr>
          <w:b/>
          <w:bCs/>
          <w:lang w:val="en-US"/>
        </w:rPr>
        <w:t>3</w:t>
      </w:r>
      <w:r w:rsidRPr="00980AE9">
        <w:rPr>
          <w:lang w:val="en-US"/>
        </w:rPr>
        <w:t>:e240. doi:10.1371/journal.pcbi.0030240</w:t>
      </w:r>
    </w:p>
    <w:p w14:paraId="1B15968B" w14:textId="77777777" w:rsidR="00980AE9" w:rsidRPr="00980AE9" w:rsidRDefault="00980AE9" w:rsidP="000945AC">
      <w:pPr>
        <w:pStyle w:val="Bibliography"/>
        <w:spacing w:after="120"/>
        <w:ind w:left="0" w:firstLine="0"/>
        <w:rPr>
          <w:lang w:val="en-US"/>
        </w:rPr>
      </w:pPr>
      <w:r w:rsidRPr="00980AE9">
        <w:rPr>
          <w:lang w:val="en-US"/>
        </w:rPr>
        <w:t xml:space="preserve">Handel A, Rohani P. 2015. Crossing the scale from within-host infection dynamics to between-host transmission fitness: a discussion of current assumptions and knowledge. </w:t>
      </w:r>
      <w:r w:rsidRPr="00980AE9">
        <w:rPr>
          <w:i/>
          <w:iCs/>
          <w:lang w:val="en-US"/>
        </w:rPr>
        <w:t>Philos Trans R Soc B Biol Sci</w:t>
      </w:r>
      <w:r w:rsidRPr="00980AE9">
        <w:rPr>
          <w:lang w:val="en-US"/>
        </w:rPr>
        <w:t xml:space="preserve"> </w:t>
      </w:r>
      <w:r w:rsidRPr="00980AE9">
        <w:rPr>
          <w:b/>
          <w:bCs/>
          <w:lang w:val="en-US"/>
        </w:rPr>
        <w:t>370</w:t>
      </w:r>
      <w:r w:rsidRPr="00980AE9">
        <w:rPr>
          <w:lang w:val="en-US"/>
        </w:rPr>
        <w:t>:20140302. doi:10.1098/rstb.2014.0302</w:t>
      </w:r>
    </w:p>
    <w:p w14:paraId="263D0B4B" w14:textId="77777777" w:rsidR="00980AE9" w:rsidRPr="00980AE9" w:rsidRDefault="00980AE9" w:rsidP="000945AC">
      <w:pPr>
        <w:pStyle w:val="Bibliography"/>
        <w:spacing w:after="120"/>
        <w:ind w:left="0" w:firstLine="0"/>
        <w:rPr>
          <w:lang w:val="en-US"/>
        </w:rPr>
      </w:pPr>
      <w:r w:rsidRPr="00980AE9">
        <w:rPr>
          <w:lang w:val="en-US"/>
        </w:rPr>
        <w:t xml:space="preserve">Haug N, Geyrhofer L, Londei A, Dervic E, Desvars-Larrive A, Loreto V, Pinior B, Thurner S, Klimek P. 2020. Ranking the effectiveness of worldwide COVID-19 government interventions. </w:t>
      </w:r>
      <w:r w:rsidRPr="00980AE9">
        <w:rPr>
          <w:i/>
          <w:iCs/>
          <w:lang w:val="en-US"/>
        </w:rPr>
        <w:t>Nat Hum Behav</w:t>
      </w:r>
      <w:r w:rsidRPr="00980AE9">
        <w:rPr>
          <w:lang w:val="en-US"/>
        </w:rPr>
        <w:t xml:space="preserve"> </w:t>
      </w:r>
      <w:r w:rsidRPr="00980AE9">
        <w:rPr>
          <w:b/>
          <w:bCs/>
          <w:lang w:val="en-US"/>
        </w:rPr>
        <w:t>4</w:t>
      </w:r>
      <w:r w:rsidRPr="00980AE9">
        <w:rPr>
          <w:lang w:val="en-US"/>
        </w:rPr>
        <w:t>:1303–1312. doi:10.1038/s41562-020-01009-0</w:t>
      </w:r>
    </w:p>
    <w:p w14:paraId="0EE709F3" w14:textId="77777777" w:rsidR="00980AE9" w:rsidRPr="00980AE9" w:rsidRDefault="00980AE9" w:rsidP="000945AC">
      <w:pPr>
        <w:pStyle w:val="Bibliography"/>
        <w:spacing w:after="120"/>
        <w:ind w:left="0" w:firstLine="0"/>
        <w:rPr>
          <w:lang w:val="en-US"/>
        </w:rPr>
      </w:pPr>
      <w:r w:rsidRPr="00980AE9">
        <w:rPr>
          <w:lang w:val="en-US"/>
        </w:rPr>
        <w:t xml:space="preserve">Hayden FG, Belshe R, Villanueva C, Lanno R, Hughes C, Small I, Dutkowski R, Ward P, Carr J. 2004. Management of Influenza in Households: A Prospective, Randomized Comparison of Oseltamivir Treatment With or Without Postexposure Prophylaxis. </w:t>
      </w:r>
      <w:r w:rsidRPr="00980AE9">
        <w:rPr>
          <w:i/>
          <w:iCs/>
          <w:lang w:val="en-US"/>
        </w:rPr>
        <w:t>J Infect Dis</w:t>
      </w:r>
      <w:r w:rsidRPr="00980AE9">
        <w:rPr>
          <w:lang w:val="en-US"/>
        </w:rPr>
        <w:t xml:space="preserve"> </w:t>
      </w:r>
      <w:r w:rsidRPr="00980AE9">
        <w:rPr>
          <w:b/>
          <w:bCs/>
          <w:lang w:val="en-US"/>
        </w:rPr>
        <w:t>189</w:t>
      </w:r>
      <w:r w:rsidRPr="00980AE9">
        <w:rPr>
          <w:lang w:val="en-US"/>
        </w:rPr>
        <w:t>:440–449. doi:10.1086/381128</w:t>
      </w:r>
    </w:p>
    <w:p w14:paraId="5075709D" w14:textId="77777777" w:rsidR="00980AE9" w:rsidRPr="00980AE9" w:rsidRDefault="00980AE9" w:rsidP="000945AC">
      <w:pPr>
        <w:pStyle w:val="Bibliography"/>
        <w:spacing w:after="120"/>
        <w:ind w:left="0" w:firstLine="0"/>
        <w:rPr>
          <w:lang w:val="en-US"/>
        </w:rPr>
      </w:pPr>
      <w:r w:rsidRPr="00980AE9">
        <w:rPr>
          <w:lang w:val="en-US"/>
        </w:rPr>
        <w:t xml:space="preserve">Hayden FG, Pavia AT. 2006. Antiviral Management of Seasonal and Pandemic Influenza. </w:t>
      </w:r>
      <w:r w:rsidRPr="00980AE9">
        <w:rPr>
          <w:i/>
          <w:iCs/>
          <w:lang w:val="en-US"/>
        </w:rPr>
        <w:t>J Infect Dis</w:t>
      </w:r>
      <w:r w:rsidRPr="00980AE9">
        <w:rPr>
          <w:lang w:val="en-US"/>
        </w:rPr>
        <w:t xml:space="preserve"> </w:t>
      </w:r>
      <w:r w:rsidRPr="00980AE9">
        <w:rPr>
          <w:b/>
          <w:bCs/>
          <w:lang w:val="en-US"/>
        </w:rPr>
        <w:t>194</w:t>
      </w:r>
      <w:r w:rsidRPr="00980AE9">
        <w:rPr>
          <w:lang w:val="en-US"/>
        </w:rPr>
        <w:t>:S119–S126. doi:10.1086/507552</w:t>
      </w:r>
    </w:p>
    <w:p w14:paraId="446E1FDC" w14:textId="77777777" w:rsidR="00980AE9" w:rsidRPr="00980AE9" w:rsidRDefault="00980AE9" w:rsidP="000945AC">
      <w:pPr>
        <w:pStyle w:val="Bibliography"/>
        <w:spacing w:after="120"/>
        <w:ind w:left="0" w:firstLine="0"/>
        <w:rPr>
          <w:lang w:val="en-US"/>
        </w:rPr>
      </w:pPr>
      <w:r w:rsidRPr="00980AE9">
        <w:rPr>
          <w:lang w:val="en-US"/>
        </w:rPr>
        <w:t xml:space="preserve">Hayden Frederick G., Sugaya Norio, Hirotsu Nobuo, Lee Nelson, de Jong Menno D., Hurt Aeron C., Ishida Tadashi, Sekino Hisakuni, Yamada Kota, Portsmouth Simon, Kawaguchi Keiko, Shishido Takao, Arai Masatsugu, Tsuchiya Kenji, Uehara Takeki, Watanabe Akira. 2018. Baloxavir Marboxil for Uncomplicated Influenza in Adults and Adolescents. </w:t>
      </w:r>
      <w:r w:rsidRPr="00980AE9">
        <w:rPr>
          <w:i/>
          <w:iCs/>
          <w:lang w:val="en-US"/>
        </w:rPr>
        <w:t>N Engl J Med</w:t>
      </w:r>
      <w:r w:rsidRPr="00980AE9">
        <w:rPr>
          <w:lang w:val="en-US"/>
        </w:rPr>
        <w:t xml:space="preserve"> </w:t>
      </w:r>
      <w:r w:rsidRPr="00980AE9">
        <w:rPr>
          <w:b/>
          <w:bCs/>
          <w:lang w:val="en-US"/>
        </w:rPr>
        <w:t>379</w:t>
      </w:r>
      <w:r w:rsidRPr="00980AE9">
        <w:rPr>
          <w:lang w:val="en-US"/>
        </w:rPr>
        <w:t>:913–923. doi:10.1056/NEJMoa1716197</w:t>
      </w:r>
    </w:p>
    <w:p w14:paraId="4FC9192E" w14:textId="77777777" w:rsidR="00980AE9" w:rsidRPr="00980AE9" w:rsidRDefault="00980AE9" w:rsidP="000945AC">
      <w:pPr>
        <w:pStyle w:val="Bibliography"/>
        <w:spacing w:after="120"/>
        <w:ind w:left="0" w:firstLine="0"/>
        <w:rPr>
          <w:lang w:val="en-US"/>
        </w:rPr>
      </w:pPr>
      <w:r w:rsidRPr="00980AE9">
        <w:rPr>
          <w:lang w:val="en-US"/>
        </w:rPr>
        <w:t xml:space="preserve">Hickerson Brady T., Petrovskaya Svetlana N., Dickensheets Harold, Donnelly Raymond P., Ince William L., Ilyushina Natalia A. 2023. Impact of Baloxavir Resistance-Associated Substitutions on Influenza Virus Growth and Drug Susceptibility. </w:t>
      </w:r>
      <w:r w:rsidRPr="00980AE9">
        <w:rPr>
          <w:i/>
          <w:iCs/>
          <w:lang w:val="en-US"/>
        </w:rPr>
        <w:t>J Virol</w:t>
      </w:r>
      <w:r w:rsidRPr="00980AE9">
        <w:rPr>
          <w:lang w:val="en-US"/>
        </w:rPr>
        <w:t xml:space="preserve"> </w:t>
      </w:r>
      <w:r w:rsidRPr="00980AE9">
        <w:rPr>
          <w:b/>
          <w:bCs/>
          <w:lang w:val="en-US"/>
        </w:rPr>
        <w:t>97</w:t>
      </w:r>
      <w:r w:rsidRPr="00980AE9">
        <w:rPr>
          <w:lang w:val="en-US"/>
        </w:rPr>
        <w:t>:e00154-23. doi:10.1128/jvi.00154-23</w:t>
      </w:r>
    </w:p>
    <w:p w14:paraId="70D7E6E1" w14:textId="77777777" w:rsidR="00980AE9" w:rsidRPr="00980AE9" w:rsidRDefault="00980AE9" w:rsidP="000945AC">
      <w:pPr>
        <w:pStyle w:val="Bibliography"/>
        <w:spacing w:after="120"/>
        <w:ind w:left="0" w:firstLine="0"/>
        <w:rPr>
          <w:lang w:val="en-US"/>
        </w:rPr>
      </w:pPr>
      <w:r w:rsidRPr="00980AE9">
        <w:rPr>
          <w:lang w:val="en-US"/>
        </w:rPr>
        <w:t xml:space="preserve">Hirotsu N, Sakaguchi H, Fukao K, Kojima S, Piedra PA, Tsuchiya K, Uehara T. 2023. Baloxavir safety and clinical and virologic outcomes in influenza virus-infected pediatric patients by age group: age-based pooled analysis of two pediatric studies conducted in Japan. </w:t>
      </w:r>
      <w:r w:rsidRPr="00980AE9">
        <w:rPr>
          <w:i/>
          <w:iCs/>
          <w:lang w:val="en-US"/>
        </w:rPr>
        <w:t>BMC Pediatr</w:t>
      </w:r>
      <w:r w:rsidRPr="00980AE9">
        <w:rPr>
          <w:lang w:val="en-US"/>
        </w:rPr>
        <w:t xml:space="preserve"> </w:t>
      </w:r>
      <w:r w:rsidRPr="00980AE9">
        <w:rPr>
          <w:b/>
          <w:bCs/>
          <w:lang w:val="en-US"/>
        </w:rPr>
        <w:t>23</w:t>
      </w:r>
      <w:r w:rsidRPr="00980AE9">
        <w:rPr>
          <w:lang w:val="en-US"/>
        </w:rPr>
        <w:t>:35. doi:10.1186/s12887-023-03841-5</w:t>
      </w:r>
    </w:p>
    <w:p w14:paraId="25C13888" w14:textId="77777777" w:rsidR="00980AE9" w:rsidRPr="00980AE9" w:rsidRDefault="00980AE9" w:rsidP="000945AC">
      <w:pPr>
        <w:pStyle w:val="Bibliography"/>
        <w:spacing w:after="120"/>
        <w:ind w:left="0" w:firstLine="0"/>
        <w:rPr>
          <w:lang w:val="en-US"/>
        </w:rPr>
      </w:pPr>
      <w:r w:rsidRPr="00980AE9">
        <w:rPr>
          <w:lang w:val="en-US"/>
        </w:rPr>
        <w:t xml:space="preserve">Hsu J, Santesso N, Mustafa R, Brozek J, Chen YL, Hopkins JP, Cheung A, Hovhannisyan G, Ivanova L, Flottorp SA, Sæterdal I, Wong AD, Tian J, Uyeki TM, Akl EA, Alonso-Coello P, Smaill F, Schünemann HJ. 2012. Antivirals for Treatment of Influenza. </w:t>
      </w:r>
      <w:r w:rsidRPr="00980AE9">
        <w:rPr>
          <w:i/>
          <w:iCs/>
          <w:lang w:val="en-US"/>
        </w:rPr>
        <w:t>Ann Intern Med</w:t>
      </w:r>
      <w:r w:rsidRPr="00980AE9">
        <w:rPr>
          <w:lang w:val="en-US"/>
        </w:rPr>
        <w:t xml:space="preserve"> </w:t>
      </w:r>
      <w:r w:rsidRPr="00980AE9">
        <w:rPr>
          <w:b/>
          <w:bCs/>
          <w:lang w:val="en-US"/>
        </w:rPr>
        <w:t>156</w:t>
      </w:r>
      <w:r w:rsidRPr="00980AE9">
        <w:rPr>
          <w:lang w:val="en-US"/>
        </w:rPr>
        <w:t>:512–524. doi:10.7326/0003-4819-156-7-201204030-00411</w:t>
      </w:r>
    </w:p>
    <w:p w14:paraId="00A27760" w14:textId="77777777" w:rsidR="00980AE9" w:rsidRPr="00980AE9" w:rsidRDefault="00980AE9" w:rsidP="000945AC">
      <w:pPr>
        <w:pStyle w:val="Bibliography"/>
        <w:spacing w:after="120"/>
        <w:ind w:left="0" w:firstLine="0"/>
        <w:rPr>
          <w:lang w:val="en-US"/>
        </w:rPr>
      </w:pPr>
      <w:r w:rsidRPr="00980AE9">
        <w:rPr>
          <w:lang w:val="en-US"/>
        </w:rPr>
        <w:t xml:space="preserve">Ikematsu Hideyuki, Hayden Frederick G., Kawaguchi Keiko, Kinoshita Masahiro, de Jong Menno D., Lee Nelson, Takashima Satoru, Noshi Takeshi, Tsuchiya Kenji, Uehara Takeki. 2020. Baloxavir Marboxil for Prophylaxis against Influenza in Household Contacts. </w:t>
      </w:r>
      <w:r w:rsidRPr="00980AE9">
        <w:rPr>
          <w:i/>
          <w:iCs/>
          <w:lang w:val="en-US"/>
        </w:rPr>
        <w:t>N Engl J Med</w:t>
      </w:r>
      <w:r w:rsidRPr="00980AE9">
        <w:rPr>
          <w:lang w:val="en-US"/>
        </w:rPr>
        <w:t xml:space="preserve"> </w:t>
      </w:r>
      <w:r w:rsidRPr="00980AE9">
        <w:rPr>
          <w:b/>
          <w:bCs/>
          <w:lang w:val="en-US"/>
        </w:rPr>
        <w:t>383</w:t>
      </w:r>
      <w:r w:rsidRPr="00980AE9">
        <w:rPr>
          <w:lang w:val="en-US"/>
        </w:rPr>
        <w:t>:309–320. doi:10.1056/NEJMoa1915341</w:t>
      </w:r>
    </w:p>
    <w:p w14:paraId="73CA59AA" w14:textId="77777777" w:rsidR="00980AE9" w:rsidRPr="00980AE9" w:rsidRDefault="00980AE9" w:rsidP="000945AC">
      <w:pPr>
        <w:pStyle w:val="Bibliography"/>
        <w:spacing w:after="120"/>
        <w:ind w:left="0" w:firstLine="0"/>
        <w:rPr>
          <w:lang w:val="en-US"/>
        </w:rPr>
      </w:pPr>
      <w:r w:rsidRPr="00980AE9">
        <w:rPr>
          <w:lang w:val="en-US"/>
        </w:rPr>
        <w:t xml:space="preserve">Imai M, Yamashita M, Sakai-Tagawa Y, Iwatsuki-Horimoto K, Kiso M, Murakami J, Yasuhara A, Takada K, Ito M, Nakajima N, Takahashi K, Lopes TJS, Dutta J, Khan Z, Kriti D, van Bakel H, Tokita A, Hagiwara H, Izumida N, Kuroki H, Nishino T, Wada N, Koga M, Adachi E, Jubishi D, Hasegawa H, Kawaoka Y. 2020. Influenza A variants with reduced susceptibility to baloxavir isolated from Japanese patients are fit </w:t>
      </w:r>
      <w:r w:rsidRPr="00980AE9">
        <w:rPr>
          <w:lang w:val="en-US"/>
        </w:rPr>
        <w:lastRenderedPageBreak/>
        <w:t xml:space="preserve">and transmit through respiratory droplets. </w:t>
      </w:r>
      <w:r w:rsidRPr="00980AE9">
        <w:rPr>
          <w:i/>
          <w:iCs/>
          <w:lang w:val="en-US"/>
        </w:rPr>
        <w:t>Nat Microbiol</w:t>
      </w:r>
      <w:r w:rsidRPr="00980AE9">
        <w:rPr>
          <w:lang w:val="en-US"/>
        </w:rPr>
        <w:t xml:space="preserve"> </w:t>
      </w:r>
      <w:r w:rsidRPr="00980AE9">
        <w:rPr>
          <w:b/>
          <w:bCs/>
          <w:lang w:val="en-US"/>
        </w:rPr>
        <w:t>5</w:t>
      </w:r>
      <w:r w:rsidRPr="00980AE9">
        <w:rPr>
          <w:lang w:val="en-US"/>
        </w:rPr>
        <w:t>:27–33. doi:10.1038/s41564-019-0609-0</w:t>
      </w:r>
    </w:p>
    <w:p w14:paraId="34DECD04" w14:textId="77777777" w:rsidR="00980AE9" w:rsidRPr="00980AE9" w:rsidRDefault="00980AE9" w:rsidP="000945AC">
      <w:pPr>
        <w:pStyle w:val="Bibliography"/>
        <w:spacing w:after="120"/>
        <w:ind w:left="0" w:firstLine="0"/>
        <w:rPr>
          <w:lang w:val="en-US"/>
        </w:rPr>
      </w:pPr>
      <w:r w:rsidRPr="00980AE9">
        <w:rPr>
          <w:lang w:val="en-US"/>
        </w:rPr>
        <w:t xml:space="preserve">Ison MG, Portsmouth S, Yoshida Y, Shishido T, Mitchener M, Tsuchiya K, Uehara T, Hayden FG. 2020. Early treatment with baloxavir marboxil in high-risk adolescent and adult outpatients with uncomplicated influenza (CAPSTONE-2): a randomised, placebo-controlled, phase 3 trial. </w:t>
      </w:r>
      <w:r w:rsidRPr="00980AE9">
        <w:rPr>
          <w:i/>
          <w:iCs/>
          <w:lang w:val="en-US"/>
        </w:rPr>
        <w:t>Lancet Infect Dis</w:t>
      </w:r>
      <w:r w:rsidRPr="00980AE9">
        <w:rPr>
          <w:lang w:val="en-US"/>
        </w:rPr>
        <w:t xml:space="preserve"> </w:t>
      </w:r>
      <w:r w:rsidRPr="00980AE9">
        <w:rPr>
          <w:b/>
          <w:bCs/>
          <w:lang w:val="en-US"/>
        </w:rPr>
        <w:t>20</w:t>
      </w:r>
      <w:r w:rsidRPr="00980AE9">
        <w:rPr>
          <w:lang w:val="en-US"/>
        </w:rPr>
        <w:t>:1204–1214. doi:10.1016/S1473-3099(20)30004-9</w:t>
      </w:r>
    </w:p>
    <w:p w14:paraId="626BD403" w14:textId="77777777" w:rsidR="00980AE9" w:rsidRPr="00980AE9" w:rsidRDefault="00980AE9" w:rsidP="000945AC">
      <w:pPr>
        <w:pStyle w:val="Bibliography"/>
        <w:spacing w:after="120"/>
        <w:ind w:left="0" w:firstLine="0"/>
        <w:rPr>
          <w:lang w:val="en-US"/>
        </w:rPr>
      </w:pPr>
      <w:r w:rsidRPr="00980AE9">
        <w:rPr>
          <w:lang w:val="en-US"/>
        </w:rPr>
        <w:t xml:space="preserve">Jones JC, Pascua PNQ, Fabrizio TP, Marathe BM, Seiler P, Barman S, Webby RJ, Webster RG, Govorkova EA. 2020. Influenza A and B viruses with reduced baloxavir susceptibility display attenuated in vitro fitness but retain ferret transmissibility. </w:t>
      </w:r>
      <w:r w:rsidRPr="00980AE9">
        <w:rPr>
          <w:i/>
          <w:iCs/>
          <w:lang w:val="en-US"/>
        </w:rPr>
        <w:t>Proc Natl Acad Sci</w:t>
      </w:r>
      <w:r w:rsidRPr="00980AE9">
        <w:rPr>
          <w:lang w:val="en-US"/>
        </w:rPr>
        <w:t xml:space="preserve"> </w:t>
      </w:r>
      <w:r w:rsidRPr="00980AE9">
        <w:rPr>
          <w:b/>
          <w:bCs/>
          <w:lang w:val="en-US"/>
        </w:rPr>
        <w:t>117</w:t>
      </w:r>
      <w:r w:rsidRPr="00980AE9">
        <w:rPr>
          <w:lang w:val="en-US"/>
        </w:rPr>
        <w:t>:8593–8601. doi:10.1073/pnas.1916825117</w:t>
      </w:r>
    </w:p>
    <w:p w14:paraId="5DB174D1" w14:textId="77777777" w:rsidR="00980AE9" w:rsidRPr="00980AE9" w:rsidRDefault="00980AE9" w:rsidP="000945AC">
      <w:pPr>
        <w:pStyle w:val="Bibliography"/>
        <w:spacing w:after="120"/>
        <w:ind w:left="0" w:firstLine="0"/>
        <w:rPr>
          <w:lang w:val="en-US"/>
        </w:rPr>
      </w:pPr>
      <w:r w:rsidRPr="00980AE9">
        <w:rPr>
          <w:lang w:val="en-US"/>
        </w:rPr>
        <w:t xml:space="preserve">Jones JC, Zagribelnyy B, Pascua PNQ, Bezrukov DS, Barman S, Okda F, Webby RJ, Ivanenkov YA, Govorkova EA. 2022. Influenza A virus polymerase acidic protein E23G/K substitutions weaken key baloxavir drug-binding contacts with minimal impact on replication and transmission. </w:t>
      </w:r>
      <w:r w:rsidRPr="00980AE9">
        <w:rPr>
          <w:i/>
          <w:iCs/>
          <w:lang w:val="en-US"/>
        </w:rPr>
        <w:t>PLOS Pathog</w:t>
      </w:r>
      <w:r w:rsidRPr="00980AE9">
        <w:rPr>
          <w:lang w:val="en-US"/>
        </w:rPr>
        <w:t xml:space="preserve"> </w:t>
      </w:r>
      <w:r w:rsidRPr="00980AE9">
        <w:rPr>
          <w:b/>
          <w:bCs/>
          <w:lang w:val="en-US"/>
        </w:rPr>
        <w:t>18</w:t>
      </w:r>
      <w:r w:rsidRPr="00980AE9">
        <w:rPr>
          <w:lang w:val="en-US"/>
        </w:rPr>
        <w:t>:e1010698. doi:10.1371/journal.ppat.1010698</w:t>
      </w:r>
    </w:p>
    <w:p w14:paraId="7BDB6E2F" w14:textId="77777777" w:rsidR="00980AE9" w:rsidRPr="00980AE9" w:rsidRDefault="00980AE9" w:rsidP="000945AC">
      <w:pPr>
        <w:pStyle w:val="Bibliography"/>
        <w:spacing w:after="120"/>
        <w:ind w:left="0" w:firstLine="0"/>
        <w:rPr>
          <w:lang w:val="en-US"/>
        </w:rPr>
      </w:pPr>
      <w:r w:rsidRPr="00980AE9">
        <w:rPr>
          <w:lang w:val="en-US"/>
        </w:rPr>
        <w:t xml:space="preserve">Koszalka Paulina, George Ankita, Dhanasekaran Vijaykrishna, Hurt Aeron C., Subbarao Kanta. 2022. Effect of Baloxavir and Oseltamivir in Combination on Infection with Influenza Viruses with PA/I38T or PA/E23K Substitutions in the Ferret Model. </w:t>
      </w:r>
      <w:r w:rsidRPr="00980AE9">
        <w:rPr>
          <w:i/>
          <w:iCs/>
          <w:lang w:val="en-US"/>
        </w:rPr>
        <w:t>mBio</w:t>
      </w:r>
      <w:r w:rsidRPr="00980AE9">
        <w:rPr>
          <w:lang w:val="en-US"/>
        </w:rPr>
        <w:t xml:space="preserve"> </w:t>
      </w:r>
      <w:r w:rsidRPr="00980AE9">
        <w:rPr>
          <w:b/>
          <w:bCs/>
          <w:lang w:val="en-US"/>
        </w:rPr>
        <w:t>13</w:t>
      </w:r>
      <w:r w:rsidRPr="00980AE9">
        <w:rPr>
          <w:lang w:val="en-US"/>
        </w:rPr>
        <w:t>:e01056-22. doi:10.1128/mbio.01056-22</w:t>
      </w:r>
    </w:p>
    <w:p w14:paraId="2C1EEF5F" w14:textId="77777777" w:rsidR="00980AE9" w:rsidRPr="00980AE9" w:rsidRDefault="00980AE9" w:rsidP="000945AC">
      <w:pPr>
        <w:pStyle w:val="Bibliography"/>
        <w:spacing w:after="120"/>
        <w:ind w:left="0" w:firstLine="0"/>
        <w:rPr>
          <w:lang w:val="en-US"/>
        </w:rPr>
      </w:pPr>
      <w:r w:rsidRPr="00980AE9">
        <w:rPr>
          <w:lang w:val="en-US"/>
        </w:rPr>
        <w:t xml:space="preserve">Lange A, Ferguson NM. 2009. Antigenic Diversity, Transmission Mechanisms, and the Evolution of Pathogens. </w:t>
      </w:r>
      <w:r w:rsidRPr="00980AE9">
        <w:rPr>
          <w:i/>
          <w:iCs/>
          <w:lang w:val="en-US"/>
        </w:rPr>
        <w:t>PLOS Comput Biol</w:t>
      </w:r>
      <w:r w:rsidRPr="00980AE9">
        <w:rPr>
          <w:lang w:val="en-US"/>
        </w:rPr>
        <w:t xml:space="preserve"> </w:t>
      </w:r>
      <w:r w:rsidRPr="00980AE9">
        <w:rPr>
          <w:b/>
          <w:bCs/>
          <w:lang w:val="en-US"/>
        </w:rPr>
        <w:t>5</w:t>
      </w:r>
      <w:r w:rsidRPr="00980AE9">
        <w:rPr>
          <w:lang w:val="en-US"/>
        </w:rPr>
        <w:t>:e1000536. doi:10.1371/journal.pcbi.1000536</w:t>
      </w:r>
    </w:p>
    <w:p w14:paraId="39D1D160" w14:textId="77777777" w:rsidR="00980AE9" w:rsidRPr="00980AE9" w:rsidRDefault="00980AE9" w:rsidP="000945AC">
      <w:pPr>
        <w:pStyle w:val="Bibliography"/>
        <w:spacing w:after="120"/>
        <w:ind w:left="0" w:firstLine="0"/>
        <w:rPr>
          <w:lang w:val="en-US"/>
        </w:rPr>
      </w:pPr>
      <w:r w:rsidRPr="00980AE9">
        <w:rPr>
          <w:lang w:val="en-US"/>
        </w:rPr>
        <w:t xml:space="preserve">Lavery JV, Porter RM, Addiss DG. 2023. Cascading failures in COVID-19 vaccine equity. </w:t>
      </w:r>
      <w:r w:rsidRPr="00980AE9">
        <w:rPr>
          <w:i/>
          <w:iCs/>
          <w:lang w:val="en-US"/>
        </w:rPr>
        <w:t>Science</w:t>
      </w:r>
      <w:r w:rsidRPr="00980AE9">
        <w:rPr>
          <w:lang w:val="en-US"/>
        </w:rPr>
        <w:t xml:space="preserve"> </w:t>
      </w:r>
      <w:r w:rsidRPr="00980AE9">
        <w:rPr>
          <w:b/>
          <w:bCs/>
          <w:lang w:val="en-US"/>
        </w:rPr>
        <w:t>380</w:t>
      </w:r>
      <w:r w:rsidRPr="00980AE9">
        <w:rPr>
          <w:lang w:val="en-US"/>
        </w:rPr>
        <w:t>:460–462. doi:10.1126/science.add5912</w:t>
      </w:r>
    </w:p>
    <w:p w14:paraId="415A1CC0" w14:textId="77777777" w:rsidR="00980AE9" w:rsidRPr="00980AE9" w:rsidRDefault="00980AE9" w:rsidP="000945AC">
      <w:pPr>
        <w:pStyle w:val="Bibliography"/>
        <w:spacing w:after="120"/>
        <w:ind w:left="0" w:firstLine="0"/>
        <w:rPr>
          <w:lang w:val="en-US"/>
        </w:rPr>
      </w:pPr>
      <w:r w:rsidRPr="00980AE9">
        <w:rPr>
          <w:lang w:val="en-US"/>
        </w:rPr>
        <w:t xml:space="preserve">Lee V, Phua KH, Chen M, Chow A, Ma S, Goh KT, Leo YS. 2006. Economics of Neuraminidase Inhibitor Stockpiling for Pandemic Influenza, Singapore. </w:t>
      </w:r>
      <w:r w:rsidRPr="00980AE9">
        <w:rPr>
          <w:i/>
          <w:iCs/>
          <w:lang w:val="en-US"/>
        </w:rPr>
        <w:t>Emerg Infect Dis J</w:t>
      </w:r>
      <w:r w:rsidRPr="00980AE9">
        <w:rPr>
          <w:lang w:val="en-US"/>
        </w:rPr>
        <w:t xml:space="preserve"> </w:t>
      </w:r>
      <w:r w:rsidRPr="00980AE9">
        <w:rPr>
          <w:b/>
          <w:bCs/>
          <w:lang w:val="en-US"/>
        </w:rPr>
        <w:t>12</w:t>
      </w:r>
      <w:r w:rsidRPr="00980AE9">
        <w:rPr>
          <w:lang w:val="en-US"/>
        </w:rPr>
        <w:t>:95. doi:10.3201/eid1201.050556</w:t>
      </w:r>
    </w:p>
    <w:p w14:paraId="390DD987" w14:textId="77777777" w:rsidR="00980AE9" w:rsidRPr="00980AE9" w:rsidRDefault="00980AE9" w:rsidP="000945AC">
      <w:pPr>
        <w:pStyle w:val="Bibliography"/>
        <w:spacing w:after="120"/>
        <w:ind w:left="0" w:firstLine="0"/>
        <w:rPr>
          <w:lang w:val="en-US"/>
        </w:rPr>
      </w:pPr>
      <w:r w:rsidRPr="00980AE9">
        <w:rPr>
          <w:lang w:val="en-US"/>
        </w:rPr>
        <w:t xml:space="preserve">Lessler J, Reich NG, Brookmeyer R, Perl TM, Nelson KE, Cummings DA. 2009. Incubation periods of acute respiratory viral infections: a systematic review. </w:t>
      </w:r>
      <w:r w:rsidRPr="00980AE9">
        <w:rPr>
          <w:i/>
          <w:iCs/>
          <w:lang w:val="en-US"/>
        </w:rPr>
        <w:t>Lancet Infect Dis</w:t>
      </w:r>
      <w:r w:rsidRPr="00980AE9">
        <w:rPr>
          <w:lang w:val="en-US"/>
        </w:rPr>
        <w:t xml:space="preserve"> </w:t>
      </w:r>
      <w:r w:rsidRPr="00980AE9">
        <w:rPr>
          <w:b/>
          <w:bCs/>
          <w:lang w:val="en-US"/>
        </w:rPr>
        <w:t>9</w:t>
      </w:r>
      <w:r w:rsidRPr="00980AE9">
        <w:rPr>
          <w:lang w:val="en-US"/>
        </w:rPr>
        <w:t>:291–300. doi:10.1016/S1473-3099(09)70069-6</w:t>
      </w:r>
    </w:p>
    <w:p w14:paraId="635ED979" w14:textId="77777777" w:rsidR="00980AE9" w:rsidRPr="00980AE9" w:rsidRDefault="00980AE9" w:rsidP="000945AC">
      <w:pPr>
        <w:pStyle w:val="Bibliography"/>
        <w:spacing w:after="120"/>
        <w:ind w:left="0" w:firstLine="0"/>
        <w:rPr>
          <w:lang w:val="en-US"/>
        </w:rPr>
      </w:pPr>
      <w:r w:rsidRPr="00980AE9">
        <w:rPr>
          <w:lang w:val="en-US"/>
        </w:rPr>
        <w:t xml:space="preserve">Leung NHL, Xu C, Ip DKM, Cowling BJ. 2015. Review Article: The Fraction of Influenza Virus Infections That Are Asymptomatic: A Systematic Review and Meta-analysis. </w:t>
      </w:r>
      <w:r w:rsidRPr="00980AE9">
        <w:rPr>
          <w:i/>
          <w:iCs/>
          <w:lang w:val="en-US"/>
        </w:rPr>
        <w:t>Epidemiology</w:t>
      </w:r>
      <w:r w:rsidRPr="00980AE9">
        <w:rPr>
          <w:lang w:val="en-US"/>
        </w:rPr>
        <w:t xml:space="preserve"> </w:t>
      </w:r>
      <w:r w:rsidRPr="00980AE9">
        <w:rPr>
          <w:b/>
          <w:bCs/>
          <w:lang w:val="en-US"/>
        </w:rPr>
        <w:t>26</w:t>
      </w:r>
      <w:r w:rsidRPr="00980AE9">
        <w:rPr>
          <w:lang w:val="en-US"/>
        </w:rPr>
        <w:t>.</w:t>
      </w:r>
    </w:p>
    <w:p w14:paraId="48C9D118" w14:textId="77777777" w:rsidR="00980AE9" w:rsidRPr="00980AE9" w:rsidRDefault="00980AE9" w:rsidP="000945AC">
      <w:pPr>
        <w:pStyle w:val="Bibliography"/>
        <w:spacing w:after="120"/>
        <w:ind w:left="0" w:firstLine="0"/>
        <w:rPr>
          <w:lang w:val="en-US"/>
        </w:rPr>
      </w:pPr>
      <w:r w:rsidRPr="00980AE9">
        <w:rPr>
          <w:lang w:val="en-US"/>
        </w:rPr>
        <w:t xml:space="preserve">Liu Y, Morgenstern C, Kelly J, Lowe R, Munday J, Villabona-Arenas CJ, Gibbs H, Pearson CAB, Prem K, Leclerc QJ, Meakin SR, Edmunds WJ, Jarvis CI, Gimma A, Funk S, Quaife M, Russell TW, Emory JC, Abbott S, Hellewell J, Tully DC, Houben RMGJ, O’Reilly K, Gore-Langton GR, Kucharski AJ, Auzenbergs M, Quilty BJ, Jombart T, Rosello A, Brady O, Atkins KE, van Zandvoort K, Rudge JW, Endo A, Abbas K, Sun FY, Procter SR, Clifford S, Foss AM, Davies NG, Chan Y-WD, Diamond C, Barnard RC, Eggo RM, Deol AK, Nightingale ES, Simons D, Sherratt K, Medley G, Hué S, Knight GM, Flasche S, Bosse NI, Klepac P, Jit M, CMMID COVID-19 Working Group. 2021. The impact of non-pharmaceutical interventions on SARS-CoV-2 transmission across 130 countries and territories. </w:t>
      </w:r>
      <w:r w:rsidRPr="00980AE9">
        <w:rPr>
          <w:i/>
          <w:iCs/>
          <w:lang w:val="en-US"/>
        </w:rPr>
        <w:t>BMC Med</w:t>
      </w:r>
      <w:r w:rsidRPr="00980AE9">
        <w:rPr>
          <w:lang w:val="en-US"/>
        </w:rPr>
        <w:t xml:space="preserve"> </w:t>
      </w:r>
      <w:r w:rsidRPr="00980AE9">
        <w:rPr>
          <w:b/>
          <w:bCs/>
          <w:lang w:val="en-US"/>
        </w:rPr>
        <w:t>19</w:t>
      </w:r>
      <w:r w:rsidRPr="00980AE9">
        <w:rPr>
          <w:lang w:val="en-US"/>
        </w:rPr>
        <w:t>:40. doi:10.1186/s12916-020-01872-8</w:t>
      </w:r>
    </w:p>
    <w:p w14:paraId="01677345" w14:textId="77777777" w:rsidR="00980AE9" w:rsidRPr="00980AE9" w:rsidRDefault="00980AE9" w:rsidP="000945AC">
      <w:pPr>
        <w:pStyle w:val="Bibliography"/>
        <w:spacing w:after="120"/>
        <w:ind w:left="0" w:firstLine="0"/>
        <w:rPr>
          <w:lang w:val="en-US"/>
        </w:rPr>
      </w:pPr>
      <w:r w:rsidRPr="00980AE9">
        <w:rPr>
          <w:lang w:val="en-US"/>
        </w:rPr>
        <w:lastRenderedPageBreak/>
        <w:t xml:space="preserve">Longini IM, Nizam A, Xu S, Ungchusak K, Hanshaoworakul W, Cummings DAT, Halloran ME. 2005. Containing Pandemic Influenza at the Source. </w:t>
      </w:r>
      <w:r w:rsidRPr="00980AE9">
        <w:rPr>
          <w:i/>
          <w:iCs/>
          <w:lang w:val="en-US"/>
        </w:rPr>
        <w:t>Science</w:t>
      </w:r>
      <w:r w:rsidRPr="00980AE9">
        <w:rPr>
          <w:lang w:val="en-US"/>
        </w:rPr>
        <w:t xml:space="preserve"> </w:t>
      </w:r>
      <w:r w:rsidRPr="00980AE9">
        <w:rPr>
          <w:b/>
          <w:bCs/>
          <w:lang w:val="en-US"/>
        </w:rPr>
        <w:t>309</w:t>
      </w:r>
      <w:r w:rsidRPr="00980AE9">
        <w:rPr>
          <w:lang w:val="en-US"/>
        </w:rPr>
        <w:t>:1083–1087. doi:10.1126/science.1115717</w:t>
      </w:r>
    </w:p>
    <w:p w14:paraId="78BDC09B" w14:textId="77777777" w:rsidR="00980AE9" w:rsidRPr="00980AE9" w:rsidRDefault="00980AE9" w:rsidP="000945AC">
      <w:pPr>
        <w:pStyle w:val="Bibliography"/>
        <w:spacing w:after="120"/>
        <w:ind w:left="0" w:firstLine="0"/>
        <w:rPr>
          <w:lang w:val="en-US"/>
        </w:rPr>
      </w:pPr>
      <w:r w:rsidRPr="00980AE9">
        <w:rPr>
          <w:lang w:val="en-US"/>
        </w:rPr>
        <w:t xml:space="preserve">Luk J, Gross P, Thompson WW. 2001. Observations on Mortality during the 1918 Influenza Pandemic. </w:t>
      </w:r>
      <w:r w:rsidRPr="00980AE9">
        <w:rPr>
          <w:i/>
          <w:iCs/>
          <w:lang w:val="en-US"/>
        </w:rPr>
        <w:t>Clin Infect Dis</w:t>
      </w:r>
      <w:r w:rsidRPr="00980AE9">
        <w:rPr>
          <w:lang w:val="en-US"/>
        </w:rPr>
        <w:t xml:space="preserve"> </w:t>
      </w:r>
      <w:r w:rsidRPr="00980AE9">
        <w:rPr>
          <w:b/>
          <w:bCs/>
          <w:lang w:val="en-US"/>
        </w:rPr>
        <w:t>33</w:t>
      </w:r>
      <w:r w:rsidRPr="00980AE9">
        <w:rPr>
          <w:lang w:val="en-US"/>
        </w:rPr>
        <w:t>:1375–1378. doi:10.1086/322662</w:t>
      </w:r>
    </w:p>
    <w:p w14:paraId="2292F066" w14:textId="77777777" w:rsidR="00980AE9" w:rsidRPr="00980AE9" w:rsidRDefault="00980AE9" w:rsidP="000945AC">
      <w:pPr>
        <w:pStyle w:val="Bibliography"/>
        <w:spacing w:after="120"/>
        <w:ind w:left="0" w:firstLine="0"/>
        <w:rPr>
          <w:lang w:val="en-US"/>
        </w:rPr>
      </w:pPr>
      <w:r w:rsidRPr="00980AE9">
        <w:rPr>
          <w:lang w:val="en-US"/>
        </w:rPr>
        <w:t xml:space="preserve">Marc A, Kerioui M, Blanquart F, Bertrand J, Mitjà O, Corbacho-Monné M, Marks M, Guedj J. 2021. Quantifying the relationship between SARS-CoV-2 viral load and infectiousness. </w:t>
      </w:r>
      <w:r w:rsidRPr="00980AE9">
        <w:rPr>
          <w:i/>
          <w:iCs/>
          <w:lang w:val="en-US"/>
        </w:rPr>
        <w:t>eLife</w:t>
      </w:r>
      <w:r w:rsidRPr="00980AE9">
        <w:rPr>
          <w:lang w:val="en-US"/>
        </w:rPr>
        <w:t xml:space="preserve"> </w:t>
      </w:r>
      <w:r w:rsidRPr="00980AE9">
        <w:rPr>
          <w:b/>
          <w:bCs/>
          <w:lang w:val="en-US"/>
        </w:rPr>
        <w:t>10</w:t>
      </w:r>
      <w:r w:rsidRPr="00980AE9">
        <w:rPr>
          <w:lang w:val="en-US"/>
        </w:rPr>
        <w:t>:e69302. doi:10.7554/eLife.69302</w:t>
      </w:r>
    </w:p>
    <w:p w14:paraId="7A1D4242" w14:textId="77777777" w:rsidR="00980AE9" w:rsidRPr="00980AE9" w:rsidRDefault="00980AE9" w:rsidP="000945AC">
      <w:pPr>
        <w:pStyle w:val="Bibliography"/>
        <w:spacing w:after="120"/>
        <w:ind w:left="0" w:firstLine="0"/>
        <w:rPr>
          <w:lang w:val="en-US"/>
        </w:rPr>
      </w:pPr>
      <w:r w:rsidRPr="00980AE9">
        <w:rPr>
          <w:lang w:val="en-US"/>
        </w:rPr>
        <w:t xml:space="preserve">McCaw JM, McVernon J. 2007. Prophylaxis or treatment? Optimal use of an antiviral stockpile during an influenza pandemic. </w:t>
      </w:r>
      <w:r w:rsidRPr="00980AE9">
        <w:rPr>
          <w:i/>
          <w:iCs/>
          <w:lang w:val="en-US"/>
        </w:rPr>
        <w:t>Math Biosci</w:t>
      </w:r>
      <w:r w:rsidRPr="00980AE9">
        <w:rPr>
          <w:lang w:val="en-US"/>
        </w:rPr>
        <w:t xml:space="preserve"> </w:t>
      </w:r>
      <w:r w:rsidRPr="00980AE9">
        <w:rPr>
          <w:b/>
          <w:bCs/>
          <w:lang w:val="en-US"/>
        </w:rPr>
        <w:t>209</w:t>
      </w:r>
      <w:r w:rsidRPr="00980AE9">
        <w:rPr>
          <w:lang w:val="en-US"/>
        </w:rPr>
        <w:t>:336–360. doi:10.1016/j.mbs.2007.02.003</w:t>
      </w:r>
    </w:p>
    <w:p w14:paraId="4F83C993" w14:textId="77777777" w:rsidR="00980AE9" w:rsidRPr="00980AE9" w:rsidRDefault="00980AE9" w:rsidP="000945AC">
      <w:pPr>
        <w:pStyle w:val="Bibliography"/>
        <w:spacing w:after="120"/>
        <w:ind w:left="0" w:firstLine="0"/>
        <w:rPr>
          <w:lang w:val="en-US"/>
        </w:rPr>
      </w:pPr>
      <w:r w:rsidRPr="00980AE9">
        <w:rPr>
          <w:lang w:val="en-US"/>
        </w:rPr>
        <w:t xml:space="preserve">McVernon J, McCaw JM, Nolan TM. 2010. Modelling strategic use of the national antiviral stockpile during the CONTAIN and SUSTAIN phases of an Australian pandemic influenza response. </w:t>
      </w:r>
      <w:r w:rsidRPr="00980AE9">
        <w:rPr>
          <w:i/>
          <w:iCs/>
          <w:lang w:val="en-US"/>
        </w:rPr>
        <w:t>Aust N Z J Public Health</w:t>
      </w:r>
      <w:r w:rsidRPr="00980AE9">
        <w:rPr>
          <w:lang w:val="en-US"/>
        </w:rPr>
        <w:t xml:space="preserve"> </w:t>
      </w:r>
      <w:r w:rsidRPr="00980AE9">
        <w:rPr>
          <w:b/>
          <w:bCs/>
          <w:lang w:val="en-US"/>
        </w:rPr>
        <w:t>34</w:t>
      </w:r>
      <w:r w:rsidRPr="00980AE9">
        <w:rPr>
          <w:lang w:val="en-US"/>
        </w:rPr>
        <w:t>:113–119. doi:10.1111/j.1753-6405.2010.00493.x</w:t>
      </w:r>
    </w:p>
    <w:p w14:paraId="0DD8DFF3" w14:textId="77777777" w:rsidR="00980AE9" w:rsidRPr="00980AE9" w:rsidRDefault="00980AE9" w:rsidP="000945AC">
      <w:pPr>
        <w:pStyle w:val="Bibliography"/>
        <w:spacing w:after="120"/>
        <w:ind w:left="0" w:firstLine="0"/>
        <w:rPr>
          <w:lang w:val="en-US"/>
        </w:rPr>
      </w:pPr>
      <w:r w:rsidRPr="00980AE9">
        <w:rPr>
          <w:lang w:val="en-US"/>
        </w:rPr>
        <w:t xml:space="preserve">Merckx J, Wali R, Schiller I, Caya C, Gore GC, Chartrand C, Dendukuri N, Papenburg J. 2017. Diagnostic Accuracy of Novel and Traditional Rapid Tests for Influenza Infection Compared With Reverse Transcriptase Polymerase Chain Reaction. </w:t>
      </w:r>
      <w:r w:rsidRPr="00980AE9">
        <w:rPr>
          <w:i/>
          <w:iCs/>
          <w:lang w:val="en-US"/>
        </w:rPr>
        <w:t>Ann Intern Med</w:t>
      </w:r>
      <w:r w:rsidRPr="00980AE9">
        <w:rPr>
          <w:lang w:val="en-US"/>
        </w:rPr>
        <w:t xml:space="preserve"> </w:t>
      </w:r>
      <w:r w:rsidRPr="00980AE9">
        <w:rPr>
          <w:b/>
          <w:bCs/>
          <w:lang w:val="en-US"/>
        </w:rPr>
        <w:t>167</w:t>
      </w:r>
      <w:r w:rsidRPr="00980AE9">
        <w:rPr>
          <w:lang w:val="en-US"/>
        </w:rPr>
        <w:t>:394–409. doi:10.7326/M17-0848</w:t>
      </w:r>
    </w:p>
    <w:p w14:paraId="5414350F" w14:textId="77777777" w:rsidR="00980AE9" w:rsidRPr="00980AE9" w:rsidRDefault="00980AE9" w:rsidP="000945AC">
      <w:pPr>
        <w:pStyle w:val="Bibliography"/>
        <w:spacing w:after="120"/>
        <w:ind w:left="0" w:firstLine="0"/>
        <w:rPr>
          <w:lang w:val="en-US"/>
        </w:rPr>
      </w:pPr>
      <w:r w:rsidRPr="00980AE9">
        <w:rPr>
          <w:lang w:val="en-US"/>
        </w:rPr>
        <w:t xml:space="preserve">Monto Arnold S., Kuhlbusch Klaus, Bernasconi Corrado, Cao Bin, Cohen Herman Avner, Graham Emily, Hurt Aeron C., Katugampola Laurie, Kamezawa Takashi, Lauring Adam S., McLean Barry, Takazono Takahiro, Widmer Andreas, Wildum Steffen, Cowling Benjamin J. 2025. Efficacy of Baloxavir Treatment in Preventing Transmission of Influenza. </w:t>
      </w:r>
      <w:r w:rsidRPr="00980AE9">
        <w:rPr>
          <w:i/>
          <w:iCs/>
          <w:lang w:val="en-US"/>
        </w:rPr>
        <w:t>N Engl J Med</w:t>
      </w:r>
      <w:r w:rsidRPr="00980AE9">
        <w:rPr>
          <w:lang w:val="en-US"/>
        </w:rPr>
        <w:t xml:space="preserve"> </w:t>
      </w:r>
      <w:r w:rsidRPr="00980AE9">
        <w:rPr>
          <w:b/>
          <w:bCs/>
          <w:lang w:val="en-US"/>
        </w:rPr>
        <w:t>392</w:t>
      </w:r>
      <w:r w:rsidRPr="00980AE9">
        <w:rPr>
          <w:lang w:val="en-US"/>
        </w:rPr>
        <w:t>:1582–1593. doi:10.1056/NEJMoa2413156</w:t>
      </w:r>
    </w:p>
    <w:p w14:paraId="26445ABD" w14:textId="77777777" w:rsidR="00980AE9" w:rsidRPr="00980AE9" w:rsidRDefault="00980AE9" w:rsidP="000945AC">
      <w:pPr>
        <w:pStyle w:val="Bibliography"/>
        <w:spacing w:after="120"/>
        <w:ind w:left="0" w:firstLine="0"/>
        <w:rPr>
          <w:lang w:val="en-US"/>
        </w:rPr>
      </w:pPr>
      <w:r w:rsidRPr="00980AE9">
        <w:rPr>
          <w:lang w:val="en-US"/>
        </w:rPr>
        <w:t xml:space="preserve">Morris DH, Petrova VN, Rossine FW, Parker E, Grenfell BT, Neher RA, Levin SA, Russell CA. 2020. Asynchrony between virus diversity and antibody selection limits influenza virus evolution. </w:t>
      </w:r>
      <w:r w:rsidRPr="00980AE9">
        <w:rPr>
          <w:i/>
          <w:iCs/>
          <w:lang w:val="en-US"/>
        </w:rPr>
        <w:t>eLife</w:t>
      </w:r>
      <w:r w:rsidRPr="00980AE9">
        <w:rPr>
          <w:lang w:val="en-US"/>
        </w:rPr>
        <w:t xml:space="preserve"> </w:t>
      </w:r>
      <w:r w:rsidRPr="00980AE9">
        <w:rPr>
          <w:b/>
          <w:bCs/>
          <w:lang w:val="en-US"/>
        </w:rPr>
        <w:t>9</w:t>
      </w:r>
      <w:r w:rsidRPr="00980AE9">
        <w:rPr>
          <w:lang w:val="en-US"/>
        </w:rPr>
        <w:t>:e62105. doi:10.7554/eLife.62105</w:t>
      </w:r>
    </w:p>
    <w:p w14:paraId="2759D9C8" w14:textId="77777777" w:rsidR="00980AE9" w:rsidRPr="00980AE9" w:rsidRDefault="00980AE9" w:rsidP="000945AC">
      <w:pPr>
        <w:pStyle w:val="Bibliography"/>
        <w:spacing w:after="120"/>
        <w:ind w:left="0" w:firstLine="0"/>
        <w:rPr>
          <w:lang w:val="en-US"/>
        </w:rPr>
      </w:pPr>
      <w:r w:rsidRPr="00980AE9">
        <w:rPr>
          <w:lang w:val="en-US"/>
        </w:rPr>
        <w:t xml:space="preserve">O’Hagan JJ, Wong KK, Campbell AP, Patel A, Swerdlow DL, Fry AM, Koonin LM, Meltzer MI. 2015. Estimating the United States Demand for Influenza Antivirals and the Effect on Severe Influenza Disease During a Potential Pandemic. </w:t>
      </w:r>
      <w:r w:rsidRPr="00980AE9">
        <w:rPr>
          <w:i/>
          <w:iCs/>
          <w:lang w:val="en-US"/>
        </w:rPr>
        <w:t>Clin Infect Dis</w:t>
      </w:r>
      <w:r w:rsidRPr="00980AE9">
        <w:rPr>
          <w:lang w:val="en-US"/>
        </w:rPr>
        <w:t xml:space="preserve"> </w:t>
      </w:r>
      <w:r w:rsidRPr="00980AE9">
        <w:rPr>
          <w:b/>
          <w:bCs/>
          <w:lang w:val="en-US"/>
        </w:rPr>
        <w:t>60</w:t>
      </w:r>
      <w:r w:rsidRPr="00980AE9">
        <w:rPr>
          <w:lang w:val="en-US"/>
        </w:rPr>
        <w:t>:S30–S41. doi:10.1093/cid/civ084</w:t>
      </w:r>
    </w:p>
    <w:p w14:paraId="3D048E52" w14:textId="77777777" w:rsidR="00980AE9" w:rsidRPr="00980AE9" w:rsidRDefault="00980AE9" w:rsidP="000945AC">
      <w:pPr>
        <w:pStyle w:val="Bibliography"/>
        <w:spacing w:after="120"/>
        <w:ind w:left="0" w:firstLine="0"/>
        <w:rPr>
          <w:lang w:val="en-US"/>
        </w:rPr>
      </w:pPr>
      <w:r w:rsidRPr="00980AE9">
        <w:rPr>
          <w:lang w:val="en-US"/>
        </w:rPr>
        <w:t xml:space="preserve">Oliver Eales, James M. McCaw, Freya M. Shearer. 2023. Challenges in the case-based surveillance of infectious diseases. </w:t>
      </w:r>
      <w:r w:rsidRPr="00980AE9">
        <w:rPr>
          <w:i/>
          <w:iCs/>
          <w:lang w:val="en-US"/>
        </w:rPr>
        <w:t>medRxiv</w:t>
      </w:r>
      <w:r w:rsidRPr="00980AE9">
        <w:rPr>
          <w:lang w:val="en-US"/>
        </w:rPr>
        <w:t xml:space="preserve"> 2023.12.19.23300224. doi:10.1101/2023.12.19.23300224</w:t>
      </w:r>
    </w:p>
    <w:p w14:paraId="72D4B042" w14:textId="77777777" w:rsidR="00980AE9" w:rsidRPr="00980AE9" w:rsidRDefault="00980AE9" w:rsidP="000945AC">
      <w:pPr>
        <w:pStyle w:val="Bibliography"/>
        <w:spacing w:after="120"/>
        <w:ind w:left="0" w:firstLine="0"/>
        <w:rPr>
          <w:lang w:val="en-US"/>
        </w:rPr>
      </w:pPr>
      <w:r w:rsidRPr="00980AE9">
        <w:rPr>
          <w:lang w:val="en-US"/>
        </w:rPr>
        <w:t xml:space="preserve">Omoto S, Speranzini V, Hashimoto T, Noshi T, Yamaguchi H, Kawai M, Kawaguchi K, Uehara T, Shishido T, Naito A, Cusack S. 2018. Characterization of influenza virus variants induced by treatment with the endonuclease inhibitor baloxavir marboxil. </w:t>
      </w:r>
      <w:r w:rsidRPr="00980AE9">
        <w:rPr>
          <w:i/>
          <w:iCs/>
          <w:lang w:val="en-US"/>
        </w:rPr>
        <w:t>Sci Rep</w:t>
      </w:r>
      <w:r w:rsidRPr="00980AE9">
        <w:rPr>
          <w:lang w:val="en-US"/>
        </w:rPr>
        <w:t xml:space="preserve"> </w:t>
      </w:r>
      <w:r w:rsidRPr="00980AE9">
        <w:rPr>
          <w:b/>
          <w:bCs/>
          <w:lang w:val="en-US"/>
        </w:rPr>
        <w:t>8</w:t>
      </w:r>
      <w:r w:rsidRPr="00980AE9">
        <w:rPr>
          <w:lang w:val="en-US"/>
        </w:rPr>
        <w:t>:9633. doi:10.1038/s41598-018-27890-4</w:t>
      </w:r>
    </w:p>
    <w:p w14:paraId="647AD753" w14:textId="77777777" w:rsidR="00980AE9" w:rsidRPr="00980AE9" w:rsidRDefault="00980AE9" w:rsidP="000945AC">
      <w:pPr>
        <w:pStyle w:val="Bibliography"/>
        <w:spacing w:after="120"/>
        <w:ind w:left="0" w:firstLine="0"/>
        <w:rPr>
          <w:lang w:val="en-US"/>
        </w:rPr>
      </w:pPr>
      <w:r w:rsidRPr="00980AE9">
        <w:rPr>
          <w:lang w:val="en-US"/>
        </w:rPr>
        <w:t xml:space="preserve">Pai M, Bandara S, Kyobutungi C. 2024. Shifting power in global health will require leadership by the Global South and allyship by the Global North. </w:t>
      </w:r>
      <w:r w:rsidRPr="00980AE9">
        <w:rPr>
          <w:i/>
          <w:iCs/>
          <w:lang w:val="en-US"/>
        </w:rPr>
        <w:t>The Lancet</w:t>
      </w:r>
      <w:r w:rsidRPr="00980AE9">
        <w:rPr>
          <w:lang w:val="en-US"/>
        </w:rPr>
        <w:t xml:space="preserve"> </w:t>
      </w:r>
      <w:r w:rsidRPr="00980AE9">
        <w:rPr>
          <w:b/>
          <w:bCs/>
          <w:lang w:val="en-US"/>
        </w:rPr>
        <w:t>404</w:t>
      </w:r>
      <w:r w:rsidRPr="00980AE9">
        <w:rPr>
          <w:lang w:val="en-US"/>
        </w:rPr>
        <w:t>:1711–1713. doi:10.1016/S0140-6736(24)02323-7</w:t>
      </w:r>
    </w:p>
    <w:p w14:paraId="57A37506" w14:textId="77777777" w:rsidR="00980AE9" w:rsidRPr="00980AE9" w:rsidRDefault="00980AE9" w:rsidP="000945AC">
      <w:pPr>
        <w:pStyle w:val="Bibliography"/>
        <w:spacing w:after="120"/>
        <w:ind w:left="0" w:firstLine="0"/>
        <w:rPr>
          <w:lang w:val="en-US"/>
        </w:rPr>
      </w:pPr>
      <w:r w:rsidRPr="00980AE9">
        <w:rPr>
          <w:lang w:val="en-US"/>
        </w:rPr>
        <w:t xml:space="preserve">Park J-H, Kim B, Antigua KJC, Jeong JH, Kim C il, Choi W-S, Oh S, Kim CH, Kim E-G, Choi YK, Baek YH, Song M-S. 2021. Baloxavir-oseltamivir combination therapy </w:t>
      </w:r>
      <w:r w:rsidRPr="00980AE9">
        <w:rPr>
          <w:lang w:val="en-US"/>
        </w:rPr>
        <w:lastRenderedPageBreak/>
        <w:t xml:space="preserve">inhibits the emergence of resistant substitutions in influenza A virus PA gene in a mouse model. </w:t>
      </w:r>
      <w:r w:rsidRPr="00980AE9">
        <w:rPr>
          <w:i/>
          <w:iCs/>
          <w:lang w:val="en-US"/>
        </w:rPr>
        <w:t>Antiviral Res</w:t>
      </w:r>
      <w:r w:rsidRPr="00980AE9">
        <w:rPr>
          <w:lang w:val="en-US"/>
        </w:rPr>
        <w:t xml:space="preserve"> </w:t>
      </w:r>
      <w:r w:rsidRPr="00980AE9">
        <w:rPr>
          <w:b/>
          <w:bCs/>
          <w:lang w:val="en-US"/>
        </w:rPr>
        <w:t>193</w:t>
      </w:r>
      <w:r w:rsidRPr="00980AE9">
        <w:rPr>
          <w:lang w:val="en-US"/>
        </w:rPr>
        <w:t>:105126. doi:10.1016/j.antiviral.2021.105126</w:t>
      </w:r>
    </w:p>
    <w:p w14:paraId="34CD5A45" w14:textId="77777777" w:rsidR="00980AE9" w:rsidRPr="00980AE9" w:rsidRDefault="00980AE9" w:rsidP="000945AC">
      <w:pPr>
        <w:pStyle w:val="Bibliography"/>
        <w:spacing w:after="120"/>
        <w:ind w:left="0" w:firstLine="0"/>
        <w:rPr>
          <w:lang w:val="en-US"/>
        </w:rPr>
      </w:pPr>
      <w:r w:rsidRPr="00980AE9">
        <w:rPr>
          <w:lang w:val="en-US"/>
        </w:rPr>
        <w:t xml:space="preserve">Peppa M, John Edmunds W, Funk S. 2017. Disease severity determines health-seeking behaviour amongst individuals with influenza-like illness in an internet-based cohort. </w:t>
      </w:r>
      <w:r w:rsidRPr="00980AE9">
        <w:rPr>
          <w:i/>
          <w:iCs/>
          <w:lang w:val="en-US"/>
        </w:rPr>
        <w:t>BMC Infect Dis</w:t>
      </w:r>
      <w:r w:rsidRPr="00980AE9">
        <w:rPr>
          <w:lang w:val="en-US"/>
        </w:rPr>
        <w:t xml:space="preserve"> </w:t>
      </w:r>
      <w:r w:rsidRPr="00980AE9">
        <w:rPr>
          <w:b/>
          <w:bCs/>
          <w:lang w:val="en-US"/>
        </w:rPr>
        <w:t>17</w:t>
      </w:r>
      <w:r w:rsidRPr="00980AE9">
        <w:rPr>
          <w:lang w:val="en-US"/>
        </w:rPr>
        <w:t>:238. doi:10.1186/s12879-017-2337-5</w:t>
      </w:r>
    </w:p>
    <w:p w14:paraId="450CE2E8" w14:textId="77777777" w:rsidR="00980AE9" w:rsidRPr="00980AE9" w:rsidRDefault="00980AE9" w:rsidP="000945AC">
      <w:pPr>
        <w:pStyle w:val="Bibliography"/>
        <w:spacing w:after="120"/>
        <w:ind w:left="0" w:firstLine="0"/>
        <w:rPr>
          <w:lang w:val="en-US"/>
        </w:rPr>
      </w:pPr>
      <w:r w:rsidRPr="00980AE9">
        <w:rPr>
          <w:lang w:val="en-US"/>
        </w:rPr>
        <w:t xml:space="preserve">Prem K, Cook AR, Jit M. 2017. Projecting social contact matrices in 152 countries using contact surveys and demographic data. </w:t>
      </w:r>
      <w:r w:rsidRPr="00980AE9">
        <w:rPr>
          <w:i/>
          <w:iCs/>
          <w:lang w:val="en-US"/>
        </w:rPr>
        <w:t>PLOS Comput Biol</w:t>
      </w:r>
      <w:r w:rsidRPr="00980AE9">
        <w:rPr>
          <w:lang w:val="en-US"/>
        </w:rPr>
        <w:t xml:space="preserve"> </w:t>
      </w:r>
      <w:r w:rsidRPr="00980AE9">
        <w:rPr>
          <w:b/>
          <w:bCs/>
          <w:lang w:val="en-US"/>
        </w:rPr>
        <w:t>13</w:t>
      </w:r>
      <w:r w:rsidRPr="00980AE9">
        <w:rPr>
          <w:lang w:val="en-US"/>
        </w:rPr>
        <w:t>:e1005697. doi:10.1371/journal.pcbi.1005697</w:t>
      </w:r>
    </w:p>
    <w:p w14:paraId="1A69AFF5" w14:textId="77777777" w:rsidR="00980AE9" w:rsidRPr="00980AE9" w:rsidRDefault="00980AE9" w:rsidP="000945AC">
      <w:pPr>
        <w:pStyle w:val="Bibliography"/>
        <w:spacing w:after="120"/>
        <w:ind w:left="0" w:firstLine="0"/>
        <w:rPr>
          <w:lang w:val="en-US"/>
        </w:rPr>
      </w:pPr>
      <w:r w:rsidRPr="00980AE9">
        <w:rPr>
          <w:lang w:val="en-US"/>
        </w:rPr>
        <w:t xml:space="preserve">Prem K, Zandvoort K van, Klepac P, Eggo RM, Davies NG, Centre for the Mathematical Modelling of Infectious Diseases COVID-19 Working Group, Cook AR, Jit M. 2021. Projecting contact matrices in 177 geographical regions: An update and comparison with empirical data for the COVID-19 era. </w:t>
      </w:r>
      <w:r w:rsidRPr="00980AE9">
        <w:rPr>
          <w:i/>
          <w:iCs/>
          <w:lang w:val="en-US"/>
        </w:rPr>
        <w:t>PLOS Comput Biol</w:t>
      </w:r>
      <w:r w:rsidRPr="00980AE9">
        <w:rPr>
          <w:lang w:val="en-US"/>
        </w:rPr>
        <w:t xml:space="preserve"> </w:t>
      </w:r>
      <w:r w:rsidRPr="00980AE9">
        <w:rPr>
          <w:b/>
          <w:bCs/>
          <w:lang w:val="en-US"/>
        </w:rPr>
        <w:t>17</w:t>
      </w:r>
      <w:r w:rsidRPr="00980AE9">
        <w:rPr>
          <w:lang w:val="en-US"/>
        </w:rPr>
        <w:t>:e1009098. doi:10.1371/journal.pcbi.1009098</w:t>
      </w:r>
    </w:p>
    <w:p w14:paraId="638FFD07" w14:textId="77777777" w:rsidR="00980AE9" w:rsidRPr="00980AE9" w:rsidRDefault="00980AE9" w:rsidP="000945AC">
      <w:pPr>
        <w:pStyle w:val="Bibliography"/>
        <w:spacing w:after="120"/>
        <w:ind w:left="0" w:firstLine="0"/>
        <w:rPr>
          <w:lang w:val="en-US"/>
        </w:rPr>
      </w:pPr>
      <w:r w:rsidRPr="00980AE9">
        <w:rPr>
          <w:lang w:val="en-US"/>
        </w:rPr>
        <w:t xml:space="preserve">Rahman-Shepherd A, Aghogho Evaborhene N, Berman A, Amaya AB, Boro E, Dar O, Ho ZJM, Jung A-S, Khan M, Mohamed-Ahmed O, Oyebanji O, Pangestu TE, Rashid SF, Razavi A, Riggirozzi P, Legido-Quigley H, Hsu LY. 2025. Establishing the value of regional cooperation and a critical role for regional organisations in managing future health emergencies. </w:t>
      </w:r>
      <w:r w:rsidRPr="00980AE9">
        <w:rPr>
          <w:i/>
          <w:iCs/>
          <w:lang w:val="en-US"/>
        </w:rPr>
        <w:t>Lancet Glob Health</w:t>
      </w:r>
      <w:r w:rsidRPr="00980AE9">
        <w:rPr>
          <w:lang w:val="en-US"/>
        </w:rPr>
        <w:t xml:space="preserve"> </w:t>
      </w:r>
      <w:r w:rsidRPr="00980AE9">
        <w:rPr>
          <w:b/>
          <w:bCs/>
          <w:lang w:val="en-US"/>
        </w:rPr>
        <w:t>13</w:t>
      </w:r>
      <w:r w:rsidRPr="00980AE9">
        <w:rPr>
          <w:lang w:val="en-US"/>
        </w:rPr>
        <w:t>:e585–e592. doi:10.1016/S2214-109X(24)00500-X</w:t>
      </w:r>
    </w:p>
    <w:p w14:paraId="25EAEA22" w14:textId="77777777" w:rsidR="00980AE9" w:rsidRPr="00980AE9" w:rsidRDefault="00980AE9" w:rsidP="000945AC">
      <w:pPr>
        <w:pStyle w:val="Bibliography"/>
        <w:spacing w:after="120"/>
        <w:ind w:left="0" w:firstLine="0"/>
        <w:rPr>
          <w:lang w:val="en-US"/>
        </w:rPr>
      </w:pPr>
      <w:r w:rsidRPr="00980AE9">
        <w:rPr>
          <w:lang w:val="en-US"/>
        </w:rPr>
        <w:t xml:space="preserve">Scarabel F, Pellis L, Ogden NH, Wu J. 2021. A renewal equation model to assess roles and limitations of contact tracing for disease outbreak control. </w:t>
      </w:r>
      <w:r w:rsidRPr="00980AE9">
        <w:rPr>
          <w:i/>
          <w:iCs/>
          <w:lang w:val="en-US"/>
        </w:rPr>
        <w:t>R Soc Open Sci</w:t>
      </w:r>
      <w:r w:rsidRPr="00980AE9">
        <w:rPr>
          <w:lang w:val="en-US"/>
        </w:rPr>
        <w:t xml:space="preserve"> </w:t>
      </w:r>
      <w:r w:rsidRPr="00980AE9">
        <w:rPr>
          <w:b/>
          <w:bCs/>
          <w:lang w:val="en-US"/>
        </w:rPr>
        <w:t>8</w:t>
      </w:r>
      <w:r w:rsidRPr="00980AE9">
        <w:rPr>
          <w:lang w:val="en-US"/>
        </w:rPr>
        <w:t>:202091. doi:10.1098/rsos.202091</w:t>
      </w:r>
    </w:p>
    <w:p w14:paraId="4024E61B" w14:textId="77777777" w:rsidR="00980AE9" w:rsidRPr="00980AE9" w:rsidRDefault="00980AE9" w:rsidP="000945AC">
      <w:pPr>
        <w:pStyle w:val="Bibliography"/>
        <w:spacing w:after="120"/>
        <w:ind w:left="0" w:firstLine="0"/>
        <w:rPr>
          <w:lang w:val="en-US"/>
        </w:rPr>
      </w:pPr>
      <w:r w:rsidRPr="00980AE9">
        <w:rPr>
          <w:lang w:val="en-US"/>
        </w:rPr>
        <w:t xml:space="preserve">Siddiqui MR, Edmunds WJ. 2008. Cost-effectiveness of Antiviral Stockpiling and Near-Patient Testing for Potential Influenza Pandemic. </w:t>
      </w:r>
      <w:r w:rsidRPr="00980AE9">
        <w:rPr>
          <w:i/>
          <w:iCs/>
          <w:lang w:val="en-US"/>
        </w:rPr>
        <w:t>Emerg Infect Dis J</w:t>
      </w:r>
      <w:r w:rsidRPr="00980AE9">
        <w:rPr>
          <w:lang w:val="en-US"/>
        </w:rPr>
        <w:t xml:space="preserve"> </w:t>
      </w:r>
      <w:r w:rsidRPr="00980AE9">
        <w:rPr>
          <w:b/>
          <w:bCs/>
          <w:lang w:val="en-US"/>
        </w:rPr>
        <w:t>14</w:t>
      </w:r>
      <w:r w:rsidRPr="00980AE9">
        <w:rPr>
          <w:lang w:val="en-US"/>
        </w:rPr>
        <w:t>:267. doi:10.3201/eid1402.070478</w:t>
      </w:r>
    </w:p>
    <w:p w14:paraId="629C65C9" w14:textId="77777777" w:rsidR="00980AE9" w:rsidRPr="00980AE9" w:rsidRDefault="00980AE9" w:rsidP="000945AC">
      <w:pPr>
        <w:pStyle w:val="Bibliography"/>
        <w:spacing w:after="120"/>
        <w:ind w:left="0" w:firstLine="0"/>
        <w:rPr>
          <w:lang w:val="en-US"/>
        </w:rPr>
      </w:pPr>
      <w:r w:rsidRPr="00980AE9">
        <w:rPr>
          <w:lang w:val="en-US"/>
        </w:rPr>
        <w:t xml:space="preserve">Siegler AJ, Hall E, Luisi N, Zlotorzynska M, Wilde G, Sanchez T, Bradley H, Sullivan PS. 2020. Willingness to Seek Diagnostic Testing for SARS-CoV-2 With Home, Drive-through, and Clinic-Based Specimen Collection Locations. </w:t>
      </w:r>
      <w:r w:rsidRPr="00980AE9">
        <w:rPr>
          <w:i/>
          <w:iCs/>
          <w:lang w:val="en-US"/>
        </w:rPr>
        <w:t>Open Forum Infect Dis</w:t>
      </w:r>
      <w:r w:rsidRPr="00980AE9">
        <w:rPr>
          <w:lang w:val="en-US"/>
        </w:rPr>
        <w:t xml:space="preserve"> </w:t>
      </w:r>
      <w:r w:rsidRPr="00980AE9">
        <w:rPr>
          <w:b/>
          <w:bCs/>
          <w:lang w:val="en-US"/>
        </w:rPr>
        <w:t>7</w:t>
      </w:r>
      <w:r w:rsidRPr="00980AE9">
        <w:rPr>
          <w:lang w:val="en-US"/>
        </w:rPr>
        <w:t>:ofaa269. doi:10.1093/ofid/ofaa269</w:t>
      </w:r>
    </w:p>
    <w:p w14:paraId="24F9B0E7" w14:textId="77777777" w:rsidR="00980AE9" w:rsidRPr="00980AE9" w:rsidRDefault="00980AE9" w:rsidP="000945AC">
      <w:pPr>
        <w:pStyle w:val="Bibliography"/>
        <w:spacing w:after="120"/>
        <w:ind w:left="0" w:firstLine="0"/>
        <w:rPr>
          <w:lang w:val="en-US"/>
        </w:rPr>
      </w:pPr>
      <w:r w:rsidRPr="00980AE9">
        <w:rPr>
          <w:lang w:val="en-US"/>
        </w:rPr>
        <w:t xml:space="preserve">Smith LE, D’Antoni D, Jain V, Pearce JM, Weinman J, Rubin GJ. 2016. A systematic review of factors affecting intended and actual adherence with antiviral medication as treatment or prophylaxis in seasonal and pandemic flu. </w:t>
      </w:r>
      <w:r w:rsidRPr="00980AE9">
        <w:rPr>
          <w:i/>
          <w:iCs/>
          <w:lang w:val="en-US"/>
        </w:rPr>
        <w:t>Influenza Other Respir Viruses</w:t>
      </w:r>
      <w:r w:rsidRPr="00980AE9">
        <w:rPr>
          <w:lang w:val="en-US"/>
        </w:rPr>
        <w:t xml:space="preserve"> </w:t>
      </w:r>
      <w:r w:rsidRPr="00980AE9">
        <w:rPr>
          <w:b/>
          <w:bCs/>
          <w:lang w:val="en-US"/>
        </w:rPr>
        <w:t>10</w:t>
      </w:r>
      <w:r w:rsidRPr="00980AE9">
        <w:rPr>
          <w:lang w:val="en-US"/>
        </w:rPr>
        <w:t>:462–478. doi:10.1111/irv.12406</w:t>
      </w:r>
    </w:p>
    <w:p w14:paraId="1A046271" w14:textId="77777777" w:rsidR="00980AE9" w:rsidRPr="00980AE9" w:rsidRDefault="00980AE9" w:rsidP="000945AC">
      <w:pPr>
        <w:pStyle w:val="Bibliography"/>
        <w:spacing w:after="120"/>
        <w:ind w:left="0" w:firstLine="0"/>
        <w:rPr>
          <w:lang w:val="en-US"/>
        </w:rPr>
      </w:pPr>
      <w:r w:rsidRPr="00980AE9">
        <w:rPr>
          <w:lang w:val="en-US"/>
        </w:rPr>
        <w:t xml:space="preserve">Takashita E, Ichikawa M, Morita H, Ogawa R, Fujisaki S, Shirakura M, Miura H, Nakamura K, Kishida N, Kuwahara T, Sugawara H, Sato A, Akimoto M, Mitamura K, Abe T, Yamazaki M, Watanabe S, Hasegawa H, Odagiri T. 2019a. Human-to-Human Transmission of Influenza A(H3N2) Virus with Reduced Susceptibility to Baloxavir, Japan, February 2019. </w:t>
      </w:r>
      <w:r w:rsidRPr="00980AE9">
        <w:rPr>
          <w:i/>
          <w:iCs/>
          <w:lang w:val="en-US"/>
        </w:rPr>
        <w:t>Emerg Infect Dis J</w:t>
      </w:r>
      <w:r w:rsidRPr="00980AE9">
        <w:rPr>
          <w:lang w:val="en-US"/>
        </w:rPr>
        <w:t xml:space="preserve"> </w:t>
      </w:r>
      <w:r w:rsidRPr="00980AE9">
        <w:rPr>
          <w:b/>
          <w:bCs/>
          <w:lang w:val="en-US"/>
        </w:rPr>
        <w:t>25</w:t>
      </w:r>
      <w:r w:rsidRPr="00980AE9">
        <w:rPr>
          <w:lang w:val="en-US"/>
        </w:rPr>
        <w:t>:2108. doi:10.3201/eid2511.190757</w:t>
      </w:r>
    </w:p>
    <w:p w14:paraId="35413855" w14:textId="77777777" w:rsidR="00980AE9" w:rsidRPr="00980AE9" w:rsidRDefault="00980AE9" w:rsidP="000945AC">
      <w:pPr>
        <w:pStyle w:val="Bibliography"/>
        <w:spacing w:after="120"/>
        <w:ind w:left="0" w:firstLine="0"/>
        <w:rPr>
          <w:lang w:val="en-US"/>
        </w:rPr>
      </w:pPr>
      <w:r w:rsidRPr="00980AE9">
        <w:rPr>
          <w:lang w:val="en-US"/>
        </w:rPr>
        <w:t xml:space="preserve">Takashita E, Kawakami C, Morita H, Ogawa R, Fujisaki S, Shirakura M, Miura H, Nakamura K, Kishida N, Kuwahara T, Mitamura K, Abe T, Ichikawa M, Yamazaki M, Watanabe S, Odagiri T, Japan  on behalf of the IVSG of. 2019b. Detection of influenza A(H3N2) viruses exhibiting reduced susceptibility to the novel cap-dependent endonuclease inhibitor baloxavir in Japan, December 2018. </w:t>
      </w:r>
      <w:r w:rsidRPr="00980AE9">
        <w:rPr>
          <w:i/>
          <w:iCs/>
          <w:lang w:val="en-US"/>
        </w:rPr>
        <w:t>Eurosurveillance</w:t>
      </w:r>
      <w:r w:rsidRPr="00980AE9">
        <w:rPr>
          <w:lang w:val="en-US"/>
        </w:rPr>
        <w:t>.</w:t>
      </w:r>
    </w:p>
    <w:p w14:paraId="221ADFF6" w14:textId="77777777" w:rsidR="00980AE9" w:rsidRPr="00980AE9" w:rsidRDefault="00980AE9" w:rsidP="000945AC">
      <w:pPr>
        <w:pStyle w:val="Bibliography"/>
        <w:spacing w:after="120"/>
        <w:ind w:left="0" w:firstLine="0"/>
        <w:rPr>
          <w:lang w:val="en-US"/>
        </w:rPr>
      </w:pPr>
      <w:r w:rsidRPr="00980AE9">
        <w:rPr>
          <w:lang w:val="en-US"/>
        </w:rPr>
        <w:lastRenderedPageBreak/>
        <w:t xml:space="preserve">Taubenberger J, Morens D. 2006. 1918 Influenza: the Mother of All Pandemics. </w:t>
      </w:r>
      <w:r w:rsidRPr="00980AE9">
        <w:rPr>
          <w:i/>
          <w:iCs/>
          <w:lang w:val="en-US"/>
        </w:rPr>
        <w:t>Emerg Infect Dis J</w:t>
      </w:r>
      <w:r w:rsidRPr="00980AE9">
        <w:rPr>
          <w:lang w:val="en-US"/>
        </w:rPr>
        <w:t xml:space="preserve"> </w:t>
      </w:r>
      <w:r w:rsidRPr="00980AE9">
        <w:rPr>
          <w:b/>
          <w:bCs/>
          <w:lang w:val="en-US"/>
        </w:rPr>
        <w:t>12</w:t>
      </w:r>
      <w:r w:rsidRPr="00980AE9">
        <w:rPr>
          <w:lang w:val="en-US"/>
        </w:rPr>
        <w:t>:15. doi:10.3201/eid1201.050979</w:t>
      </w:r>
    </w:p>
    <w:p w14:paraId="7C0E93FD" w14:textId="77777777" w:rsidR="00980AE9" w:rsidRPr="00980AE9" w:rsidRDefault="00980AE9" w:rsidP="000945AC">
      <w:pPr>
        <w:pStyle w:val="Bibliography"/>
        <w:spacing w:after="120"/>
        <w:ind w:left="0" w:firstLine="0"/>
        <w:rPr>
          <w:lang w:val="en-US"/>
        </w:rPr>
      </w:pPr>
      <w:r w:rsidRPr="00980AE9">
        <w:rPr>
          <w:lang w:val="en-US"/>
        </w:rPr>
        <w:t xml:space="preserve">Uehara T, Hayden FG, Kawaguchi K, Omoto S, Hurt AC, De Jong MD, Hirotsu N, Sugaya N, Lee N, Baba K, Shishido T, Tsuchiya K, Portsmouth S, Kida H. 2020. Treatment-Emergent Influenza Variant Viruses With Reduced Baloxavir Susceptibility: Impact on Clinical and Virologic Outcomes in Uncomplicated Influenza. </w:t>
      </w:r>
      <w:r w:rsidRPr="00980AE9">
        <w:rPr>
          <w:i/>
          <w:iCs/>
          <w:lang w:val="en-US"/>
        </w:rPr>
        <w:t>J Infect Dis</w:t>
      </w:r>
      <w:r w:rsidRPr="00980AE9">
        <w:rPr>
          <w:lang w:val="en-US"/>
        </w:rPr>
        <w:t xml:space="preserve"> </w:t>
      </w:r>
      <w:r w:rsidRPr="00980AE9">
        <w:rPr>
          <w:b/>
          <w:bCs/>
          <w:lang w:val="en-US"/>
        </w:rPr>
        <w:t>221</w:t>
      </w:r>
      <w:r w:rsidRPr="00980AE9">
        <w:rPr>
          <w:lang w:val="en-US"/>
        </w:rPr>
        <w:t>:346–355. doi:10.1093/infdis/jiz244</w:t>
      </w:r>
    </w:p>
    <w:p w14:paraId="565056E2" w14:textId="77777777" w:rsidR="00980AE9" w:rsidRPr="00980AE9" w:rsidRDefault="00980AE9" w:rsidP="000945AC">
      <w:pPr>
        <w:pStyle w:val="Bibliography"/>
        <w:spacing w:after="120"/>
        <w:ind w:left="0" w:firstLine="0"/>
        <w:rPr>
          <w:lang w:val="en-US"/>
        </w:rPr>
      </w:pPr>
      <w:r w:rsidRPr="00980AE9">
        <w:rPr>
          <w:lang w:val="en-US"/>
        </w:rPr>
        <w:t>United Nations. 2024. World Population Prospects. https://population.un.org/wpp/</w:t>
      </w:r>
    </w:p>
    <w:p w14:paraId="6321ED3F" w14:textId="77777777" w:rsidR="00980AE9" w:rsidRPr="00980AE9" w:rsidRDefault="00980AE9" w:rsidP="000945AC">
      <w:pPr>
        <w:pStyle w:val="Bibliography"/>
        <w:spacing w:after="120"/>
        <w:ind w:left="0" w:firstLine="0"/>
        <w:rPr>
          <w:lang w:val="en-US"/>
        </w:rPr>
      </w:pPr>
      <w:r w:rsidRPr="00980AE9">
        <w:rPr>
          <w:lang w:val="en-US"/>
        </w:rPr>
        <w:t xml:space="preserve">Verity R, Okell LC, Dorigatti I, Winskill P, Whittaker C, Imai N, Cuomo-Dannenburg G, Thompson H, Walker PGT, Fu H, Dighe A, Griffin JT, Baguelin M, Bhatia S, Boonyasiri A, Cori A, Cucunubá Z, FitzJohn R, Gaythorpe K, Green W, Hamlet A, Hinsley W, Laydon D, Nedjati-Gilani G, Riley S, van Elsland S, Volz E, Wang H, Wang Y, Xi X, Donnelly CA, Ghani AC, Ferguson NM. 2020. Estimates of the severity of coronavirus disease 2019: a model-based analysis. </w:t>
      </w:r>
      <w:r w:rsidRPr="00980AE9">
        <w:rPr>
          <w:i/>
          <w:iCs/>
          <w:lang w:val="en-US"/>
        </w:rPr>
        <w:t>Lancet Infect Dis</w:t>
      </w:r>
      <w:r w:rsidRPr="00980AE9">
        <w:rPr>
          <w:lang w:val="en-US"/>
        </w:rPr>
        <w:t xml:space="preserve"> </w:t>
      </w:r>
      <w:r w:rsidRPr="00980AE9">
        <w:rPr>
          <w:b/>
          <w:bCs/>
          <w:lang w:val="en-US"/>
        </w:rPr>
        <w:t>20</w:t>
      </w:r>
      <w:r w:rsidRPr="00980AE9">
        <w:rPr>
          <w:lang w:val="en-US"/>
        </w:rPr>
        <w:t>:669–677. doi:10.1016/S1473-3099(20)30243-7</w:t>
      </w:r>
    </w:p>
    <w:p w14:paraId="27977F3A" w14:textId="77777777" w:rsidR="00980AE9" w:rsidRPr="00980AE9" w:rsidRDefault="00980AE9" w:rsidP="000945AC">
      <w:pPr>
        <w:pStyle w:val="Bibliography"/>
        <w:spacing w:after="120"/>
        <w:ind w:left="0" w:firstLine="0"/>
        <w:rPr>
          <w:lang w:val="en-US"/>
        </w:rPr>
      </w:pPr>
      <w:r w:rsidRPr="00980AE9">
        <w:rPr>
          <w:lang w:val="en-US"/>
        </w:rPr>
        <w:t xml:space="preserve">Welliver R, Monto AS, Carewicz O, Schatteman E, Hassman M, Hedrick J, Jackson HC, Huson L, Ward P, Oxford JS, for the Oseltamivir Post Exposure Prophylaxis Investigator Group. 2001. Effectiveness of Oseltamivir in Preventing Influenza in Household ContactsA Randomized Controlled Trial. </w:t>
      </w:r>
      <w:r w:rsidRPr="00980AE9">
        <w:rPr>
          <w:i/>
          <w:iCs/>
          <w:lang w:val="en-US"/>
        </w:rPr>
        <w:t>JAMA</w:t>
      </w:r>
      <w:r w:rsidRPr="00980AE9">
        <w:rPr>
          <w:lang w:val="en-US"/>
        </w:rPr>
        <w:t xml:space="preserve"> </w:t>
      </w:r>
      <w:r w:rsidRPr="00980AE9">
        <w:rPr>
          <w:b/>
          <w:bCs/>
          <w:lang w:val="en-US"/>
        </w:rPr>
        <w:t>285</w:t>
      </w:r>
      <w:r w:rsidRPr="00980AE9">
        <w:rPr>
          <w:lang w:val="en-US"/>
        </w:rPr>
        <w:t>:748–754. doi:10.1001/jama.285.6.748</w:t>
      </w:r>
    </w:p>
    <w:p w14:paraId="79F898C7" w14:textId="77777777" w:rsidR="00980AE9" w:rsidRPr="00980AE9" w:rsidRDefault="00980AE9" w:rsidP="000945AC">
      <w:pPr>
        <w:pStyle w:val="Bibliography"/>
        <w:spacing w:after="120"/>
        <w:ind w:left="0" w:firstLine="0"/>
        <w:rPr>
          <w:lang w:val="en-US"/>
        </w:rPr>
      </w:pPr>
      <w:r w:rsidRPr="00980AE9">
        <w:rPr>
          <w:lang w:val="en-US"/>
        </w:rPr>
        <w:t>World Health Organization. 2024. Clinical practice guidelines for influenza. https://www.who.int/publications/i/item/9789240097759</w:t>
      </w:r>
    </w:p>
    <w:p w14:paraId="5109F9C9" w14:textId="77777777" w:rsidR="00980AE9" w:rsidRPr="00980AE9" w:rsidRDefault="00980AE9" w:rsidP="000945AC">
      <w:pPr>
        <w:pStyle w:val="Bibliography"/>
        <w:spacing w:after="120"/>
        <w:ind w:left="0" w:firstLine="0"/>
        <w:rPr>
          <w:lang w:val="en-US"/>
        </w:rPr>
      </w:pPr>
      <w:r w:rsidRPr="00980AE9">
        <w:rPr>
          <w:lang w:val="en-US"/>
        </w:rPr>
        <w:t xml:space="preserve">Wu JT, Leung GM, Lipsitch M, Cooper BS, Riley S. 2009. Hedging against Antiviral Resistance during the Next Influenza Pandemic Using Small Stockpiles of an Alternative Chemotherapy. </w:t>
      </w:r>
      <w:r w:rsidRPr="00980AE9">
        <w:rPr>
          <w:i/>
          <w:iCs/>
          <w:lang w:val="en-US"/>
        </w:rPr>
        <w:t>PLOS Med</w:t>
      </w:r>
      <w:r w:rsidRPr="00980AE9">
        <w:rPr>
          <w:lang w:val="en-US"/>
        </w:rPr>
        <w:t xml:space="preserve"> </w:t>
      </w:r>
      <w:r w:rsidRPr="00980AE9">
        <w:rPr>
          <w:b/>
          <w:bCs/>
          <w:lang w:val="en-US"/>
        </w:rPr>
        <w:t>6</w:t>
      </w:r>
      <w:r w:rsidRPr="00980AE9">
        <w:rPr>
          <w:lang w:val="en-US"/>
        </w:rPr>
        <w:t>:e1000085. doi:10.1371/journal.pmed.1000085</w:t>
      </w:r>
    </w:p>
    <w:p w14:paraId="06C078A7" w14:textId="77777777" w:rsidR="00980AE9" w:rsidRPr="00980AE9" w:rsidRDefault="00980AE9" w:rsidP="000945AC">
      <w:pPr>
        <w:pStyle w:val="Bibliography"/>
        <w:spacing w:after="120"/>
        <w:ind w:left="0" w:firstLine="0"/>
        <w:rPr>
          <w:lang w:val="en-US"/>
        </w:rPr>
      </w:pPr>
      <w:r w:rsidRPr="00980AE9">
        <w:rPr>
          <w:lang w:val="en-US"/>
        </w:rPr>
        <w:t xml:space="preserve">Yang Y, Longini IM Jr, Halloran ME. 2006. Design and Evaluation of Prophylactic Interventions Using Infectious Disease Incidence Data from Close Contact Groups. </w:t>
      </w:r>
      <w:r w:rsidRPr="00980AE9">
        <w:rPr>
          <w:i/>
          <w:iCs/>
          <w:lang w:val="en-US"/>
        </w:rPr>
        <w:t>J R Stat Soc Ser C Appl Stat</w:t>
      </w:r>
      <w:r w:rsidRPr="00980AE9">
        <w:rPr>
          <w:lang w:val="en-US"/>
        </w:rPr>
        <w:t xml:space="preserve"> </w:t>
      </w:r>
      <w:r w:rsidRPr="00980AE9">
        <w:rPr>
          <w:b/>
          <w:bCs/>
          <w:lang w:val="en-US"/>
        </w:rPr>
        <w:t>55</w:t>
      </w:r>
      <w:r w:rsidRPr="00980AE9">
        <w:rPr>
          <w:lang w:val="en-US"/>
        </w:rPr>
        <w:t>:317–330. doi:10.1111/j.1467-9876.2006.00539.x</w:t>
      </w:r>
    </w:p>
    <w:p w14:paraId="20E14FF9" w14:textId="77777777" w:rsidR="00980AE9" w:rsidRPr="00980AE9" w:rsidRDefault="00980AE9" w:rsidP="000945AC">
      <w:pPr>
        <w:pStyle w:val="Bibliography"/>
        <w:spacing w:after="120"/>
        <w:ind w:left="0" w:firstLine="0"/>
        <w:rPr>
          <w:lang w:val="en-US"/>
        </w:rPr>
      </w:pPr>
      <w:r w:rsidRPr="00980AE9">
        <w:rPr>
          <w:lang w:val="en-US"/>
        </w:rPr>
        <w:t xml:space="preserve">Zaaraoui H, Schumer C, Duval X, Hoen B, Opatowski L, Guedj J. 2024. Modelling the effectiveness of antiviral treatment strategies to prevent household transmission of acute respiratory viruses. </w:t>
      </w:r>
      <w:r w:rsidRPr="00980AE9">
        <w:rPr>
          <w:i/>
          <w:iCs/>
          <w:lang w:val="en-US"/>
        </w:rPr>
        <w:t>PLOS Comput Biol</w:t>
      </w:r>
      <w:r w:rsidRPr="00980AE9">
        <w:rPr>
          <w:lang w:val="en-US"/>
        </w:rPr>
        <w:t xml:space="preserve"> </w:t>
      </w:r>
      <w:r w:rsidRPr="00980AE9">
        <w:rPr>
          <w:b/>
          <w:bCs/>
          <w:lang w:val="en-US"/>
        </w:rPr>
        <w:t>20</w:t>
      </w:r>
      <w:r w:rsidRPr="00980AE9">
        <w:rPr>
          <w:lang w:val="en-US"/>
        </w:rPr>
        <w:t>:e1012573. doi:10.1371/journal.pcbi.1012573</w:t>
      </w:r>
    </w:p>
    <w:p w14:paraId="7EC5CADC" w14:textId="77777777" w:rsidR="00980AE9" w:rsidRPr="00980AE9" w:rsidRDefault="00980AE9" w:rsidP="000945AC">
      <w:pPr>
        <w:pStyle w:val="Bibliography"/>
        <w:spacing w:after="120"/>
        <w:ind w:left="0" w:firstLine="0"/>
        <w:rPr>
          <w:lang w:val="en-US"/>
        </w:rPr>
      </w:pPr>
      <w:r w:rsidRPr="00980AE9">
        <w:rPr>
          <w:lang w:val="en-US"/>
        </w:rPr>
        <w:t xml:space="preserve">Zhang J, Litvinova M, Liang Y, Wang Y, Wang W, Zhao S, Wu Q, Merler S, Viboud C, Vespignani A, Ajelli M, Yu H. 2020. Changes in contact patterns shape the dynamics of the COVID-19 outbreak in China. </w:t>
      </w:r>
      <w:r w:rsidRPr="00980AE9">
        <w:rPr>
          <w:i/>
          <w:iCs/>
          <w:lang w:val="en-US"/>
        </w:rPr>
        <w:t>Science</w:t>
      </w:r>
      <w:r w:rsidRPr="00980AE9">
        <w:rPr>
          <w:lang w:val="en-US"/>
        </w:rPr>
        <w:t xml:space="preserve"> </w:t>
      </w:r>
      <w:r w:rsidRPr="00980AE9">
        <w:rPr>
          <w:b/>
          <w:bCs/>
          <w:lang w:val="en-US"/>
        </w:rPr>
        <w:t>368</w:t>
      </w:r>
      <w:r w:rsidRPr="00980AE9">
        <w:rPr>
          <w:lang w:val="en-US"/>
        </w:rPr>
        <w:t>:1481–1486. doi:10.1126/science.abb8001</w:t>
      </w:r>
    </w:p>
    <w:p w14:paraId="05045E19" w14:textId="77777777" w:rsidR="00980AE9" w:rsidRPr="00980AE9" w:rsidRDefault="00980AE9" w:rsidP="000945AC">
      <w:pPr>
        <w:pStyle w:val="Bibliography"/>
        <w:spacing w:after="120"/>
        <w:ind w:left="0" w:firstLine="0"/>
        <w:rPr>
          <w:lang w:val="en-US"/>
        </w:rPr>
      </w:pPr>
      <w:r w:rsidRPr="00980AE9">
        <w:rPr>
          <w:lang w:val="en-US"/>
        </w:rPr>
        <w:t xml:space="preserve">Zhao S, Lin Q, Ran J, Musa SS, Yang G, Wang W, Lou Y, Gao D, Yang L, He D, Wang MH. 2020. Preliminary estimation of the basic reproduction number of novel coronavirus (2019-nCoV) in China, from 2019 to 2020: A data-driven analysis in the early phase of the outbreak. </w:t>
      </w:r>
      <w:r w:rsidRPr="00980AE9">
        <w:rPr>
          <w:i/>
          <w:iCs/>
          <w:lang w:val="en-US"/>
        </w:rPr>
        <w:t>Int J Infect Dis</w:t>
      </w:r>
      <w:r w:rsidRPr="00980AE9">
        <w:rPr>
          <w:lang w:val="en-US"/>
        </w:rPr>
        <w:t xml:space="preserve"> </w:t>
      </w:r>
      <w:r w:rsidRPr="00980AE9">
        <w:rPr>
          <w:b/>
          <w:bCs/>
          <w:lang w:val="en-US"/>
        </w:rPr>
        <w:t>92</w:t>
      </w:r>
      <w:r w:rsidRPr="00980AE9">
        <w:rPr>
          <w:lang w:val="en-US"/>
        </w:rPr>
        <w:t>:214–217. doi:10.1016/j.ijid.2020.01.050</w:t>
      </w:r>
    </w:p>
    <w:p w14:paraId="139AA872" w14:textId="77777777" w:rsidR="00980AE9" w:rsidRPr="00980AE9" w:rsidRDefault="00980AE9" w:rsidP="000945AC">
      <w:pPr>
        <w:pStyle w:val="Bibliography"/>
        <w:spacing w:after="120"/>
        <w:ind w:left="0" w:firstLine="0"/>
        <w:rPr>
          <w:lang w:val="en-US"/>
        </w:rPr>
      </w:pPr>
      <w:r w:rsidRPr="00980AE9">
        <w:rPr>
          <w:lang w:val="en-US"/>
        </w:rPr>
        <w:t xml:space="preserve">Zhao Y, Gao Y, Guyatt G, Uyeki TM, Liu P, Liu M, Shen Y, Chen X, Luo S, Li X, Huang R, Hao Q. 2024. Antivirals for post-exposure prophylaxis of influenza: a systematic </w:t>
      </w:r>
      <w:r w:rsidRPr="00980AE9">
        <w:rPr>
          <w:lang w:val="en-US"/>
        </w:rPr>
        <w:lastRenderedPageBreak/>
        <w:t xml:space="preserve">review and network meta-analysis. </w:t>
      </w:r>
      <w:r w:rsidRPr="00980AE9">
        <w:rPr>
          <w:i/>
          <w:iCs/>
          <w:lang w:val="en-US"/>
        </w:rPr>
        <w:t>The Lancet</w:t>
      </w:r>
      <w:r w:rsidRPr="00980AE9">
        <w:rPr>
          <w:lang w:val="en-US"/>
        </w:rPr>
        <w:t xml:space="preserve"> </w:t>
      </w:r>
      <w:r w:rsidRPr="00980AE9">
        <w:rPr>
          <w:b/>
          <w:bCs/>
          <w:lang w:val="en-US"/>
        </w:rPr>
        <w:t>404</w:t>
      </w:r>
      <w:r w:rsidRPr="00980AE9">
        <w:rPr>
          <w:lang w:val="en-US"/>
        </w:rPr>
        <w:t>:764–772. doi:10.1016/S0140-6736(24)01357-6</w:t>
      </w:r>
    </w:p>
    <w:p w14:paraId="332D56A0" w14:textId="652034E7" w:rsidR="00344AD1" w:rsidRPr="00344AD1" w:rsidRDefault="0044448D" w:rsidP="000945AC">
      <w:pPr>
        <w:spacing w:line="240" w:lineRule="auto"/>
        <w:rPr>
          <w:lang w:val="en-US"/>
        </w:rPr>
      </w:pPr>
      <w:r w:rsidRPr="005247CB">
        <w:rPr>
          <w:lang w:val="en-US"/>
        </w:rPr>
        <w:fldChar w:fldCharType="end"/>
      </w:r>
    </w:p>
    <w:sectPr w:rsidR="00344AD1" w:rsidRPr="00344AD1" w:rsidSect="00DB20D3">
      <w:footerReference w:type="even" r:id="rId26"/>
      <w:footerReference w:type="default" r:id="rId27"/>
      <w:pgSz w:w="11900" w:h="16840"/>
      <w:pgMar w:top="1440" w:right="1440" w:bottom="1440" w:left="1440" w:header="708" w:footer="708" w:gutter="0"/>
      <w:lnNumType w:countBy="1" w:restart="continuous"/>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19B0BFC" w16cex:dateUtc="2025-05-07T07:14: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F66D8F" w14:textId="77777777" w:rsidR="002658A3" w:rsidRDefault="002658A3" w:rsidP="00A30E86">
      <w:r>
        <w:separator/>
      </w:r>
    </w:p>
  </w:endnote>
  <w:endnote w:type="continuationSeparator" w:id="0">
    <w:p w14:paraId="4DF4B656" w14:textId="77777777" w:rsidR="002658A3" w:rsidRDefault="002658A3" w:rsidP="00A30E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16698998"/>
      <w:docPartObj>
        <w:docPartGallery w:val="Page Numbers (Bottom of Page)"/>
        <w:docPartUnique/>
      </w:docPartObj>
    </w:sdtPr>
    <w:sdtEndPr>
      <w:rPr>
        <w:rStyle w:val="PageNumber"/>
      </w:rPr>
    </w:sdtEndPr>
    <w:sdtContent>
      <w:p w14:paraId="2EE8954B" w14:textId="3C48909F" w:rsidR="00A75932" w:rsidRDefault="00A75932" w:rsidP="00BA5C8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350D42C" w14:textId="77777777" w:rsidR="00A75932" w:rsidRDefault="00A75932" w:rsidP="00A30E8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085685092"/>
      <w:docPartObj>
        <w:docPartGallery w:val="Page Numbers (Bottom of Page)"/>
        <w:docPartUnique/>
      </w:docPartObj>
    </w:sdtPr>
    <w:sdtEndPr>
      <w:rPr>
        <w:rStyle w:val="PageNumber"/>
      </w:rPr>
    </w:sdtEndPr>
    <w:sdtContent>
      <w:p w14:paraId="4995A87E" w14:textId="5E806D85" w:rsidR="00A75932" w:rsidRDefault="00A75932" w:rsidP="00BA5C8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8EC3AB9" w14:textId="77777777" w:rsidR="00A75932" w:rsidRDefault="00A75932" w:rsidP="00A30E8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4F39AF" w14:textId="77777777" w:rsidR="002658A3" w:rsidRDefault="002658A3" w:rsidP="00A30E86">
      <w:r>
        <w:separator/>
      </w:r>
    </w:p>
  </w:footnote>
  <w:footnote w:type="continuationSeparator" w:id="0">
    <w:p w14:paraId="7F6A0A37" w14:textId="77777777" w:rsidR="002658A3" w:rsidRDefault="002658A3" w:rsidP="00A30E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C824F93"/>
    <w:multiLevelType w:val="hybridMultilevel"/>
    <w:tmpl w:val="26A84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322"/>
    <w:rsid w:val="00000956"/>
    <w:rsid w:val="00000F6A"/>
    <w:rsid w:val="00001572"/>
    <w:rsid w:val="000026E4"/>
    <w:rsid w:val="000029DD"/>
    <w:rsid w:val="00004E67"/>
    <w:rsid w:val="00005085"/>
    <w:rsid w:val="000074DA"/>
    <w:rsid w:val="000079C2"/>
    <w:rsid w:val="0001025B"/>
    <w:rsid w:val="0001168A"/>
    <w:rsid w:val="00013F0A"/>
    <w:rsid w:val="000162FC"/>
    <w:rsid w:val="00016EB2"/>
    <w:rsid w:val="00017405"/>
    <w:rsid w:val="000174A7"/>
    <w:rsid w:val="0001762D"/>
    <w:rsid w:val="00017C7B"/>
    <w:rsid w:val="0002085D"/>
    <w:rsid w:val="00020AA2"/>
    <w:rsid w:val="000215B4"/>
    <w:rsid w:val="00021DF0"/>
    <w:rsid w:val="00021E36"/>
    <w:rsid w:val="00022AF8"/>
    <w:rsid w:val="00022BAC"/>
    <w:rsid w:val="000239C4"/>
    <w:rsid w:val="0002453E"/>
    <w:rsid w:val="00024EB3"/>
    <w:rsid w:val="0002503B"/>
    <w:rsid w:val="00025C28"/>
    <w:rsid w:val="00030B3A"/>
    <w:rsid w:val="000317D4"/>
    <w:rsid w:val="0003302C"/>
    <w:rsid w:val="0003332E"/>
    <w:rsid w:val="00033659"/>
    <w:rsid w:val="0003412B"/>
    <w:rsid w:val="00034557"/>
    <w:rsid w:val="00034B6B"/>
    <w:rsid w:val="000354A9"/>
    <w:rsid w:val="00040BE5"/>
    <w:rsid w:val="00040C19"/>
    <w:rsid w:val="00040F44"/>
    <w:rsid w:val="000427BE"/>
    <w:rsid w:val="00042B6C"/>
    <w:rsid w:val="00044304"/>
    <w:rsid w:val="00044C2A"/>
    <w:rsid w:val="00044F27"/>
    <w:rsid w:val="000453D1"/>
    <w:rsid w:val="0004592B"/>
    <w:rsid w:val="000462DE"/>
    <w:rsid w:val="000468DC"/>
    <w:rsid w:val="00046C13"/>
    <w:rsid w:val="00046F0D"/>
    <w:rsid w:val="00047D2A"/>
    <w:rsid w:val="00050C5D"/>
    <w:rsid w:val="0005144F"/>
    <w:rsid w:val="000519A2"/>
    <w:rsid w:val="00051D80"/>
    <w:rsid w:val="00052F06"/>
    <w:rsid w:val="00052FD2"/>
    <w:rsid w:val="00053187"/>
    <w:rsid w:val="00053B4A"/>
    <w:rsid w:val="00055C65"/>
    <w:rsid w:val="00056960"/>
    <w:rsid w:val="00056FF2"/>
    <w:rsid w:val="0006093C"/>
    <w:rsid w:val="00062929"/>
    <w:rsid w:val="0006296D"/>
    <w:rsid w:val="00063165"/>
    <w:rsid w:val="000638E0"/>
    <w:rsid w:val="00064384"/>
    <w:rsid w:val="000655C6"/>
    <w:rsid w:val="000656AF"/>
    <w:rsid w:val="00065BE1"/>
    <w:rsid w:val="00065F18"/>
    <w:rsid w:val="00066F3B"/>
    <w:rsid w:val="00070AA9"/>
    <w:rsid w:val="00070EDF"/>
    <w:rsid w:val="00071317"/>
    <w:rsid w:val="00071361"/>
    <w:rsid w:val="00072302"/>
    <w:rsid w:val="000723EF"/>
    <w:rsid w:val="00072F60"/>
    <w:rsid w:val="000736B6"/>
    <w:rsid w:val="00073708"/>
    <w:rsid w:val="000739AD"/>
    <w:rsid w:val="00074928"/>
    <w:rsid w:val="00074F77"/>
    <w:rsid w:val="00077767"/>
    <w:rsid w:val="000778C2"/>
    <w:rsid w:val="00077B06"/>
    <w:rsid w:val="000806B7"/>
    <w:rsid w:val="00080D9C"/>
    <w:rsid w:val="000812DA"/>
    <w:rsid w:val="00082098"/>
    <w:rsid w:val="00082518"/>
    <w:rsid w:val="000827BE"/>
    <w:rsid w:val="00082A7C"/>
    <w:rsid w:val="0008363A"/>
    <w:rsid w:val="00083A20"/>
    <w:rsid w:val="00083B38"/>
    <w:rsid w:val="00083DB6"/>
    <w:rsid w:val="000842D7"/>
    <w:rsid w:val="00084E0F"/>
    <w:rsid w:val="00085407"/>
    <w:rsid w:val="00085E80"/>
    <w:rsid w:val="00086262"/>
    <w:rsid w:val="0008651A"/>
    <w:rsid w:val="000865D8"/>
    <w:rsid w:val="000866A2"/>
    <w:rsid w:val="00086D63"/>
    <w:rsid w:val="00087BED"/>
    <w:rsid w:val="0009058B"/>
    <w:rsid w:val="000913E5"/>
    <w:rsid w:val="0009173D"/>
    <w:rsid w:val="00091AAD"/>
    <w:rsid w:val="00091C51"/>
    <w:rsid w:val="00092524"/>
    <w:rsid w:val="00092D22"/>
    <w:rsid w:val="00092E6E"/>
    <w:rsid w:val="00093E47"/>
    <w:rsid w:val="000945AC"/>
    <w:rsid w:val="00095569"/>
    <w:rsid w:val="00095FCD"/>
    <w:rsid w:val="00096F8A"/>
    <w:rsid w:val="00096FB2"/>
    <w:rsid w:val="000A0EBA"/>
    <w:rsid w:val="000A12C5"/>
    <w:rsid w:val="000A298A"/>
    <w:rsid w:val="000A2B11"/>
    <w:rsid w:val="000A4124"/>
    <w:rsid w:val="000A448C"/>
    <w:rsid w:val="000A78ED"/>
    <w:rsid w:val="000B0D6C"/>
    <w:rsid w:val="000B10E7"/>
    <w:rsid w:val="000B11DC"/>
    <w:rsid w:val="000B183D"/>
    <w:rsid w:val="000B1D26"/>
    <w:rsid w:val="000B2241"/>
    <w:rsid w:val="000B29E6"/>
    <w:rsid w:val="000B2AE9"/>
    <w:rsid w:val="000B3A45"/>
    <w:rsid w:val="000B3A6D"/>
    <w:rsid w:val="000B532C"/>
    <w:rsid w:val="000B572B"/>
    <w:rsid w:val="000B57FC"/>
    <w:rsid w:val="000B5B90"/>
    <w:rsid w:val="000B67DF"/>
    <w:rsid w:val="000B69C1"/>
    <w:rsid w:val="000B72EE"/>
    <w:rsid w:val="000B7649"/>
    <w:rsid w:val="000B7D25"/>
    <w:rsid w:val="000B7F9C"/>
    <w:rsid w:val="000C08F5"/>
    <w:rsid w:val="000C254E"/>
    <w:rsid w:val="000C2B8A"/>
    <w:rsid w:val="000C39A3"/>
    <w:rsid w:val="000C5047"/>
    <w:rsid w:val="000C5220"/>
    <w:rsid w:val="000C5539"/>
    <w:rsid w:val="000C581B"/>
    <w:rsid w:val="000C5B79"/>
    <w:rsid w:val="000C64AC"/>
    <w:rsid w:val="000D02F2"/>
    <w:rsid w:val="000D38CC"/>
    <w:rsid w:val="000D3C46"/>
    <w:rsid w:val="000D4006"/>
    <w:rsid w:val="000D4447"/>
    <w:rsid w:val="000D5607"/>
    <w:rsid w:val="000D5A9B"/>
    <w:rsid w:val="000D625E"/>
    <w:rsid w:val="000D75C3"/>
    <w:rsid w:val="000D7AF4"/>
    <w:rsid w:val="000E0678"/>
    <w:rsid w:val="000E0995"/>
    <w:rsid w:val="000E13CF"/>
    <w:rsid w:val="000E1585"/>
    <w:rsid w:val="000E1FD8"/>
    <w:rsid w:val="000E24CB"/>
    <w:rsid w:val="000E2658"/>
    <w:rsid w:val="000E2B98"/>
    <w:rsid w:val="000E32CF"/>
    <w:rsid w:val="000E42B3"/>
    <w:rsid w:val="000E4351"/>
    <w:rsid w:val="000E45A9"/>
    <w:rsid w:val="000E46C1"/>
    <w:rsid w:val="000E673A"/>
    <w:rsid w:val="000F071A"/>
    <w:rsid w:val="000F1381"/>
    <w:rsid w:val="000F27B3"/>
    <w:rsid w:val="000F31C8"/>
    <w:rsid w:val="000F3390"/>
    <w:rsid w:val="000F5822"/>
    <w:rsid w:val="000F5EAE"/>
    <w:rsid w:val="000F7201"/>
    <w:rsid w:val="000F745F"/>
    <w:rsid w:val="000F78C4"/>
    <w:rsid w:val="000F7A8F"/>
    <w:rsid w:val="0010012F"/>
    <w:rsid w:val="001005D3"/>
    <w:rsid w:val="00100B95"/>
    <w:rsid w:val="00101B37"/>
    <w:rsid w:val="00102B9A"/>
    <w:rsid w:val="00103894"/>
    <w:rsid w:val="001045A1"/>
    <w:rsid w:val="001059F9"/>
    <w:rsid w:val="00105D11"/>
    <w:rsid w:val="001064B9"/>
    <w:rsid w:val="00106B92"/>
    <w:rsid w:val="00106EC0"/>
    <w:rsid w:val="00107646"/>
    <w:rsid w:val="001076B5"/>
    <w:rsid w:val="00107A16"/>
    <w:rsid w:val="00107D10"/>
    <w:rsid w:val="00110286"/>
    <w:rsid w:val="001107B5"/>
    <w:rsid w:val="00110C7A"/>
    <w:rsid w:val="00110E8A"/>
    <w:rsid w:val="00112C72"/>
    <w:rsid w:val="0011366A"/>
    <w:rsid w:val="00113E20"/>
    <w:rsid w:val="00113FC7"/>
    <w:rsid w:val="00114502"/>
    <w:rsid w:val="0011462F"/>
    <w:rsid w:val="001204EE"/>
    <w:rsid w:val="0012071B"/>
    <w:rsid w:val="00121219"/>
    <w:rsid w:val="00121C10"/>
    <w:rsid w:val="00123FD9"/>
    <w:rsid w:val="00124198"/>
    <w:rsid w:val="00124BCE"/>
    <w:rsid w:val="00126607"/>
    <w:rsid w:val="00126B84"/>
    <w:rsid w:val="001309F8"/>
    <w:rsid w:val="00130AEC"/>
    <w:rsid w:val="00132DE6"/>
    <w:rsid w:val="00133827"/>
    <w:rsid w:val="001338D2"/>
    <w:rsid w:val="001348EF"/>
    <w:rsid w:val="001348F3"/>
    <w:rsid w:val="00134C97"/>
    <w:rsid w:val="00134FAA"/>
    <w:rsid w:val="00135F53"/>
    <w:rsid w:val="00136086"/>
    <w:rsid w:val="0013625C"/>
    <w:rsid w:val="001372CA"/>
    <w:rsid w:val="00137862"/>
    <w:rsid w:val="001402F5"/>
    <w:rsid w:val="0014041B"/>
    <w:rsid w:val="0014062F"/>
    <w:rsid w:val="00141923"/>
    <w:rsid w:val="00142171"/>
    <w:rsid w:val="00147806"/>
    <w:rsid w:val="001500DC"/>
    <w:rsid w:val="0015184B"/>
    <w:rsid w:val="00152B4E"/>
    <w:rsid w:val="001532D9"/>
    <w:rsid w:val="00154051"/>
    <w:rsid w:val="00154F59"/>
    <w:rsid w:val="001553F3"/>
    <w:rsid w:val="00155C0D"/>
    <w:rsid w:val="00156836"/>
    <w:rsid w:val="0015746E"/>
    <w:rsid w:val="0016021E"/>
    <w:rsid w:val="00160CEB"/>
    <w:rsid w:val="001613A4"/>
    <w:rsid w:val="001615B7"/>
    <w:rsid w:val="001615FC"/>
    <w:rsid w:val="00162529"/>
    <w:rsid w:val="0016276C"/>
    <w:rsid w:val="00162C24"/>
    <w:rsid w:val="00163833"/>
    <w:rsid w:val="00164B30"/>
    <w:rsid w:val="00164CCC"/>
    <w:rsid w:val="00165131"/>
    <w:rsid w:val="001654C3"/>
    <w:rsid w:val="00166438"/>
    <w:rsid w:val="00166593"/>
    <w:rsid w:val="0016779E"/>
    <w:rsid w:val="00170A6A"/>
    <w:rsid w:val="001712C3"/>
    <w:rsid w:val="00171471"/>
    <w:rsid w:val="00171FE3"/>
    <w:rsid w:val="00172707"/>
    <w:rsid w:val="001728EE"/>
    <w:rsid w:val="001739CD"/>
    <w:rsid w:val="00173FE8"/>
    <w:rsid w:val="00174E85"/>
    <w:rsid w:val="001751C7"/>
    <w:rsid w:val="001757D5"/>
    <w:rsid w:val="00176D7B"/>
    <w:rsid w:val="00177F60"/>
    <w:rsid w:val="00180790"/>
    <w:rsid w:val="00180982"/>
    <w:rsid w:val="00181116"/>
    <w:rsid w:val="001812E3"/>
    <w:rsid w:val="00182EC6"/>
    <w:rsid w:val="0018387A"/>
    <w:rsid w:val="00183998"/>
    <w:rsid w:val="00183B44"/>
    <w:rsid w:val="00183E01"/>
    <w:rsid w:val="001845A7"/>
    <w:rsid w:val="00186D18"/>
    <w:rsid w:val="00187899"/>
    <w:rsid w:val="00187986"/>
    <w:rsid w:val="0019012A"/>
    <w:rsid w:val="00190735"/>
    <w:rsid w:val="001914D0"/>
    <w:rsid w:val="00191602"/>
    <w:rsid w:val="001918D6"/>
    <w:rsid w:val="00191B8B"/>
    <w:rsid w:val="00191D1A"/>
    <w:rsid w:val="0019329B"/>
    <w:rsid w:val="00193A8E"/>
    <w:rsid w:val="0019417D"/>
    <w:rsid w:val="0019484E"/>
    <w:rsid w:val="00194B82"/>
    <w:rsid w:val="001978AC"/>
    <w:rsid w:val="001A00F9"/>
    <w:rsid w:val="001A06BC"/>
    <w:rsid w:val="001A1794"/>
    <w:rsid w:val="001A194B"/>
    <w:rsid w:val="001A1D8F"/>
    <w:rsid w:val="001A322C"/>
    <w:rsid w:val="001A3295"/>
    <w:rsid w:val="001A343D"/>
    <w:rsid w:val="001A4308"/>
    <w:rsid w:val="001A4F11"/>
    <w:rsid w:val="001A582B"/>
    <w:rsid w:val="001A6E0F"/>
    <w:rsid w:val="001A6F10"/>
    <w:rsid w:val="001A72BB"/>
    <w:rsid w:val="001A77FD"/>
    <w:rsid w:val="001A7FCF"/>
    <w:rsid w:val="001B21D1"/>
    <w:rsid w:val="001B2843"/>
    <w:rsid w:val="001B348C"/>
    <w:rsid w:val="001B404B"/>
    <w:rsid w:val="001B408F"/>
    <w:rsid w:val="001B443B"/>
    <w:rsid w:val="001B5056"/>
    <w:rsid w:val="001B54AC"/>
    <w:rsid w:val="001B5E51"/>
    <w:rsid w:val="001B6EFC"/>
    <w:rsid w:val="001B7A98"/>
    <w:rsid w:val="001C03EC"/>
    <w:rsid w:val="001C068F"/>
    <w:rsid w:val="001C0994"/>
    <w:rsid w:val="001C1B00"/>
    <w:rsid w:val="001C31A2"/>
    <w:rsid w:val="001C5714"/>
    <w:rsid w:val="001C6A6E"/>
    <w:rsid w:val="001C764B"/>
    <w:rsid w:val="001C7F9D"/>
    <w:rsid w:val="001D1977"/>
    <w:rsid w:val="001D1B9B"/>
    <w:rsid w:val="001D1DC7"/>
    <w:rsid w:val="001D2EA7"/>
    <w:rsid w:val="001D3730"/>
    <w:rsid w:val="001D3904"/>
    <w:rsid w:val="001D4651"/>
    <w:rsid w:val="001D4726"/>
    <w:rsid w:val="001D4B58"/>
    <w:rsid w:val="001D4E92"/>
    <w:rsid w:val="001D58C9"/>
    <w:rsid w:val="001D5C2B"/>
    <w:rsid w:val="001D6E5B"/>
    <w:rsid w:val="001D73F1"/>
    <w:rsid w:val="001E04A2"/>
    <w:rsid w:val="001E07CF"/>
    <w:rsid w:val="001E08C7"/>
    <w:rsid w:val="001E1207"/>
    <w:rsid w:val="001E139B"/>
    <w:rsid w:val="001E1492"/>
    <w:rsid w:val="001E1993"/>
    <w:rsid w:val="001E24BF"/>
    <w:rsid w:val="001E5528"/>
    <w:rsid w:val="001E59E3"/>
    <w:rsid w:val="001E608E"/>
    <w:rsid w:val="001E6CE4"/>
    <w:rsid w:val="001E744A"/>
    <w:rsid w:val="001E753A"/>
    <w:rsid w:val="001F06ED"/>
    <w:rsid w:val="001F0D2A"/>
    <w:rsid w:val="001F13E9"/>
    <w:rsid w:val="001F1416"/>
    <w:rsid w:val="001F14FD"/>
    <w:rsid w:val="001F1E7F"/>
    <w:rsid w:val="001F2282"/>
    <w:rsid w:val="001F25AA"/>
    <w:rsid w:val="001F53F9"/>
    <w:rsid w:val="001F6CE2"/>
    <w:rsid w:val="001F705A"/>
    <w:rsid w:val="001F7B05"/>
    <w:rsid w:val="002016FF"/>
    <w:rsid w:val="0020234E"/>
    <w:rsid w:val="00202EB0"/>
    <w:rsid w:val="002034FC"/>
    <w:rsid w:val="00204638"/>
    <w:rsid w:val="002051FC"/>
    <w:rsid w:val="00206742"/>
    <w:rsid w:val="00206878"/>
    <w:rsid w:val="00206EFF"/>
    <w:rsid w:val="0020777B"/>
    <w:rsid w:val="00207A14"/>
    <w:rsid w:val="0021143C"/>
    <w:rsid w:val="00212D0E"/>
    <w:rsid w:val="00213508"/>
    <w:rsid w:val="00214700"/>
    <w:rsid w:val="00214785"/>
    <w:rsid w:val="00217C7D"/>
    <w:rsid w:val="00217EDB"/>
    <w:rsid w:val="0022046F"/>
    <w:rsid w:val="00221BFD"/>
    <w:rsid w:val="00222875"/>
    <w:rsid w:val="00223B86"/>
    <w:rsid w:val="00224C71"/>
    <w:rsid w:val="00224DF1"/>
    <w:rsid w:val="00225407"/>
    <w:rsid w:val="00226E74"/>
    <w:rsid w:val="0022738B"/>
    <w:rsid w:val="002300B7"/>
    <w:rsid w:val="00230F13"/>
    <w:rsid w:val="00231310"/>
    <w:rsid w:val="002318B2"/>
    <w:rsid w:val="00231DF4"/>
    <w:rsid w:val="002329F5"/>
    <w:rsid w:val="002331E0"/>
    <w:rsid w:val="0023331B"/>
    <w:rsid w:val="00233756"/>
    <w:rsid w:val="002342A0"/>
    <w:rsid w:val="00235053"/>
    <w:rsid w:val="00236FBC"/>
    <w:rsid w:val="00237625"/>
    <w:rsid w:val="00237A49"/>
    <w:rsid w:val="00237A5D"/>
    <w:rsid w:val="00237DED"/>
    <w:rsid w:val="00241567"/>
    <w:rsid w:val="00242233"/>
    <w:rsid w:val="00242260"/>
    <w:rsid w:val="00243B12"/>
    <w:rsid w:val="00243CE6"/>
    <w:rsid w:val="00243F92"/>
    <w:rsid w:val="00245027"/>
    <w:rsid w:val="00245041"/>
    <w:rsid w:val="0024507E"/>
    <w:rsid w:val="002452C4"/>
    <w:rsid w:val="00245519"/>
    <w:rsid w:val="00247652"/>
    <w:rsid w:val="00250608"/>
    <w:rsid w:val="00251185"/>
    <w:rsid w:val="002515CA"/>
    <w:rsid w:val="00251868"/>
    <w:rsid w:val="00251895"/>
    <w:rsid w:val="002525F2"/>
    <w:rsid w:val="002532A5"/>
    <w:rsid w:val="00255772"/>
    <w:rsid w:val="00255C18"/>
    <w:rsid w:val="002565E2"/>
    <w:rsid w:val="00256635"/>
    <w:rsid w:val="0026001E"/>
    <w:rsid w:val="0026019A"/>
    <w:rsid w:val="00260400"/>
    <w:rsid w:val="00262949"/>
    <w:rsid w:val="00263050"/>
    <w:rsid w:val="00263487"/>
    <w:rsid w:val="002647CE"/>
    <w:rsid w:val="00264DFF"/>
    <w:rsid w:val="00265436"/>
    <w:rsid w:val="002658A3"/>
    <w:rsid w:val="0026591A"/>
    <w:rsid w:val="00265F53"/>
    <w:rsid w:val="00266807"/>
    <w:rsid w:val="002674B2"/>
    <w:rsid w:val="00267E1C"/>
    <w:rsid w:val="00270191"/>
    <w:rsid w:val="00270961"/>
    <w:rsid w:val="00271A61"/>
    <w:rsid w:val="00271FA7"/>
    <w:rsid w:val="00272106"/>
    <w:rsid w:val="00272149"/>
    <w:rsid w:val="002732C5"/>
    <w:rsid w:val="002734B6"/>
    <w:rsid w:val="0027444B"/>
    <w:rsid w:val="002749B3"/>
    <w:rsid w:val="00274A8C"/>
    <w:rsid w:val="00274B90"/>
    <w:rsid w:val="002750C7"/>
    <w:rsid w:val="00277B74"/>
    <w:rsid w:val="00281059"/>
    <w:rsid w:val="0028123D"/>
    <w:rsid w:val="00282497"/>
    <w:rsid w:val="002825CE"/>
    <w:rsid w:val="002829C9"/>
    <w:rsid w:val="002830F4"/>
    <w:rsid w:val="002838DA"/>
    <w:rsid w:val="00283C22"/>
    <w:rsid w:val="00287B3D"/>
    <w:rsid w:val="002907A7"/>
    <w:rsid w:val="00291722"/>
    <w:rsid w:val="002919F7"/>
    <w:rsid w:val="002926BF"/>
    <w:rsid w:val="00292744"/>
    <w:rsid w:val="00293DD3"/>
    <w:rsid w:val="0029571E"/>
    <w:rsid w:val="00295B15"/>
    <w:rsid w:val="00295D6C"/>
    <w:rsid w:val="002962F4"/>
    <w:rsid w:val="0029644A"/>
    <w:rsid w:val="002970AB"/>
    <w:rsid w:val="002977EB"/>
    <w:rsid w:val="002979F0"/>
    <w:rsid w:val="002A04B2"/>
    <w:rsid w:val="002A11BE"/>
    <w:rsid w:val="002A19F7"/>
    <w:rsid w:val="002A1DEE"/>
    <w:rsid w:val="002A29F1"/>
    <w:rsid w:val="002A339A"/>
    <w:rsid w:val="002A3872"/>
    <w:rsid w:val="002A5538"/>
    <w:rsid w:val="002A59BD"/>
    <w:rsid w:val="002A5F90"/>
    <w:rsid w:val="002A6382"/>
    <w:rsid w:val="002A68FA"/>
    <w:rsid w:val="002A7749"/>
    <w:rsid w:val="002A7826"/>
    <w:rsid w:val="002A79F2"/>
    <w:rsid w:val="002B0E58"/>
    <w:rsid w:val="002B1BE3"/>
    <w:rsid w:val="002B2417"/>
    <w:rsid w:val="002B27A8"/>
    <w:rsid w:val="002B5BE7"/>
    <w:rsid w:val="002B773B"/>
    <w:rsid w:val="002C12D1"/>
    <w:rsid w:val="002C1748"/>
    <w:rsid w:val="002C1C1D"/>
    <w:rsid w:val="002C2075"/>
    <w:rsid w:val="002C223B"/>
    <w:rsid w:val="002C22D5"/>
    <w:rsid w:val="002C2C47"/>
    <w:rsid w:val="002C43C0"/>
    <w:rsid w:val="002C5833"/>
    <w:rsid w:val="002C5BA4"/>
    <w:rsid w:val="002C6FFC"/>
    <w:rsid w:val="002C75C6"/>
    <w:rsid w:val="002D0137"/>
    <w:rsid w:val="002D3077"/>
    <w:rsid w:val="002D3505"/>
    <w:rsid w:val="002D3E28"/>
    <w:rsid w:val="002D3F69"/>
    <w:rsid w:val="002D45AD"/>
    <w:rsid w:val="002D49BB"/>
    <w:rsid w:val="002D5597"/>
    <w:rsid w:val="002D5685"/>
    <w:rsid w:val="002D6096"/>
    <w:rsid w:val="002D69B3"/>
    <w:rsid w:val="002D78D0"/>
    <w:rsid w:val="002E0BD7"/>
    <w:rsid w:val="002E0C03"/>
    <w:rsid w:val="002E0CF2"/>
    <w:rsid w:val="002E1135"/>
    <w:rsid w:val="002E14A8"/>
    <w:rsid w:val="002E1FA9"/>
    <w:rsid w:val="002E3BA3"/>
    <w:rsid w:val="002E46FA"/>
    <w:rsid w:val="002E5998"/>
    <w:rsid w:val="002E5E0F"/>
    <w:rsid w:val="002E645A"/>
    <w:rsid w:val="002E64B5"/>
    <w:rsid w:val="002E7477"/>
    <w:rsid w:val="002F0F9B"/>
    <w:rsid w:val="002F10E5"/>
    <w:rsid w:val="002F16AF"/>
    <w:rsid w:val="002F3856"/>
    <w:rsid w:val="002F3AFD"/>
    <w:rsid w:val="002F3D54"/>
    <w:rsid w:val="002F47D8"/>
    <w:rsid w:val="002F5872"/>
    <w:rsid w:val="002F5AC8"/>
    <w:rsid w:val="002F6230"/>
    <w:rsid w:val="002F62F9"/>
    <w:rsid w:val="002F6CC0"/>
    <w:rsid w:val="002F7D70"/>
    <w:rsid w:val="00301DC3"/>
    <w:rsid w:val="00303090"/>
    <w:rsid w:val="00307512"/>
    <w:rsid w:val="0030771E"/>
    <w:rsid w:val="00307B71"/>
    <w:rsid w:val="00310756"/>
    <w:rsid w:val="00310915"/>
    <w:rsid w:val="0031194D"/>
    <w:rsid w:val="003126A5"/>
    <w:rsid w:val="003138FA"/>
    <w:rsid w:val="00313FA7"/>
    <w:rsid w:val="00314BCE"/>
    <w:rsid w:val="0031549D"/>
    <w:rsid w:val="0032172C"/>
    <w:rsid w:val="00322701"/>
    <w:rsid w:val="00322A02"/>
    <w:rsid w:val="00322A6E"/>
    <w:rsid w:val="0032332E"/>
    <w:rsid w:val="003243D0"/>
    <w:rsid w:val="003247D4"/>
    <w:rsid w:val="00326E67"/>
    <w:rsid w:val="00326E83"/>
    <w:rsid w:val="003273D0"/>
    <w:rsid w:val="003279E4"/>
    <w:rsid w:val="00327AD1"/>
    <w:rsid w:val="003301C6"/>
    <w:rsid w:val="003305E1"/>
    <w:rsid w:val="00330D27"/>
    <w:rsid w:val="003320E0"/>
    <w:rsid w:val="003321EA"/>
    <w:rsid w:val="00332215"/>
    <w:rsid w:val="003338E3"/>
    <w:rsid w:val="003345DC"/>
    <w:rsid w:val="00334CC5"/>
    <w:rsid w:val="00335EE2"/>
    <w:rsid w:val="00336002"/>
    <w:rsid w:val="00336D6E"/>
    <w:rsid w:val="00337501"/>
    <w:rsid w:val="00337C07"/>
    <w:rsid w:val="00340B11"/>
    <w:rsid w:val="00340DE5"/>
    <w:rsid w:val="00341B84"/>
    <w:rsid w:val="00342C6E"/>
    <w:rsid w:val="00343BB1"/>
    <w:rsid w:val="003442B2"/>
    <w:rsid w:val="0034465A"/>
    <w:rsid w:val="00344AD1"/>
    <w:rsid w:val="003452CB"/>
    <w:rsid w:val="003455FA"/>
    <w:rsid w:val="003459C2"/>
    <w:rsid w:val="00345DDA"/>
    <w:rsid w:val="00346198"/>
    <w:rsid w:val="003465C6"/>
    <w:rsid w:val="00346CB3"/>
    <w:rsid w:val="0034767A"/>
    <w:rsid w:val="003476FB"/>
    <w:rsid w:val="00347CB0"/>
    <w:rsid w:val="0035005E"/>
    <w:rsid w:val="00350136"/>
    <w:rsid w:val="0035102B"/>
    <w:rsid w:val="0035107D"/>
    <w:rsid w:val="00352A52"/>
    <w:rsid w:val="00353703"/>
    <w:rsid w:val="0035372C"/>
    <w:rsid w:val="003559AF"/>
    <w:rsid w:val="00357863"/>
    <w:rsid w:val="003604B6"/>
    <w:rsid w:val="0036123A"/>
    <w:rsid w:val="003612AE"/>
    <w:rsid w:val="00361AC8"/>
    <w:rsid w:val="0036271B"/>
    <w:rsid w:val="003635C3"/>
    <w:rsid w:val="00363DB3"/>
    <w:rsid w:val="00363F62"/>
    <w:rsid w:val="00366227"/>
    <w:rsid w:val="00366332"/>
    <w:rsid w:val="003669F3"/>
    <w:rsid w:val="003709C9"/>
    <w:rsid w:val="00370FAD"/>
    <w:rsid w:val="00371997"/>
    <w:rsid w:val="00371AC8"/>
    <w:rsid w:val="00371BB9"/>
    <w:rsid w:val="00372CE3"/>
    <w:rsid w:val="003735F8"/>
    <w:rsid w:val="003739EE"/>
    <w:rsid w:val="00373E88"/>
    <w:rsid w:val="00375D20"/>
    <w:rsid w:val="0037739B"/>
    <w:rsid w:val="003773FB"/>
    <w:rsid w:val="00377840"/>
    <w:rsid w:val="00377CB3"/>
    <w:rsid w:val="00381009"/>
    <w:rsid w:val="003817AE"/>
    <w:rsid w:val="00381D76"/>
    <w:rsid w:val="00382B5E"/>
    <w:rsid w:val="00382FBD"/>
    <w:rsid w:val="003832DD"/>
    <w:rsid w:val="00383514"/>
    <w:rsid w:val="00384341"/>
    <w:rsid w:val="00385BA2"/>
    <w:rsid w:val="00386B6A"/>
    <w:rsid w:val="00386FF1"/>
    <w:rsid w:val="00387A51"/>
    <w:rsid w:val="003900E9"/>
    <w:rsid w:val="0039083B"/>
    <w:rsid w:val="00390D9E"/>
    <w:rsid w:val="00391DC6"/>
    <w:rsid w:val="00391EED"/>
    <w:rsid w:val="00393B79"/>
    <w:rsid w:val="0039458F"/>
    <w:rsid w:val="00396177"/>
    <w:rsid w:val="003A0AEB"/>
    <w:rsid w:val="003A0FC2"/>
    <w:rsid w:val="003A1CA2"/>
    <w:rsid w:val="003A4072"/>
    <w:rsid w:val="003A4A08"/>
    <w:rsid w:val="003A5FA7"/>
    <w:rsid w:val="003A6B39"/>
    <w:rsid w:val="003A6BE4"/>
    <w:rsid w:val="003A6DB0"/>
    <w:rsid w:val="003B01AF"/>
    <w:rsid w:val="003B0ACC"/>
    <w:rsid w:val="003B1528"/>
    <w:rsid w:val="003B1BF2"/>
    <w:rsid w:val="003B2450"/>
    <w:rsid w:val="003B2729"/>
    <w:rsid w:val="003B2E68"/>
    <w:rsid w:val="003B3DB1"/>
    <w:rsid w:val="003B40C1"/>
    <w:rsid w:val="003B44B8"/>
    <w:rsid w:val="003B50F3"/>
    <w:rsid w:val="003B52AB"/>
    <w:rsid w:val="003B6028"/>
    <w:rsid w:val="003B6CA2"/>
    <w:rsid w:val="003B7C77"/>
    <w:rsid w:val="003C020C"/>
    <w:rsid w:val="003C0957"/>
    <w:rsid w:val="003C0E31"/>
    <w:rsid w:val="003C132A"/>
    <w:rsid w:val="003C241F"/>
    <w:rsid w:val="003C36B3"/>
    <w:rsid w:val="003C46E9"/>
    <w:rsid w:val="003C55C6"/>
    <w:rsid w:val="003C6152"/>
    <w:rsid w:val="003C6F88"/>
    <w:rsid w:val="003C7545"/>
    <w:rsid w:val="003C7A38"/>
    <w:rsid w:val="003D041C"/>
    <w:rsid w:val="003D5E8F"/>
    <w:rsid w:val="003D70B6"/>
    <w:rsid w:val="003E0371"/>
    <w:rsid w:val="003E1AB2"/>
    <w:rsid w:val="003E2255"/>
    <w:rsid w:val="003E2BC8"/>
    <w:rsid w:val="003E2C99"/>
    <w:rsid w:val="003E3EBB"/>
    <w:rsid w:val="003E4148"/>
    <w:rsid w:val="003E42A3"/>
    <w:rsid w:val="003E4788"/>
    <w:rsid w:val="003E5A17"/>
    <w:rsid w:val="003E66DC"/>
    <w:rsid w:val="003E68B1"/>
    <w:rsid w:val="003E7AE9"/>
    <w:rsid w:val="003F05BE"/>
    <w:rsid w:val="003F1879"/>
    <w:rsid w:val="003F1EBC"/>
    <w:rsid w:val="003F22F2"/>
    <w:rsid w:val="003F2EE1"/>
    <w:rsid w:val="003F4065"/>
    <w:rsid w:val="003F4E93"/>
    <w:rsid w:val="003F4EDF"/>
    <w:rsid w:val="003F5D20"/>
    <w:rsid w:val="003F5E5D"/>
    <w:rsid w:val="003F6A0F"/>
    <w:rsid w:val="0040076E"/>
    <w:rsid w:val="00400D81"/>
    <w:rsid w:val="00401568"/>
    <w:rsid w:val="0040227C"/>
    <w:rsid w:val="00402450"/>
    <w:rsid w:val="004032BE"/>
    <w:rsid w:val="00403630"/>
    <w:rsid w:val="00403BB1"/>
    <w:rsid w:val="00405543"/>
    <w:rsid w:val="004061FE"/>
    <w:rsid w:val="0040681A"/>
    <w:rsid w:val="004072AC"/>
    <w:rsid w:val="00407C09"/>
    <w:rsid w:val="00410034"/>
    <w:rsid w:val="0041043B"/>
    <w:rsid w:val="00410A8A"/>
    <w:rsid w:val="0041373F"/>
    <w:rsid w:val="00413C76"/>
    <w:rsid w:val="004140F0"/>
    <w:rsid w:val="004144B5"/>
    <w:rsid w:val="00415ED4"/>
    <w:rsid w:val="0041773D"/>
    <w:rsid w:val="00417F3B"/>
    <w:rsid w:val="00420F29"/>
    <w:rsid w:val="00420F98"/>
    <w:rsid w:val="0042173D"/>
    <w:rsid w:val="00421B5D"/>
    <w:rsid w:val="00424D2F"/>
    <w:rsid w:val="00424F08"/>
    <w:rsid w:val="00426416"/>
    <w:rsid w:val="004302D7"/>
    <w:rsid w:val="00430527"/>
    <w:rsid w:val="004306FB"/>
    <w:rsid w:val="00431548"/>
    <w:rsid w:val="00432164"/>
    <w:rsid w:val="00432E25"/>
    <w:rsid w:val="0043346A"/>
    <w:rsid w:val="0043360D"/>
    <w:rsid w:val="004338BD"/>
    <w:rsid w:val="00433A46"/>
    <w:rsid w:val="00435999"/>
    <w:rsid w:val="004363FD"/>
    <w:rsid w:val="00436FD8"/>
    <w:rsid w:val="00440B17"/>
    <w:rsid w:val="00441B48"/>
    <w:rsid w:val="00441CF2"/>
    <w:rsid w:val="00441D03"/>
    <w:rsid w:val="004430A0"/>
    <w:rsid w:val="004438E3"/>
    <w:rsid w:val="0044432D"/>
    <w:rsid w:val="0044448D"/>
    <w:rsid w:val="00445158"/>
    <w:rsid w:val="00445CF5"/>
    <w:rsid w:val="00446BDB"/>
    <w:rsid w:val="00446FEC"/>
    <w:rsid w:val="0044720B"/>
    <w:rsid w:val="0044794F"/>
    <w:rsid w:val="0045019D"/>
    <w:rsid w:val="00450B89"/>
    <w:rsid w:val="00450D9C"/>
    <w:rsid w:val="004524EF"/>
    <w:rsid w:val="00453C43"/>
    <w:rsid w:val="00453F85"/>
    <w:rsid w:val="004556C9"/>
    <w:rsid w:val="00455D79"/>
    <w:rsid w:val="00455E96"/>
    <w:rsid w:val="00456161"/>
    <w:rsid w:val="004564DC"/>
    <w:rsid w:val="00457069"/>
    <w:rsid w:val="004577DA"/>
    <w:rsid w:val="00457951"/>
    <w:rsid w:val="00457CFF"/>
    <w:rsid w:val="0046050D"/>
    <w:rsid w:val="00460A33"/>
    <w:rsid w:val="00461373"/>
    <w:rsid w:val="00462983"/>
    <w:rsid w:val="00462D20"/>
    <w:rsid w:val="00463C15"/>
    <w:rsid w:val="00464612"/>
    <w:rsid w:val="0046570A"/>
    <w:rsid w:val="0046617C"/>
    <w:rsid w:val="004662FC"/>
    <w:rsid w:val="00466C26"/>
    <w:rsid w:val="00466C88"/>
    <w:rsid w:val="00470350"/>
    <w:rsid w:val="004705AE"/>
    <w:rsid w:val="00471CB6"/>
    <w:rsid w:val="004740EE"/>
    <w:rsid w:val="00475B3D"/>
    <w:rsid w:val="00476576"/>
    <w:rsid w:val="004778AE"/>
    <w:rsid w:val="00480193"/>
    <w:rsid w:val="004802F2"/>
    <w:rsid w:val="004803D0"/>
    <w:rsid w:val="00480AB4"/>
    <w:rsid w:val="004810B7"/>
    <w:rsid w:val="004816D8"/>
    <w:rsid w:val="00481EE3"/>
    <w:rsid w:val="004828E5"/>
    <w:rsid w:val="00484578"/>
    <w:rsid w:val="00485D51"/>
    <w:rsid w:val="00485F78"/>
    <w:rsid w:val="0048688E"/>
    <w:rsid w:val="00486D9B"/>
    <w:rsid w:val="004871E8"/>
    <w:rsid w:val="004876EA"/>
    <w:rsid w:val="00487A02"/>
    <w:rsid w:val="004904DA"/>
    <w:rsid w:val="00492006"/>
    <w:rsid w:val="004932C0"/>
    <w:rsid w:val="00493362"/>
    <w:rsid w:val="0049339D"/>
    <w:rsid w:val="00493A1A"/>
    <w:rsid w:val="00493F0B"/>
    <w:rsid w:val="0049540D"/>
    <w:rsid w:val="00495421"/>
    <w:rsid w:val="004A0A21"/>
    <w:rsid w:val="004A0C31"/>
    <w:rsid w:val="004A2F67"/>
    <w:rsid w:val="004A44BE"/>
    <w:rsid w:val="004A55AC"/>
    <w:rsid w:val="004A62AD"/>
    <w:rsid w:val="004B0832"/>
    <w:rsid w:val="004B08C5"/>
    <w:rsid w:val="004B0B61"/>
    <w:rsid w:val="004B0BA6"/>
    <w:rsid w:val="004B10C3"/>
    <w:rsid w:val="004B1AEA"/>
    <w:rsid w:val="004B1F56"/>
    <w:rsid w:val="004B3520"/>
    <w:rsid w:val="004B49D3"/>
    <w:rsid w:val="004B5007"/>
    <w:rsid w:val="004B745B"/>
    <w:rsid w:val="004B74C7"/>
    <w:rsid w:val="004C0F10"/>
    <w:rsid w:val="004C1855"/>
    <w:rsid w:val="004C1E99"/>
    <w:rsid w:val="004C2794"/>
    <w:rsid w:val="004C2C45"/>
    <w:rsid w:val="004C348C"/>
    <w:rsid w:val="004C3505"/>
    <w:rsid w:val="004C48CB"/>
    <w:rsid w:val="004C5586"/>
    <w:rsid w:val="004C6392"/>
    <w:rsid w:val="004C6A0B"/>
    <w:rsid w:val="004C6E51"/>
    <w:rsid w:val="004C74F1"/>
    <w:rsid w:val="004C77D1"/>
    <w:rsid w:val="004D0A3C"/>
    <w:rsid w:val="004D10D5"/>
    <w:rsid w:val="004D1117"/>
    <w:rsid w:val="004D1AE1"/>
    <w:rsid w:val="004D24F3"/>
    <w:rsid w:val="004D2654"/>
    <w:rsid w:val="004D2910"/>
    <w:rsid w:val="004D29DA"/>
    <w:rsid w:val="004D3C88"/>
    <w:rsid w:val="004D3D94"/>
    <w:rsid w:val="004D41C3"/>
    <w:rsid w:val="004D4430"/>
    <w:rsid w:val="004D45E8"/>
    <w:rsid w:val="004D4A87"/>
    <w:rsid w:val="004D6AA5"/>
    <w:rsid w:val="004E0958"/>
    <w:rsid w:val="004E0DAF"/>
    <w:rsid w:val="004E0DE6"/>
    <w:rsid w:val="004E11B5"/>
    <w:rsid w:val="004E19BD"/>
    <w:rsid w:val="004E19FF"/>
    <w:rsid w:val="004E1E08"/>
    <w:rsid w:val="004E2627"/>
    <w:rsid w:val="004E34E3"/>
    <w:rsid w:val="004E36BC"/>
    <w:rsid w:val="004E41FA"/>
    <w:rsid w:val="004E4423"/>
    <w:rsid w:val="004E5EDE"/>
    <w:rsid w:val="004E60FB"/>
    <w:rsid w:val="004F047C"/>
    <w:rsid w:val="004F155D"/>
    <w:rsid w:val="004F18E0"/>
    <w:rsid w:val="004F1F7C"/>
    <w:rsid w:val="004F3A5C"/>
    <w:rsid w:val="004F3F61"/>
    <w:rsid w:val="004F508E"/>
    <w:rsid w:val="004F633D"/>
    <w:rsid w:val="004F651E"/>
    <w:rsid w:val="004F6A53"/>
    <w:rsid w:val="004F7E4B"/>
    <w:rsid w:val="00500D2C"/>
    <w:rsid w:val="0050167D"/>
    <w:rsid w:val="00501784"/>
    <w:rsid w:val="00501933"/>
    <w:rsid w:val="005026B3"/>
    <w:rsid w:val="0050280D"/>
    <w:rsid w:val="00502B28"/>
    <w:rsid w:val="00503B0F"/>
    <w:rsid w:val="00504C6C"/>
    <w:rsid w:val="005053EF"/>
    <w:rsid w:val="00505709"/>
    <w:rsid w:val="00507181"/>
    <w:rsid w:val="0050726A"/>
    <w:rsid w:val="00510597"/>
    <w:rsid w:val="00511CDC"/>
    <w:rsid w:val="00512E89"/>
    <w:rsid w:val="0051376E"/>
    <w:rsid w:val="00514BF6"/>
    <w:rsid w:val="00515CCF"/>
    <w:rsid w:val="00520392"/>
    <w:rsid w:val="00520B1D"/>
    <w:rsid w:val="00521A80"/>
    <w:rsid w:val="0052262A"/>
    <w:rsid w:val="005229A1"/>
    <w:rsid w:val="00522A93"/>
    <w:rsid w:val="00524630"/>
    <w:rsid w:val="005247CB"/>
    <w:rsid w:val="005263CB"/>
    <w:rsid w:val="00532566"/>
    <w:rsid w:val="0053328A"/>
    <w:rsid w:val="005343A4"/>
    <w:rsid w:val="005345F0"/>
    <w:rsid w:val="0053460D"/>
    <w:rsid w:val="00534FC2"/>
    <w:rsid w:val="0053510E"/>
    <w:rsid w:val="0053626E"/>
    <w:rsid w:val="00537D8B"/>
    <w:rsid w:val="00537FC2"/>
    <w:rsid w:val="005403A5"/>
    <w:rsid w:val="005408CB"/>
    <w:rsid w:val="00544280"/>
    <w:rsid w:val="00545B91"/>
    <w:rsid w:val="005517F4"/>
    <w:rsid w:val="005527CD"/>
    <w:rsid w:val="00553501"/>
    <w:rsid w:val="00553B40"/>
    <w:rsid w:val="00554C24"/>
    <w:rsid w:val="005557F4"/>
    <w:rsid w:val="005559C3"/>
    <w:rsid w:val="0055632E"/>
    <w:rsid w:val="0055681C"/>
    <w:rsid w:val="00560E29"/>
    <w:rsid w:val="0056229D"/>
    <w:rsid w:val="005626CF"/>
    <w:rsid w:val="005627F5"/>
    <w:rsid w:val="00562B35"/>
    <w:rsid w:val="00563495"/>
    <w:rsid w:val="005646AA"/>
    <w:rsid w:val="00565071"/>
    <w:rsid w:val="005650D8"/>
    <w:rsid w:val="005652DB"/>
    <w:rsid w:val="00565A43"/>
    <w:rsid w:val="00566130"/>
    <w:rsid w:val="0056688C"/>
    <w:rsid w:val="00566A2F"/>
    <w:rsid w:val="00567631"/>
    <w:rsid w:val="005677C2"/>
    <w:rsid w:val="00570994"/>
    <w:rsid w:val="0057111B"/>
    <w:rsid w:val="00571DCC"/>
    <w:rsid w:val="00572063"/>
    <w:rsid w:val="0057341E"/>
    <w:rsid w:val="0057499E"/>
    <w:rsid w:val="00574F17"/>
    <w:rsid w:val="005769A7"/>
    <w:rsid w:val="005773E3"/>
    <w:rsid w:val="00580840"/>
    <w:rsid w:val="0058109B"/>
    <w:rsid w:val="00581533"/>
    <w:rsid w:val="00581611"/>
    <w:rsid w:val="00582167"/>
    <w:rsid w:val="0058368E"/>
    <w:rsid w:val="00583AAF"/>
    <w:rsid w:val="00584BF9"/>
    <w:rsid w:val="00585BEA"/>
    <w:rsid w:val="00585F1B"/>
    <w:rsid w:val="0058764C"/>
    <w:rsid w:val="00590056"/>
    <w:rsid w:val="005926CC"/>
    <w:rsid w:val="0059361A"/>
    <w:rsid w:val="0059497F"/>
    <w:rsid w:val="00597470"/>
    <w:rsid w:val="005975B7"/>
    <w:rsid w:val="00597797"/>
    <w:rsid w:val="005A05E4"/>
    <w:rsid w:val="005A0A6F"/>
    <w:rsid w:val="005A14C9"/>
    <w:rsid w:val="005A182A"/>
    <w:rsid w:val="005A18DA"/>
    <w:rsid w:val="005A2906"/>
    <w:rsid w:val="005A2CA0"/>
    <w:rsid w:val="005A2FC4"/>
    <w:rsid w:val="005A3AD0"/>
    <w:rsid w:val="005A3B74"/>
    <w:rsid w:val="005A3DB1"/>
    <w:rsid w:val="005A40C4"/>
    <w:rsid w:val="005A4797"/>
    <w:rsid w:val="005A5B25"/>
    <w:rsid w:val="005A692F"/>
    <w:rsid w:val="005A6E5C"/>
    <w:rsid w:val="005A7152"/>
    <w:rsid w:val="005A76A2"/>
    <w:rsid w:val="005B0E11"/>
    <w:rsid w:val="005B1B47"/>
    <w:rsid w:val="005B2B33"/>
    <w:rsid w:val="005B2DDA"/>
    <w:rsid w:val="005B310C"/>
    <w:rsid w:val="005B3C1C"/>
    <w:rsid w:val="005B421B"/>
    <w:rsid w:val="005B477D"/>
    <w:rsid w:val="005B47D1"/>
    <w:rsid w:val="005B5423"/>
    <w:rsid w:val="005B59A3"/>
    <w:rsid w:val="005B5AFF"/>
    <w:rsid w:val="005B6298"/>
    <w:rsid w:val="005B714A"/>
    <w:rsid w:val="005B7B09"/>
    <w:rsid w:val="005B7FBF"/>
    <w:rsid w:val="005C2500"/>
    <w:rsid w:val="005C2A7E"/>
    <w:rsid w:val="005C2DAA"/>
    <w:rsid w:val="005C3337"/>
    <w:rsid w:val="005C3C6E"/>
    <w:rsid w:val="005C5B38"/>
    <w:rsid w:val="005C6396"/>
    <w:rsid w:val="005C6AD4"/>
    <w:rsid w:val="005C72A6"/>
    <w:rsid w:val="005C7B32"/>
    <w:rsid w:val="005D012E"/>
    <w:rsid w:val="005D0891"/>
    <w:rsid w:val="005D240D"/>
    <w:rsid w:val="005D2E09"/>
    <w:rsid w:val="005D32E9"/>
    <w:rsid w:val="005D381E"/>
    <w:rsid w:val="005D4FCC"/>
    <w:rsid w:val="005D5496"/>
    <w:rsid w:val="005D6D72"/>
    <w:rsid w:val="005D7BF5"/>
    <w:rsid w:val="005D7C26"/>
    <w:rsid w:val="005E01CC"/>
    <w:rsid w:val="005E150A"/>
    <w:rsid w:val="005E3A8D"/>
    <w:rsid w:val="005E46C9"/>
    <w:rsid w:val="005E4C61"/>
    <w:rsid w:val="005E4DD7"/>
    <w:rsid w:val="005E68DF"/>
    <w:rsid w:val="005E6BD5"/>
    <w:rsid w:val="005E7284"/>
    <w:rsid w:val="005E7F45"/>
    <w:rsid w:val="005F07F1"/>
    <w:rsid w:val="005F122C"/>
    <w:rsid w:val="005F278D"/>
    <w:rsid w:val="005F2A07"/>
    <w:rsid w:val="005F6858"/>
    <w:rsid w:val="005F6A29"/>
    <w:rsid w:val="005F7079"/>
    <w:rsid w:val="006000C8"/>
    <w:rsid w:val="00600556"/>
    <w:rsid w:val="00603761"/>
    <w:rsid w:val="00603C98"/>
    <w:rsid w:val="00603D92"/>
    <w:rsid w:val="006046AE"/>
    <w:rsid w:val="00605543"/>
    <w:rsid w:val="00606950"/>
    <w:rsid w:val="0060781E"/>
    <w:rsid w:val="006100A7"/>
    <w:rsid w:val="00611760"/>
    <w:rsid w:val="006138E4"/>
    <w:rsid w:val="00614762"/>
    <w:rsid w:val="0061561B"/>
    <w:rsid w:val="00615751"/>
    <w:rsid w:val="006162F8"/>
    <w:rsid w:val="00616399"/>
    <w:rsid w:val="006163E6"/>
    <w:rsid w:val="0061684F"/>
    <w:rsid w:val="00616F89"/>
    <w:rsid w:val="00617034"/>
    <w:rsid w:val="00621143"/>
    <w:rsid w:val="00621E9A"/>
    <w:rsid w:val="00621EF1"/>
    <w:rsid w:val="00621FA4"/>
    <w:rsid w:val="006241E9"/>
    <w:rsid w:val="00624531"/>
    <w:rsid w:val="00624761"/>
    <w:rsid w:val="00625B47"/>
    <w:rsid w:val="00625E97"/>
    <w:rsid w:val="00626322"/>
    <w:rsid w:val="006264C8"/>
    <w:rsid w:val="0062692C"/>
    <w:rsid w:val="00630A3D"/>
    <w:rsid w:val="00632353"/>
    <w:rsid w:val="0063262F"/>
    <w:rsid w:val="00632E30"/>
    <w:rsid w:val="006342C2"/>
    <w:rsid w:val="00634983"/>
    <w:rsid w:val="00635045"/>
    <w:rsid w:val="00635D1D"/>
    <w:rsid w:val="00636D0C"/>
    <w:rsid w:val="00636E4B"/>
    <w:rsid w:val="006401BE"/>
    <w:rsid w:val="00640CD2"/>
    <w:rsid w:val="00640F66"/>
    <w:rsid w:val="00641221"/>
    <w:rsid w:val="006417E6"/>
    <w:rsid w:val="0064245B"/>
    <w:rsid w:val="00642F11"/>
    <w:rsid w:val="00642F1B"/>
    <w:rsid w:val="006448E7"/>
    <w:rsid w:val="00644973"/>
    <w:rsid w:val="00644FA2"/>
    <w:rsid w:val="0064582C"/>
    <w:rsid w:val="00646042"/>
    <w:rsid w:val="0064632C"/>
    <w:rsid w:val="006469AE"/>
    <w:rsid w:val="00647790"/>
    <w:rsid w:val="006477BF"/>
    <w:rsid w:val="00650814"/>
    <w:rsid w:val="006510C6"/>
    <w:rsid w:val="00651241"/>
    <w:rsid w:val="00651BA2"/>
    <w:rsid w:val="00653DC8"/>
    <w:rsid w:val="00654299"/>
    <w:rsid w:val="0065438B"/>
    <w:rsid w:val="006551C7"/>
    <w:rsid w:val="006555A3"/>
    <w:rsid w:val="006555AA"/>
    <w:rsid w:val="00655930"/>
    <w:rsid w:val="00655ED5"/>
    <w:rsid w:val="00655FE3"/>
    <w:rsid w:val="00656CB1"/>
    <w:rsid w:val="00656E46"/>
    <w:rsid w:val="00656E9A"/>
    <w:rsid w:val="00657E88"/>
    <w:rsid w:val="006609FA"/>
    <w:rsid w:val="00661B73"/>
    <w:rsid w:val="006620E4"/>
    <w:rsid w:val="00662D74"/>
    <w:rsid w:val="006630DB"/>
    <w:rsid w:val="0066463D"/>
    <w:rsid w:val="00664AF7"/>
    <w:rsid w:val="00664EBB"/>
    <w:rsid w:val="00665BF8"/>
    <w:rsid w:val="0066719D"/>
    <w:rsid w:val="006678CB"/>
    <w:rsid w:val="00667DFB"/>
    <w:rsid w:val="0067059F"/>
    <w:rsid w:val="00670889"/>
    <w:rsid w:val="00670C6C"/>
    <w:rsid w:val="00671B51"/>
    <w:rsid w:val="00671CAC"/>
    <w:rsid w:val="00671F3D"/>
    <w:rsid w:val="00672C69"/>
    <w:rsid w:val="00672E90"/>
    <w:rsid w:val="0067312C"/>
    <w:rsid w:val="00673664"/>
    <w:rsid w:val="00673EDA"/>
    <w:rsid w:val="006744D3"/>
    <w:rsid w:val="00674A13"/>
    <w:rsid w:val="00674A4A"/>
    <w:rsid w:val="006775FD"/>
    <w:rsid w:val="00677659"/>
    <w:rsid w:val="00677BE7"/>
    <w:rsid w:val="00677D8E"/>
    <w:rsid w:val="00677DBC"/>
    <w:rsid w:val="00680389"/>
    <w:rsid w:val="00680795"/>
    <w:rsid w:val="00680846"/>
    <w:rsid w:val="00680E6E"/>
    <w:rsid w:val="006810A8"/>
    <w:rsid w:val="00681336"/>
    <w:rsid w:val="0068137D"/>
    <w:rsid w:val="00681DF1"/>
    <w:rsid w:val="006821A9"/>
    <w:rsid w:val="00682498"/>
    <w:rsid w:val="00683071"/>
    <w:rsid w:val="00684686"/>
    <w:rsid w:val="00684CC5"/>
    <w:rsid w:val="006858A4"/>
    <w:rsid w:val="006869B1"/>
    <w:rsid w:val="006879AE"/>
    <w:rsid w:val="00687ADD"/>
    <w:rsid w:val="00687EDB"/>
    <w:rsid w:val="0069013A"/>
    <w:rsid w:val="00690E25"/>
    <w:rsid w:val="006914C5"/>
    <w:rsid w:val="006916C8"/>
    <w:rsid w:val="00691777"/>
    <w:rsid w:val="00691A13"/>
    <w:rsid w:val="00691A78"/>
    <w:rsid w:val="00691DC2"/>
    <w:rsid w:val="006927D9"/>
    <w:rsid w:val="00692859"/>
    <w:rsid w:val="0069459E"/>
    <w:rsid w:val="00694BBF"/>
    <w:rsid w:val="00695771"/>
    <w:rsid w:val="00695FE1"/>
    <w:rsid w:val="006961B0"/>
    <w:rsid w:val="00696E0B"/>
    <w:rsid w:val="006A09BE"/>
    <w:rsid w:val="006A0A66"/>
    <w:rsid w:val="006A263E"/>
    <w:rsid w:val="006A2B29"/>
    <w:rsid w:val="006A2B85"/>
    <w:rsid w:val="006A44E2"/>
    <w:rsid w:val="006A51F6"/>
    <w:rsid w:val="006A61E0"/>
    <w:rsid w:val="006A70C7"/>
    <w:rsid w:val="006A73BD"/>
    <w:rsid w:val="006B154A"/>
    <w:rsid w:val="006B1D68"/>
    <w:rsid w:val="006B2871"/>
    <w:rsid w:val="006B2CB2"/>
    <w:rsid w:val="006B30F7"/>
    <w:rsid w:val="006B3394"/>
    <w:rsid w:val="006B3762"/>
    <w:rsid w:val="006B4412"/>
    <w:rsid w:val="006B5316"/>
    <w:rsid w:val="006B57E3"/>
    <w:rsid w:val="006B5C6B"/>
    <w:rsid w:val="006B799C"/>
    <w:rsid w:val="006B7D4E"/>
    <w:rsid w:val="006B7EA8"/>
    <w:rsid w:val="006B7FC7"/>
    <w:rsid w:val="006C0486"/>
    <w:rsid w:val="006C0863"/>
    <w:rsid w:val="006C0C33"/>
    <w:rsid w:val="006C22AA"/>
    <w:rsid w:val="006C36B1"/>
    <w:rsid w:val="006C38D2"/>
    <w:rsid w:val="006C3B1F"/>
    <w:rsid w:val="006C41A8"/>
    <w:rsid w:val="006C5E2E"/>
    <w:rsid w:val="006C5FE6"/>
    <w:rsid w:val="006C6907"/>
    <w:rsid w:val="006C6E60"/>
    <w:rsid w:val="006C75DC"/>
    <w:rsid w:val="006D0DD0"/>
    <w:rsid w:val="006D120D"/>
    <w:rsid w:val="006D1324"/>
    <w:rsid w:val="006D1DDF"/>
    <w:rsid w:val="006D2AE2"/>
    <w:rsid w:val="006D4429"/>
    <w:rsid w:val="006D45F1"/>
    <w:rsid w:val="006D4D6F"/>
    <w:rsid w:val="006D512F"/>
    <w:rsid w:val="006D608C"/>
    <w:rsid w:val="006D650F"/>
    <w:rsid w:val="006D6583"/>
    <w:rsid w:val="006D72D2"/>
    <w:rsid w:val="006D7602"/>
    <w:rsid w:val="006D7B90"/>
    <w:rsid w:val="006E0307"/>
    <w:rsid w:val="006E04BF"/>
    <w:rsid w:val="006E0748"/>
    <w:rsid w:val="006E0A8A"/>
    <w:rsid w:val="006E0BA3"/>
    <w:rsid w:val="006E1318"/>
    <w:rsid w:val="006E14C1"/>
    <w:rsid w:val="006E2291"/>
    <w:rsid w:val="006E2D64"/>
    <w:rsid w:val="006E2E7A"/>
    <w:rsid w:val="006E329D"/>
    <w:rsid w:val="006E4973"/>
    <w:rsid w:val="006E70C3"/>
    <w:rsid w:val="006F0577"/>
    <w:rsid w:val="006F1997"/>
    <w:rsid w:val="006F2065"/>
    <w:rsid w:val="006F33B1"/>
    <w:rsid w:val="006F34DD"/>
    <w:rsid w:val="006F419B"/>
    <w:rsid w:val="006F43EE"/>
    <w:rsid w:val="006F4B58"/>
    <w:rsid w:val="006F62B1"/>
    <w:rsid w:val="006F76D0"/>
    <w:rsid w:val="006F78B3"/>
    <w:rsid w:val="006F7A15"/>
    <w:rsid w:val="00700419"/>
    <w:rsid w:val="00700D48"/>
    <w:rsid w:val="0070322F"/>
    <w:rsid w:val="00703368"/>
    <w:rsid w:val="00704755"/>
    <w:rsid w:val="00704762"/>
    <w:rsid w:val="0070481F"/>
    <w:rsid w:val="00704DA2"/>
    <w:rsid w:val="00704F7E"/>
    <w:rsid w:val="00705E36"/>
    <w:rsid w:val="00706E53"/>
    <w:rsid w:val="0070750E"/>
    <w:rsid w:val="00707F72"/>
    <w:rsid w:val="007113AD"/>
    <w:rsid w:val="00711D76"/>
    <w:rsid w:val="00711DF8"/>
    <w:rsid w:val="0071284D"/>
    <w:rsid w:val="0071464E"/>
    <w:rsid w:val="00714784"/>
    <w:rsid w:val="00714E08"/>
    <w:rsid w:val="00714F49"/>
    <w:rsid w:val="007153B3"/>
    <w:rsid w:val="007163C2"/>
    <w:rsid w:val="00720D91"/>
    <w:rsid w:val="00720E04"/>
    <w:rsid w:val="00720F23"/>
    <w:rsid w:val="00721389"/>
    <w:rsid w:val="007214F7"/>
    <w:rsid w:val="00721A00"/>
    <w:rsid w:val="0072375B"/>
    <w:rsid w:val="00724C5F"/>
    <w:rsid w:val="00725CBD"/>
    <w:rsid w:val="007260B9"/>
    <w:rsid w:val="0073186E"/>
    <w:rsid w:val="00731CA3"/>
    <w:rsid w:val="00731D4B"/>
    <w:rsid w:val="0073213D"/>
    <w:rsid w:val="0073362B"/>
    <w:rsid w:val="00733EE6"/>
    <w:rsid w:val="00734042"/>
    <w:rsid w:val="007343FC"/>
    <w:rsid w:val="007358DC"/>
    <w:rsid w:val="007401B8"/>
    <w:rsid w:val="007454D6"/>
    <w:rsid w:val="00745767"/>
    <w:rsid w:val="00745C4C"/>
    <w:rsid w:val="00746454"/>
    <w:rsid w:val="00747526"/>
    <w:rsid w:val="00750C3E"/>
    <w:rsid w:val="00750CD6"/>
    <w:rsid w:val="00751BDC"/>
    <w:rsid w:val="0075244F"/>
    <w:rsid w:val="00753106"/>
    <w:rsid w:val="007537EB"/>
    <w:rsid w:val="0075460E"/>
    <w:rsid w:val="00754924"/>
    <w:rsid w:val="00754BBC"/>
    <w:rsid w:val="00755089"/>
    <w:rsid w:val="007551B6"/>
    <w:rsid w:val="00756B5A"/>
    <w:rsid w:val="00756E38"/>
    <w:rsid w:val="00757614"/>
    <w:rsid w:val="0075789F"/>
    <w:rsid w:val="00760F16"/>
    <w:rsid w:val="007617B4"/>
    <w:rsid w:val="007617FA"/>
    <w:rsid w:val="007623C2"/>
    <w:rsid w:val="0076261D"/>
    <w:rsid w:val="00763BF6"/>
    <w:rsid w:val="007652CC"/>
    <w:rsid w:val="00765460"/>
    <w:rsid w:val="00765C08"/>
    <w:rsid w:val="00765F24"/>
    <w:rsid w:val="007669DF"/>
    <w:rsid w:val="007671BE"/>
    <w:rsid w:val="0077040E"/>
    <w:rsid w:val="00770832"/>
    <w:rsid w:val="00771270"/>
    <w:rsid w:val="00771F0F"/>
    <w:rsid w:val="0077377A"/>
    <w:rsid w:val="0077475F"/>
    <w:rsid w:val="00774F1E"/>
    <w:rsid w:val="007754BB"/>
    <w:rsid w:val="007767A2"/>
    <w:rsid w:val="00776F9B"/>
    <w:rsid w:val="0077747B"/>
    <w:rsid w:val="00777808"/>
    <w:rsid w:val="007778A7"/>
    <w:rsid w:val="00777CCB"/>
    <w:rsid w:val="00780F06"/>
    <w:rsid w:val="00781458"/>
    <w:rsid w:val="00781C19"/>
    <w:rsid w:val="00781E42"/>
    <w:rsid w:val="00782B0A"/>
    <w:rsid w:val="007833B3"/>
    <w:rsid w:val="00783653"/>
    <w:rsid w:val="00784A04"/>
    <w:rsid w:val="00784F2D"/>
    <w:rsid w:val="007854AB"/>
    <w:rsid w:val="00786140"/>
    <w:rsid w:val="0078736A"/>
    <w:rsid w:val="007905DE"/>
    <w:rsid w:val="007923B1"/>
    <w:rsid w:val="00792852"/>
    <w:rsid w:val="00793816"/>
    <w:rsid w:val="00793E13"/>
    <w:rsid w:val="00793E54"/>
    <w:rsid w:val="00793FC0"/>
    <w:rsid w:val="007943CD"/>
    <w:rsid w:val="0079482F"/>
    <w:rsid w:val="00796BC1"/>
    <w:rsid w:val="007976C1"/>
    <w:rsid w:val="00797BCE"/>
    <w:rsid w:val="00797BEA"/>
    <w:rsid w:val="007A0243"/>
    <w:rsid w:val="007A07F6"/>
    <w:rsid w:val="007A0850"/>
    <w:rsid w:val="007A2F03"/>
    <w:rsid w:val="007A4C04"/>
    <w:rsid w:val="007A59F5"/>
    <w:rsid w:val="007A6349"/>
    <w:rsid w:val="007A7169"/>
    <w:rsid w:val="007A7C27"/>
    <w:rsid w:val="007B0490"/>
    <w:rsid w:val="007B0621"/>
    <w:rsid w:val="007B0A96"/>
    <w:rsid w:val="007B0D5F"/>
    <w:rsid w:val="007B1740"/>
    <w:rsid w:val="007B1754"/>
    <w:rsid w:val="007B1805"/>
    <w:rsid w:val="007B1D85"/>
    <w:rsid w:val="007B2122"/>
    <w:rsid w:val="007B3692"/>
    <w:rsid w:val="007B47B6"/>
    <w:rsid w:val="007B523A"/>
    <w:rsid w:val="007B5CA6"/>
    <w:rsid w:val="007B6514"/>
    <w:rsid w:val="007B668B"/>
    <w:rsid w:val="007C0024"/>
    <w:rsid w:val="007C2AF9"/>
    <w:rsid w:val="007C5CD8"/>
    <w:rsid w:val="007C6D4D"/>
    <w:rsid w:val="007C7536"/>
    <w:rsid w:val="007D1503"/>
    <w:rsid w:val="007D156E"/>
    <w:rsid w:val="007D1F9F"/>
    <w:rsid w:val="007D358C"/>
    <w:rsid w:val="007D3AF9"/>
    <w:rsid w:val="007D4510"/>
    <w:rsid w:val="007D4BCA"/>
    <w:rsid w:val="007D6098"/>
    <w:rsid w:val="007D66A5"/>
    <w:rsid w:val="007D6F70"/>
    <w:rsid w:val="007D7B39"/>
    <w:rsid w:val="007E0971"/>
    <w:rsid w:val="007E0F4F"/>
    <w:rsid w:val="007E1FE9"/>
    <w:rsid w:val="007E23A9"/>
    <w:rsid w:val="007E254F"/>
    <w:rsid w:val="007E26CC"/>
    <w:rsid w:val="007E3197"/>
    <w:rsid w:val="007E3383"/>
    <w:rsid w:val="007E3889"/>
    <w:rsid w:val="007E3B84"/>
    <w:rsid w:val="007E4DD9"/>
    <w:rsid w:val="007E5A2F"/>
    <w:rsid w:val="007F114A"/>
    <w:rsid w:val="007F1719"/>
    <w:rsid w:val="007F28E1"/>
    <w:rsid w:val="007F29E2"/>
    <w:rsid w:val="007F3125"/>
    <w:rsid w:val="007F34CE"/>
    <w:rsid w:val="007F3F77"/>
    <w:rsid w:val="007F44C2"/>
    <w:rsid w:val="007F494D"/>
    <w:rsid w:val="007F54B8"/>
    <w:rsid w:val="007F5BAC"/>
    <w:rsid w:val="007F5CF3"/>
    <w:rsid w:val="007F63B5"/>
    <w:rsid w:val="00801324"/>
    <w:rsid w:val="00802634"/>
    <w:rsid w:val="00802C51"/>
    <w:rsid w:val="00804455"/>
    <w:rsid w:val="00806B73"/>
    <w:rsid w:val="0080731D"/>
    <w:rsid w:val="00810C0A"/>
    <w:rsid w:val="00810DB8"/>
    <w:rsid w:val="00811122"/>
    <w:rsid w:val="00811ED3"/>
    <w:rsid w:val="00811F7A"/>
    <w:rsid w:val="00812147"/>
    <w:rsid w:val="00812790"/>
    <w:rsid w:val="00813669"/>
    <w:rsid w:val="00814F00"/>
    <w:rsid w:val="008154C7"/>
    <w:rsid w:val="00815F04"/>
    <w:rsid w:val="00815FD5"/>
    <w:rsid w:val="008165C8"/>
    <w:rsid w:val="008207C4"/>
    <w:rsid w:val="00820FDD"/>
    <w:rsid w:val="00820FE3"/>
    <w:rsid w:val="008217AD"/>
    <w:rsid w:val="00822DB0"/>
    <w:rsid w:val="00822DBE"/>
    <w:rsid w:val="00823462"/>
    <w:rsid w:val="00824430"/>
    <w:rsid w:val="008250DE"/>
    <w:rsid w:val="008259BF"/>
    <w:rsid w:val="008310B8"/>
    <w:rsid w:val="00831232"/>
    <w:rsid w:val="00831875"/>
    <w:rsid w:val="00831ABE"/>
    <w:rsid w:val="00831B09"/>
    <w:rsid w:val="00832D3A"/>
    <w:rsid w:val="008336E4"/>
    <w:rsid w:val="0083536D"/>
    <w:rsid w:val="008354BC"/>
    <w:rsid w:val="008367E2"/>
    <w:rsid w:val="00836CA2"/>
    <w:rsid w:val="008374A6"/>
    <w:rsid w:val="00840281"/>
    <w:rsid w:val="00840FF3"/>
    <w:rsid w:val="00842ED8"/>
    <w:rsid w:val="00842F4E"/>
    <w:rsid w:val="00846341"/>
    <w:rsid w:val="00846572"/>
    <w:rsid w:val="008508E6"/>
    <w:rsid w:val="008512A0"/>
    <w:rsid w:val="00851CF7"/>
    <w:rsid w:val="008525BE"/>
    <w:rsid w:val="00852D83"/>
    <w:rsid w:val="0085399D"/>
    <w:rsid w:val="00854E15"/>
    <w:rsid w:val="0085527B"/>
    <w:rsid w:val="00855DF9"/>
    <w:rsid w:val="008560CB"/>
    <w:rsid w:val="00856DAB"/>
    <w:rsid w:val="008633C5"/>
    <w:rsid w:val="00863B75"/>
    <w:rsid w:val="008643BB"/>
    <w:rsid w:val="008665A0"/>
    <w:rsid w:val="00866A78"/>
    <w:rsid w:val="00870AED"/>
    <w:rsid w:val="00871C91"/>
    <w:rsid w:val="008722EC"/>
    <w:rsid w:val="00872577"/>
    <w:rsid w:val="008728B0"/>
    <w:rsid w:val="00873873"/>
    <w:rsid w:val="00874E9E"/>
    <w:rsid w:val="00877B75"/>
    <w:rsid w:val="0088196E"/>
    <w:rsid w:val="008819C1"/>
    <w:rsid w:val="00881D3A"/>
    <w:rsid w:val="00884584"/>
    <w:rsid w:val="00885284"/>
    <w:rsid w:val="00885D4E"/>
    <w:rsid w:val="008868FD"/>
    <w:rsid w:val="00886B1F"/>
    <w:rsid w:val="00887080"/>
    <w:rsid w:val="008871C8"/>
    <w:rsid w:val="0088726C"/>
    <w:rsid w:val="0088799B"/>
    <w:rsid w:val="00887A45"/>
    <w:rsid w:val="00887BBE"/>
    <w:rsid w:val="00887FE6"/>
    <w:rsid w:val="00890D90"/>
    <w:rsid w:val="00891441"/>
    <w:rsid w:val="00891592"/>
    <w:rsid w:val="00891FFE"/>
    <w:rsid w:val="00892C43"/>
    <w:rsid w:val="00893091"/>
    <w:rsid w:val="008936C0"/>
    <w:rsid w:val="0089391D"/>
    <w:rsid w:val="00893D93"/>
    <w:rsid w:val="0089416C"/>
    <w:rsid w:val="008944B3"/>
    <w:rsid w:val="008945FE"/>
    <w:rsid w:val="00895535"/>
    <w:rsid w:val="00895AE7"/>
    <w:rsid w:val="00896387"/>
    <w:rsid w:val="00896ECB"/>
    <w:rsid w:val="00897832"/>
    <w:rsid w:val="008A0BE3"/>
    <w:rsid w:val="008A0EE4"/>
    <w:rsid w:val="008A13FE"/>
    <w:rsid w:val="008A152F"/>
    <w:rsid w:val="008A1CDE"/>
    <w:rsid w:val="008A23CE"/>
    <w:rsid w:val="008A45C9"/>
    <w:rsid w:val="008A5EAC"/>
    <w:rsid w:val="008A66E2"/>
    <w:rsid w:val="008B01E2"/>
    <w:rsid w:val="008B2FA8"/>
    <w:rsid w:val="008B320A"/>
    <w:rsid w:val="008B333E"/>
    <w:rsid w:val="008B33B2"/>
    <w:rsid w:val="008B495F"/>
    <w:rsid w:val="008B4F19"/>
    <w:rsid w:val="008B662F"/>
    <w:rsid w:val="008B73DB"/>
    <w:rsid w:val="008C0610"/>
    <w:rsid w:val="008C0E64"/>
    <w:rsid w:val="008C1239"/>
    <w:rsid w:val="008C2B5D"/>
    <w:rsid w:val="008C3AC8"/>
    <w:rsid w:val="008C4B39"/>
    <w:rsid w:val="008C6BB6"/>
    <w:rsid w:val="008D013E"/>
    <w:rsid w:val="008D06E0"/>
    <w:rsid w:val="008D0B00"/>
    <w:rsid w:val="008D11E3"/>
    <w:rsid w:val="008D18A5"/>
    <w:rsid w:val="008D18AB"/>
    <w:rsid w:val="008D1D87"/>
    <w:rsid w:val="008D215D"/>
    <w:rsid w:val="008D2A54"/>
    <w:rsid w:val="008D3E20"/>
    <w:rsid w:val="008D4296"/>
    <w:rsid w:val="008D4E53"/>
    <w:rsid w:val="008D541C"/>
    <w:rsid w:val="008D5488"/>
    <w:rsid w:val="008D709E"/>
    <w:rsid w:val="008E0273"/>
    <w:rsid w:val="008E0EB1"/>
    <w:rsid w:val="008E1527"/>
    <w:rsid w:val="008E164C"/>
    <w:rsid w:val="008E17D4"/>
    <w:rsid w:val="008E186C"/>
    <w:rsid w:val="008E2A7A"/>
    <w:rsid w:val="008E2D2D"/>
    <w:rsid w:val="008E318A"/>
    <w:rsid w:val="008E3254"/>
    <w:rsid w:val="008E4248"/>
    <w:rsid w:val="008E4BC2"/>
    <w:rsid w:val="008E5689"/>
    <w:rsid w:val="008E5E9F"/>
    <w:rsid w:val="008E5FC3"/>
    <w:rsid w:val="008E6A9E"/>
    <w:rsid w:val="008E700B"/>
    <w:rsid w:val="008E71BB"/>
    <w:rsid w:val="008F0F97"/>
    <w:rsid w:val="008F110B"/>
    <w:rsid w:val="008F2065"/>
    <w:rsid w:val="008F21FB"/>
    <w:rsid w:val="008F2B2D"/>
    <w:rsid w:val="008F2EA7"/>
    <w:rsid w:val="008F3354"/>
    <w:rsid w:val="008F4635"/>
    <w:rsid w:val="008F4E4B"/>
    <w:rsid w:val="008F5B9C"/>
    <w:rsid w:val="008F6AB1"/>
    <w:rsid w:val="00900C20"/>
    <w:rsid w:val="00903A19"/>
    <w:rsid w:val="0090418B"/>
    <w:rsid w:val="009064C5"/>
    <w:rsid w:val="00906632"/>
    <w:rsid w:val="00907368"/>
    <w:rsid w:val="00907938"/>
    <w:rsid w:val="00910B16"/>
    <w:rsid w:val="00912880"/>
    <w:rsid w:val="00915973"/>
    <w:rsid w:val="00916106"/>
    <w:rsid w:val="00916353"/>
    <w:rsid w:val="009173C7"/>
    <w:rsid w:val="009205C3"/>
    <w:rsid w:val="009213F8"/>
    <w:rsid w:val="0092237D"/>
    <w:rsid w:val="00922E29"/>
    <w:rsid w:val="00923E55"/>
    <w:rsid w:val="0092490C"/>
    <w:rsid w:val="00924A44"/>
    <w:rsid w:val="00924E59"/>
    <w:rsid w:val="00926E95"/>
    <w:rsid w:val="00926EC2"/>
    <w:rsid w:val="009275A4"/>
    <w:rsid w:val="00927ED7"/>
    <w:rsid w:val="00927F6D"/>
    <w:rsid w:val="00930363"/>
    <w:rsid w:val="009311A3"/>
    <w:rsid w:val="0093144D"/>
    <w:rsid w:val="00931A86"/>
    <w:rsid w:val="00931F84"/>
    <w:rsid w:val="00931FD6"/>
    <w:rsid w:val="00932356"/>
    <w:rsid w:val="00932F0E"/>
    <w:rsid w:val="00932F11"/>
    <w:rsid w:val="009331D0"/>
    <w:rsid w:val="00934199"/>
    <w:rsid w:val="009347E4"/>
    <w:rsid w:val="009361A3"/>
    <w:rsid w:val="0093659B"/>
    <w:rsid w:val="009366C1"/>
    <w:rsid w:val="00936821"/>
    <w:rsid w:val="009371E1"/>
    <w:rsid w:val="00937576"/>
    <w:rsid w:val="00940108"/>
    <w:rsid w:val="0094018F"/>
    <w:rsid w:val="00940293"/>
    <w:rsid w:val="00941C1D"/>
    <w:rsid w:val="00942289"/>
    <w:rsid w:val="00942A84"/>
    <w:rsid w:val="0094554D"/>
    <w:rsid w:val="00946B5E"/>
    <w:rsid w:val="00947B24"/>
    <w:rsid w:val="00950A33"/>
    <w:rsid w:val="00950FC7"/>
    <w:rsid w:val="00951475"/>
    <w:rsid w:val="009515ED"/>
    <w:rsid w:val="00951A88"/>
    <w:rsid w:val="00951C34"/>
    <w:rsid w:val="00952F83"/>
    <w:rsid w:val="0095317D"/>
    <w:rsid w:val="00953B14"/>
    <w:rsid w:val="0095433B"/>
    <w:rsid w:val="00954F08"/>
    <w:rsid w:val="00955CEA"/>
    <w:rsid w:val="00960103"/>
    <w:rsid w:val="00960884"/>
    <w:rsid w:val="00961069"/>
    <w:rsid w:val="00961758"/>
    <w:rsid w:val="00961F6E"/>
    <w:rsid w:val="009642F7"/>
    <w:rsid w:val="00965385"/>
    <w:rsid w:val="00965E39"/>
    <w:rsid w:val="00966523"/>
    <w:rsid w:val="0096656C"/>
    <w:rsid w:val="00966784"/>
    <w:rsid w:val="00966E30"/>
    <w:rsid w:val="009670BC"/>
    <w:rsid w:val="009709BB"/>
    <w:rsid w:val="00971B19"/>
    <w:rsid w:val="00972A0A"/>
    <w:rsid w:val="00974CA2"/>
    <w:rsid w:val="00976E42"/>
    <w:rsid w:val="009800F8"/>
    <w:rsid w:val="00980AE9"/>
    <w:rsid w:val="00980C01"/>
    <w:rsid w:val="009814C8"/>
    <w:rsid w:val="00982139"/>
    <w:rsid w:val="009844F6"/>
    <w:rsid w:val="00984667"/>
    <w:rsid w:val="009849A3"/>
    <w:rsid w:val="00986045"/>
    <w:rsid w:val="00987298"/>
    <w:rsid w:val="0098759F"/>
    <w:rsid w:val="00987C7C"/>
    <w:rsid w:val="009905D9"/>
    <w:rsid w:val="00990C66"/>
    <w:rsid w:val="00991448"/>
    <w:rsid w:val="0099273F"/>
    <w:rsid w:val="00992D73"/>
    <w:rsid w:val="009935B7"/>
    <w:rsid w:val="00995612"/>
    <w:rsid w:val="009957FD"/>
    <w:rsid w:val="00997A05"/>
    <w:rsid w:val="009A0254"/>
    <w:rsid w:val="009A0FAD"/>
    <w:rsid w:val="009A126B"/>
    <w:rsid w:val="009A507F"/>
    <w:rsid w:val="009A5B50"/>
    <w:rsid w:val="009A666A"/>
    <w:rsid w:val="009A7FB0"/>
    <w:rsid w:val="009B123C"/>
    <w:rsid w:val="009B25E6"/>
    <w:rsid w:val="009B2EB6"/>
    <w:rsid w:val="009B2F1D"/>
    <w:rsid w:val="009B3350"/>
    <w:rsid w:val="009B3C4A"/>
    <w:rsid w:val="009B43AC"/>
    <w:rsid w:val="009B4911"/>
    <w:rsid w:val="009B5688"/>
    <w:rsid w:val="009B5A55"/>
    <w:rsid w:val="009B6429"/>
    <w:rsid w:val="009B6835"/>
    <w:rsid w:val="009B6B03"/>
    <w:rsid w:val="009B7772"/>
    <w:rsid w:val="009B7CA0"/>
    <w:rsid w:val="009B7F7A"/>
    <w:rsid w:val="009C01AC"/>
    <w:rsid w:val="009C1B1B"/>
    <w:rsid w:val="009C51B8"/>
    <w:rsid w:val="009C521E"/>
    <w:rsid w:val="009C7220"/>
    <w:rsid w:val="009D06C0"/>
    <w:rsid w:val="009D1543"/>
    <w:rsid w:val="009D1825"/>
    <w:rsid w:val="009D2E5A"/>
    <w:rsid w:val="009D381F"/>
    <w:rsid w:val="009D4308"/>
    <w:rsid w:val="009D4AC4"/>
    <w:rsid w:val="009D5B63"/>
    <w:rsid w:val="009D5BAA"/>
    <w:rsid w:val="009D640E"/>
    <w:rsid w:val="009D6ABC"/>
    <w:rsid w:val="009D7154"/>
    <w:rsid w:val="009E0AE4"/>
    <w:rsid w:val="009E1C65"/>
    <w:rsid w:val="009E2DF7"/>
    <w:rsid w:val="009E3915"/>
    <w:rsid w:val="009E3FE1"/>
    <w:rsid w:val="009E4388"/>
    <w:rsid w:val="009E5A66"/>
    <w:rsid w:val="009E5DEB"/>
    <w:rsid w:val="009E636D"/>
    <w:rsid w:val="009E6719"/>
    <w:rsid w:val="009E67D0"/>
    <w:rsid w:val="009E7386"/>
    <w:rsid w:val="009E7960"/>
    <w:rsid w:val="009E7E07"/>
    <w:rsid w:val="009F00D1"/>
    <w:rsid w:val="009F0DCD"/>
    <w:rsid w:val="009F14FC"/>
    <w:rsid w:val="009F1B38"/>
    <w:rsid w:val="009F1EEA"/>
    <w:rsid w:val="009F1FDE"/>
    <w:rsid w:val="009F2629"/>
    <w:rsid w:val="009F2751"/>
    <w:rsid w:val="009F3DA8"/>
    <w:rsid w:val="009F40A7"/>
    <w:rsid w:val="009F5C7D"/>
    <w:rsid w:val="009F6CF2"/>
    <w:rsid w:val="009F7C54"/>
    <w:rsid w:val="009F7CF4"/>
    <w:rsid w:val="00A0011E"/>
    <w:rsid w:val="00A00511"/>
    <w:rsid w:val="00A008A5"/>
    <w:rsid w:val="00A016FD"/>
    <w:rsid w:val="00A0207C"/>
    <w:rsid w:val="00A02615"/>
    <w:rsid w:val="00A0291B"/>
    <w:rsid w:val="00A031F6"/>
    <w:rsid w:val="00A033EA"/>
    <w:rsid w:val="00A041ED"/>
    <w:rsid w:val="00A05365"/>
    <w:rsid w:val="00A05C84"/>
    <w:rsid w:val="00A06BDB"/>
    <w:rsid w:val="00A07706"/>
    <w:rsid w:val="00A07A1A"/>
    <w:rsid w:val="00A07E8E"/>
    <w:rsid w:val="00A1004F"/>
    <w:rsid w:val="00A1016E"/>
    <w:rsid w:val="00A1070B"/>
    <w:rsid w:val="00A10D35"/>
    <w:rsid w:val="00A11A47"/>
    <w:rsid w:val="00A11E64"/>
    <w:rsid w:val="00A140E2"/>
    <w:rsid w:val="00A14812"/>
    <w:rsid w:val="00A14B23"/>
    <w:rsid w:val="00A1519C"/>
    <w:rsid w:val="00A1568E"/>
    <w:rsid w:val="00A15E93"/>
    <w:rsid w:val="00A162AB"/>
    <w:rsid w:val="00A177FC"/>
    <w:rsid w:val="00A205AC"/>
    <w:rsid w:val="00A20EE8"/>
    <w:rsid w:val="00A241CD"/>
    <w:rsid w:val="00A26332"/>
    <w:rsid w:val="00A30E86"/>
    <w:rsid w:val="00A31B7C"/>
    <w:rsid w:val="00A32EEB"/>
    <w:rsid w:val="00A32FE3"/>
    <w:rsid w:val="00A3324D"/>
    <w:rsid w:val="00A3482F"/>
    <w:rsid w:val="00A348A1"/>
    <w:rsid w:val="00A35931"/>
    <w:rsid w:val="00A35B76"/>
    <w:rsid w:val="00A35D5A"/>
    <w:rsid w:val="00A360CD"/>
    <w:rsid w:val="00A37231"/>
    <w:rsid w:val="00A400CD"/>
    <w:rsid w:val="00A424A7"/>
    <w:rsid w:val="00A43334"/>
    <w:rsid w:val="00A43452"/>
    <w:rsid w:val="00A436B1"/>
    <w:rsid w:val="00A43947"/>
    <w:rsid w:val="00A45679"/>
    <w:rsid w:val="00A45BDE"/>
    <w:rsid w:val="00A45D8C"/>
    <w:rsid w:val="00A46674"/>
    <w:rsid w:val="00A46C5A"/>
    <w:rsid w:val="00A47E8D"/>
    <w:rsid w:val="00A50A71"/>
    <w:rsid w:val="00A5109F"/>
    <w:rsid w:val="00A51DF5"/>
    <w:rsid w:val="00A52840"/>
    <w:rsid w:val="00A53FD3"/>
    <w:rsid w:val="00A543BD"/>
    <w:rsid w:val="00A5561B"/>
    <w:rsid w:val="00A57E20"/>
    <w:rsid w:val="00A62F69"/>
    <w:rsid w:val="00A62FF1"/>
    <w:rsid w:val="00A6349A"/>
    <w:rsid w:val="00A63B0F"/>
    <w:rsid w:val="00A649BC"/>
    <w:rsid w:val="00A65BDA"/>
    <w:rsid w:val="00A6613E"/>
    <w:rsid w:val="00A66925"/>
    <w:rsid w:val="00A67F1D"/>
    <w:rsid w:val="00A7034A"/>
    <w:rsid w:val="00A70EC9"/>
    <w:rsid w:val="00A7299E"/>
    <w:rsid w:val="00A72D09"/>
    <w:rsid w:val="00A73275"/>
    <w:rsid w:val="00A732CF"/>
    <w:rsid w:val="00A73607"/>
    <w:rsid w:val="00A73662"/>
    <w:rsid w:val="00A736EF"/>
    <w:rsid w:val="00A73A09"/>
    <w:rsid w:val="00A73B6A"/>
    <w:rsid w:val="00A74760"/>
    <w:rsid w:val="00A7490E"/>
    <w:rsid w:val="00A75932"/>
    <w:rsid w:val="00A759D2"/>
    <w:rsid w:val="00A76086"/>
    <w:rsid w:val="00A769D0"/>
    <w:rsid w:val="00A76B8D"/>
    <w:rsid w:val="00A76F07"/>
    <w:rsid w:val="00A76F48"/>
    <w:rsid w:val="00A76FE5"/>
    <w:rsid w:val="00A772FA"/>
    <w:rsid w:val="00A80886"/>
    <w:rsid w:val="00A80B7B"/>
    <w:rsid w:val="00A818AF"/>
    <w:rsid w:val="00A82DD9"/>
    <w:rsid w:val="00A835A2"/>
    <w:rsid w:val="00A83A30"/>
    <w:rsid w:val="00A86307"/>
    <w:rsid w:val="00A86AF8"/>
    <w:rsid w:val="00A873D1"/>
    <w:rsid w:val="00A9001D"/>
    <w:rsid w:val="00A913D1"/>
    <w:rsid w:val="00A918EC"/>
    <w:rsid w:val="00A925E1"/>
    <w:rsid w:val="00A93490"/>
    <w:rsid w:val="00A93BAC"/>
    <w:rsid w:val="00A93C0B"/>
    <w:rsid w:val="00A93F88"/>
    <w:rsid w:val="00A94130"/>
    <w:rsid w:val="00A94B4B"/>
    <w:rsid w:val="00A94CEB"/>
    <w:rsid w:val="00A95F5D"/>
    <w:rsid w:val="00A96F5E"/>
    <w:rsid w:val="00AA0C26"/>
    <w:rsid w:val="00AA13BC"/>
    <w:rsid w:val="00AA1782"/>
    <w:rsid w:val="00AA1B5A"/>
    <w:rsid w:val="00AA4AC9"/>
    <w:rsid w:val="00AA55FD"/>
    <w:rsid w:val="00AA628C"/>
    <w:rsid w:val="00AA6587"/>
    <w:rsid w:val="00AA6E55"/>
    <w:rsid w:val="00AA71C5"/>
    <w:rsid w:val="00AB2961"/>
    <w:rsid w:val="00AB4009"/>
    <w:rsid w:val="00AB50AC"/>
    <w:rsid w:val="00AB5C6B"/>
    <w:rsid w:val="00AC01CC"/>
    <w:rsid w:val="00AC110D"/>
    <w:rsid w:val="00AC2496"/>
    <w:rsid w:val="00AC25F3"/>
    <w:rsid w:val="00AC3693"/>
    <w:rsid w:val="00AC4364"/>
    <w:rsid w:val="00AC44C6"/>
    <w:rsid w:val="00AC4B8D"/>
    <w:rsid w:val="00AC4DA6"/>
    <w:rsid w:val="00AC5777"/>
    <w:rsid w:val="00AC652A"/>
    <w:rsid w:val="00AC6843"/>
    <w:rsid w:val="00AC6F12"/>
    <w:rsid w:val="00AC7A44"/>
    <w:rsid w:val="00AD16C0"/>
    <w:rsid w:val="00AD1756"/>
    <w:rsid w:val="00AD3F65"/>
    <w:rsid w:val="00AE0D82"/>
    <w:rsid w:val="00AE203D"/>
    <w:rsid w:val="00AE2CFB"/>
    <w:rsid w:val="00AE2E8E"/>
    <w:rsid w:val="00AE4834"/>
    <w:rsid w:val="00AE4867"/>
    <w:rsid w:val="00AE4E75"/>
    <w:rsid w:val="00AE52E1"/>
    <w:rsid w:val="00AE53B4"/>
    <w:rsid w:val="00AE593E"/>
    <w:rsid w:val="00AE6746"/>
    <w:rsid w:val="00AE6D56"/>
    <w:rsid w:val="00AF02E6"/>
    <w:rsid w:val="00AF0950"/>
    <w:rsid w:val="00AF1FB0"/>
    <w:rsid w:val="00AF20C8"/>
    <w:rsid w:val="00AF2185"/>
    <w:rsid w:val="00AF239E"/>
    <w:rsid w:val="00AF24C5"/>
    <w:rsid w:val="00AF2720"/>
    <w:rsid w:val="00AF2771"/>
    <w:rsid w:val="00AF2A5F"/>
    <w:rsid w:val="00AF3D7A"/>
    <w:rsid w:val="00AF6418"/>
    <w:rsid w:val="00AF679A"/>
    <w:rsid w:val="00AF7065"/>
    <w:rsid w:val="00B0075D"/>
    <w:rsid w:val="00B0166C"/>
    <w:rsid w:val="00B02B00"/>
    <w:rsid w:val="00B02C2E"/>
    <w:rsid w:val="00B034BB"/>
    <w:rsid w:val="00B0354E"/>
    <w:rsid w:val="00B04831"/>
    <w:rsid w:val="00B04A62"/>
    <w:rsid w:val="00B04B28"/>
    <w:rsid w:val="00B05802"/>
    <w:rsid w:val="00B05AF5"/>
    <w:rsid w:val="00B06782"/>
    <w:rsid w:val="00B07B5D"/>
    <w:rsid w:val="00B1030D"/>
    <w:rsid w:val="00B10402"/>
    <w:rsid w:val="00B11252"/>
    <w:rsid w:val="00B11BB6"/>
    <w:rsid w:val="00B1365D"/>
    <w:rsid w:val="00B136B9"/>
    <w:rsid w:val="00B13F0B"/>
    <w:rsid w:val="00B13F8A"/>
    <w:rsid w:val="00B1661D"/>
    <w:rsid w:val="00B17C99"/>
    <w:rsid w:val="00B216C1"/>
    <w:rsid w:val="00B21D4B"/>
    <w:rsid w:val="00B22FF2"/>
    <w:rsid w:val="00B238DE"/>
    <w:rsid w:val="00B26212"/>
    <w:rsid w:val="00B26E61"/>
    <w:rsid w:val="00B27675"/>
    <w:rsid w:val="00B2779B"/>
    <w:rsid w:val="00B278B9"/>
    <w:rsid w:val="00B2796B"/>
    <w:rsid w:val="00B27E76"/>
    <w:rsid w:val="00B30C3F"/>
    <w:rsid w:val="00B32656"/>
    <w:rsid w:val="00B3292F"/>
    <w:rsid w:val="00B32D0E"/>
    <w:rsid w:val="00B33EBA"/>
    <w:rsid w:val="00B34112"/>
    <w:rsid w:val="00B34E8A"/>
    <w:rsid w:val="00B354E5"/>
    <w:rsid w:val="00B35B49"/>
    <w:rsid w:val="00B36CD6"/>
    <w:rsid w:val="00B37B34"/>
    <w:rsid w:val="00B40E3E"/>
    <w:rsid w:val="00B41323"/>
    <w:rsid w:val="00B42633"/>
    <w:rsid w:val="00B428F9"/>
    <w:rsid w:val="00B433C5"/>
    <w:rsid w:val="00B442CA"/>
    <w:rsid w:val="00B443AD"/>
    <w:rsid w:val="00B4519E"/>
    <w:rsid w:val="00B453A4"/>
    <w:rsid w:val="00B45908"/>
    <w:rsid w:val="00B47F2D"/>
    <w:rsid w:val="00B53CC8"/>
    <w:rsid w:val="00B53DA6"/>
    <w:rsid w:val="00B53F85"/>
    <w:rsid w:val="00B54354"/>
    <w:rsid w:val="00B545F5"/>
    <w:rsid w:val="00B547CF"/>
    <w:rsid w:val="00B55469"/>
    <w:rsid w:val="00B57A7D"/>
    <w:rsid w:val="00B60886"/>
    <w:rsid w:val="00B60899"/>
    <w:rsid w:val="00B60BFA"/>
    <w:rsid w:val="00B6224B"/>
    <w:rsid w:val="00B62B6F"/>
    <w:rsid w:val="00B62B77"/>
    <w:rsid w:val="00B62EAA"/>
    <w:rsid w:val="00B64B61"/>
    <w:rsid w:val="00B67902"/>
    <w:rsid w:val="00B67940"/>
    <w:rsid w:val="00B67944"/>
    <w:rsid w:val="00B707BD"/>
    <w:rsid w:val="00B710C6"/>
    <w:rsid w:val="00B723DB"/>
    <w:rsid w:val="00B7302B"/>
    <w:rsid w:val="00B739F9"/>
    <w:rsid w:val="00B73A19"/>
    <w:rsid w:val="00B73CC6"/>
    <w:rsid w:val="00B74405"/>
    <w:rsid w:val="00B7494C"/>
    <w:rsid w:val="00B74FB1"/>
    <w:rsid w:val="00B75805"/>
    <w:rsid w:val="00B759EB"/>
    <w:rsid w:val="00B75DCB"/>
    <w:rsid w:val="00B777EA"/>
    <w:rsid w:val="00B801D3"/>
    <w:rsid w:val="00B82E5E"/>
    <w:rsid w:val="00B831DD"/>
    <w:rsid w:val="00B83A15"/>
    <w:rsid w:val="00B83F6D"/>
    <w:rsid w:val="00B84231"/>
    <w:rsid w:val="00B84E5A"/>
    <w:rsid w:val="00B85186"/>
    <w:rsid w:val="00B852AE"/>
    <w:rsid w:val="00B85B31"/>
    <w:rsid w:val="00B867DA"/>
    <w:rsid w:val="00B8783E"/>
    <w:rsid w:val="00B87B74"/>
    <w:rsid w:val="00B908D9"/>
    <w:rsid w:val="00B91202"/>
    <w:rsid w:val="00B921E5"/>
    <w:rsid w:val="00B92769"/>
    <w:rsid w:val="00B93CA9"/>
    <w:rsid w:val="00B947CF"/>
    <w:rsid w:val="00B9481D"/>
    <w:rsid w:val="00B94896"/>
    <w:rsid w:val="00B95478"/>
    <w:rsid w:val="00B958F7"/>
    <w:rsid w:val="00B97E99"/>
    <w:rsid w:val="00BA0410"/>
    <w:rsid w:val="00BA171E"/>
    <w:rsid w:val="00BA3746"/>
    <w:rsid w:val="00BA4152"/>
    <w:rsid w:val="00BA5C8D"/>
    <w:rsid w:val="00BA64DC"/>
    <w:rsid w:val="00BA675E"/>
    <w:rsid w:val="00BA7109"/>
    <w:rsid w:val="00BA710F"/>
    <w:rsid w:val="00BA72C0"/>
    <w:rsid w:val="00BA7A3E"/>
    <w:rsid w:val="00BB0635"/>
    <w:rsid w:val="00BB12BE"/>
    <w:rsid w:val="00BB133D"/>
    <w:rsid w:val="00BB1D9D"/>
    <w:rsid w:val="00BB28D3"/>
    <w:rsid w:val="00BB29B6"/>
    <w:rsid w:val="00BB331F"/>
    <w:rsid w:val="00BB39B2"/>
    <w:rsid w:val="00BB3E14"/>
    <w:rsid w:val="00BB5045"/>
    <w:rsid w:val="00BB5878"/>
    <w:rsid w:val="00BB59DC"/>
    <w:rsid w:val="00BB5CC4"/>
    <w:rsid w:val="00BB6EBE"/>
    <w:rsid w:val="00BB7C44"/>
    <w:rsid w:val="00BC155B"/>
    <w:rsid w:val="00BC15A1"/>
    <w:rsid w:val="00BC2D07"/>
    <w:rsid w:val="00BC3895"/>
    <w:rsid w:val="00BC4179"/>
    <w:rsid w:val="00BC45EC"/>
    <w:rsid w:val="00BC4928"/>
    <w:rsid w:val="00BC51E0"/>
    <w:rsid w:val="00BC521A"/>
    <w:rsid w:val="00BD1235"/>
    <w:rsid w:val="00BD1779"/>
    <w:rsid w:val="00BD1FEF"/>
    <w:rsid w:val="00BD250F"/>
    <w:rsid w:val="00BD382D"/>
    <w:rsid w:val="00BD4F75"/>
    <w:rsid w:val="00BD649A"/>
    <w:rsid w:val="00BE0A47"/>
    <w:rsid w:val="00BE2380"/>
    <w:rsid w:val="00BE4463"/>
    <w:rsid w:val="00BE5B1F"/>
    <w:rsid w:val="00BE6DD6"/>
    <w:rsid w:val="00BE7ADD"/>
    <w:rsid w:val="00BF07E6"/>
    <w:rsid w:val="00BF08E3"/>
    <w:rsid w:val="00BF1639"/>
    <w:rsid w:val="00BF40DA"/>
    <w:rsid w:val="00BF4161"/>
    <w:rsid w:val="00BF510A"/>
    <w:rsid w:val="00BF5A66"/>
    <w:rsid w:val="00BF5A8C"/>
    <w:rsid w:val="00BF5BDC"/>
    <w:rsid w:val="00BF6943"/>
    <w:rsid w:val="00BF7D6A"/>
    <w:rsid w:val="00C014D5"/>
    <w:rsid w:val="00C029FA"/>
    <w:rsid w:val="00C054C0"/>
    <w:rsid w:val="00C06BD8"/>
    <w:rsid w:val="00C0709E"/>
    <w:rsid w:val="00C0756F"/>
    <w:rsid w:val="00C076FF"/>
    <w:rsid w:val="00C07FB1"/>
    <w:rsid w:val="00C10474"/>
    <w:rsid w:val="00C10620"/>
    <w:rsid w:val="00C10F34"/>
    <w:rsid w:val="00C118D4"/>
    <w:rsid w:val="00C123AA"/>
    <w:rsid w:val="00C126BC"/>
    <w:rsid w:val="00C1350C"/>
    <w:rsid w:val="00C13AB7"/>
    <w:rsid w:val="00C14CFE"/>
    <w:rsid w:val="00C15B63"/>
    <w:rsid w:val="00C16EE8"/>
    <w:rsid w:val="00C16FD2"/>
    <w:rsid w:val="00C173E2"/>
    <w:rsid w:val="00C1791C"/>
    <w:rsid w:val="00C202D8"/>
    <w:rsid w:val="00C21A4B"/>
    <w:rsid w:val="00C22892"/>
    <w:rsid w:val="00C22911"/>
    <w:rsid w:val="00C22960"/>
    <w:rsid w:val="00C23D0D"/>
    <w:rsid w:val="00C24E69"/>
    <w:rsid w:val="00C255F3"/>
    <w:rsid w:val="00C262EC"/>
    <w:rsid w:val="00C26FDD"/>
    <w:rsid w:val="00C3017E"/>
    <w:rsid w:val="00C315AC"/>
    <w:rsid w:val="00C33031"/>
    <w:rsid w:val="00C331C1"/>
    <w:rsid w:val="00C343E9"/>
    <w:rsid w:val="00C3486F"/>
    <w:rsid w:val="00C34EA3"/>
    <w:rsid w:val="00C35125"/>
    <w:rsid w:val="00C35EDE"/>
    <w:rsid w:val="00C37806"/>
    <w:rsid w:val="00C37CA6"/>
    <w:rsid w:val="00C37DFE"/>
    <w:rsid w:val="00C400F3"/>
    <w:rsid w:val="00C401FB"/>
    <w:rsid w:val="00C41088"/>
    <w:rsid w:val="00C420A4"/>
    <w:rsid w:val="00C4339B"/>
    <w:rsid w:val="00C435FE"/>
    <w:rsid w:val="00C445EB"/>
    <w:rsid w:val="00C45653"/>
    <w:rsid w:val="00C4579B"/>
    <w:rsid w:val="00C45F37"/>
    <w:rsid w:val="00C46812"/>
    <w:rsid w:val="00C475E5"/>
    <w:rsid w:val="00C5037B"/>
    <w:rsid w:val="00C50B1D"/>
    <w:rsid w:val="00C522B7"/>
    <w:rsid w:val="00C53145"/>
    <w:rsid w:val="00C535D3"/>
    <w:rsid w:val="00C53DAA"/>
    <w:rsid w:val="00C56B77"/>
    <w:rsid w:val="00C5774C"/>
    <w:rsid w:val="00C6027A"/>
    <w:rsid w:val="00C609D2"/>
    <w:rsid w:val="00C60B27"/>
    <w:rsid w:val="00C6197F"/>
    <w:rsid w:val="00C62673"/>
    <w:rsid w:val="00C628B5"/>
    <w:rsid w:val="00C62B44"/>
    <w:rsid w:val="00C63469"/>
    <w:rsid w:val="00C679D0"/>
    <w:rsid w:val="00C70215"/>
    <w:rsid w:val="00C703CE"/>
    <w:rsid w:val="00C731B0"/>
    <w:rsid w:val="00C743E9"/>
    <w:rsid w:val="00C7584E"/>
    <w:rsid w:val="00C7636F"/>
    <w:rsid w:val="00C76F1E"/>
    <w:rsid w:val="00C775D8"/>
    <w:rsid w:val="00C77BCE"/>
    <w:rsid w:val="00C77D12"/>
    <w:rsid w:val="00C80443"/>
    <w:rsid w:val="00C815A0"/>
    <w:rsid w:val="00C825BD"/>
    <w:rsid w:val="00C83004"/>
    <w:rsid w:val="00C846A9"/>
    <w:rsid w:val="00C84A46"/>
    <w:rsid w:val="00C85FD8"/>
    <w:rsid w:val="00C86A6A"/>
    <w:rsid w:val="00C86F2E"/>
    <w:rsid w:val="00C879CF"/>
    <w:rsid w:val="00C87FDD"/>
    <w:rsid w:val="00C90E0C"/>
    <w:rsid w:val="00C919C5"/>
    <w:rsid w:val="00C91A5B"/>
    <w:rsid w:val="00C92517"/>
    <w:rsid w:val="00C92875"/>
    <w:rsid w:val="00C94234"/>
    <w:rsid w:val="00C94475"/>
    <w:rsid w:val="00C94FC2"/>
    <w:rsid w:val="00C964A0"/>
    <w:rsid w:val="00CA1858"/>
    <w:rsid w:val="00CA1C95"/>
    <w:rsid w:val="00CA25BE"/>
    <w:rsid w:val="00CA355D"/>
    <w:rsid w:val="00CA3FA0"/>
    <w:rsid w:val="00CA4A91"/>
    <w:rsid w:val="00CA4EDE"/>
    <w:rsid w:val="00CA60B1"/>
    <w:rsid w:val="00CA74B7"/>
    <w:rsid w:val="00CA757A"/>
    <w:rsid w:val="00CB034D"/>
    <w:rsid w:val="00CB04B3"/>
    <w:rsid w:val="00CB0A50"/>
    <w:rsid w:val="00CB37E8"/>
    <w:rsid w:val="00CB3C5C"/>
    <w:rsid w:val="00CB3F88"/>
    <w:rsid w:val="00CB57BA"/>
    <w:rsid w:val="00CB6289"/>
    <w:rsid w:val="00CB6C9D"/>
    <w:rsid w:val="00CB7086"/>
    <w:rsid w:val="00CB7B96"/>
    <w:rsid w:val="00CB7DF9"/>
    <w:rsid w:val="00CC09D3"/>
    <w:rsid w:val="00CC1AAF"/>
    <w:rsid w:val="00CC1FBB"/>
    <w:rsid w:val="00CC255D"/>
    <w:rsid w:val="00CC296D"/>
    <w:rsid w:val="00CC31C9"/>
    <w:rsid w:val="00CC3660"/>
    <w:rsid w:val="00CC379B"/>
    <w:rsid w:val="00CC3DBF"/>
    <w:rsid w:val="00CC45DB"/>
    <w:rsid w:val="00CC4958"/>
    <w:rsid w:val="00CC5A23"/>
    <w:rsid w:val="00CC6509"/>
    <w:rsid w:val="00CC7066"/>
    <w:rsid w:val="00CC793D"/>
    <w:rsid w:val="00CC79F2"/>
    <w:rsid w:val="00CC7F76"/>
    <w:rsid w:val="00CD0107"/>
    <w:rsid w:val="00CD047F"/>
    <w:rsid w:val="00CD0633"/>
    <w:rsid w:val="00CD0E9D"/>
    <w:rsid w:val="00CD11B6"/>
    <w:rsid w:val="00CD2664"/>
    <w:rsid w:val="00CD315C"/>
    <w:rsid w:val="00CD4086"/>
    <w:rsid w:val="00CD512A"/>
    <w:rsid w:val="00CD6057"/>
    <w:rsid w:val="00CD7A4C"/>
    <w:rsid w:val="00CD7DFD"/>
    <w:rsid w:val="00CD7E8B"/>
    <w:rsid w:val="00CE3727"/>
    <w:rsid w:val="00CE37E3"/>
    <w:rsid w:val="00CE389B"/>
    <w:rsid w:val="00CE47D6"/>
    <w:rsid w:val="00CE79C6"/>
    <w:rsid w:val="00CF03A9"/>
    <w:rsid w:val="00CF052F"/>
    <w:rsid w:val="00CF0EFF"/>
    <w:rsid w:val="00CF2A06"/>
    <w:rsid w:val="00CF2BA0"/>
    <w:rsid w:val="00CF3DA5"/>
    <w:rsid w:val="00CF4B7D"/>
    <w:rsid w:val="00CF5E9D"/>
    <w:rsid w:val="00CF6438"/>
    <w:rsid w:val="00D006FC"/>
    <w:rsid w:val="00D01699"/>
    <w:rsid w:val="00D020C7"/>
    <w:rsid w:val="00D024AA"/>
    <w:rsid w:val="00D02621"/>
    <w:rsid w:val="00D029F6"/>
    <w:rsid w:val="00D0373F"/>
    <w:rsid w:val="00D04C35"/>
    <w:rsid w:val="00D04DE1"/>
    <w:rsid w:val="00D0519D"/>
    <w:rsid w:val="00D064AC"/>
    <w:rsid w:val="00D067A8"/>
    <w:rsid w:val="00D06A1D"/>
    <w:rsid w:val="00D06BF9"/>
    <w:rsid w:val="00D11911"/>
    <w:rsid w:val="00D12503"/>
    <w:rsid w:val="00D14077"/>
    <w:rsid w:val="00D14477"/>
    <w:rsid w:val="00D14D0A"/>
    <w:rsid w:val="00D14F8E"/>
    <w:rsid w:val="00D150AE"/>
    <w:rsid w:val="00D158B9"/>
    <w:rsid w:val="00D15A12"/>
    <w:rsid w:val="00D15E1D"/>
    <w:rsid w:val="00D16E1B"/>
    <w:rsid w:val="00D17299"/>
    <w:rsid w:val="00D17F06"/>
    <w:rsid w:val="00D20046"/>
    <w:rsid w:val="00D2029B"/>
    <w:rsid w:val="00D2055D"/>
    <w:rsid w:val="00D20FF2"/>
    <w:rsid w:val="00D22C8C"/>
    <w:rsid w:val="00D22E69"/>
    <w:rsid w:val="00D2319F"/>
    <w:rsid w:val="00D2380B"/>
    <w:rsid w:val="00D24B55"/>
    <w:rsid w:val="00D25E5E"/>
    <w:rsid w:val="00D263A8"/>
    <w:rsid w:val="00D265B2"/>
    <w:rsid w:val="00D273FF"/>
    <w:rsid w:val="00D2792D"/>
    <w:rsid w:val="00D27F78"/>
    <w:rsid w:val="00D31128"/>
    <w:rsid w:val="00D326D1"/>
    <w:rsid w:val="00D329B2"/>
    <w:rsid w:val="00D32C9C"/>
    <w:rsid w:val="00D3329C"/>
    <w:rsid w:val="00D33348"/>
    <w:rsid w:val="00D34073"/>
    <w:rsid w:val="00D3475A"/>
    <w:rsid w:val="00D35154"/>
    <w:rsid w:val="00D363D2"/>
    <w:rsid w:val="00D366F6"/>
    <w:rsid w:val="00D36F98"/>
    <w:rsid w:val="00D371BD"/>
    <w:rsid w:val="00D37B41"/>
    <w:rsid w:val="00D40368"/>
    <w:rsid w:val="00D41198"/>
    <w:rsid w:val="00D41278"/>
    <w:rsid w:val="00D41C7B"/>
    <w:rsid w:val="00D42948"/>
    <w:rsid w:val="00D438FE"/>
    <w:rsid w:val="00D46663"/>
    <w:rsid w:val="00D50B1C"/>
    <w:rsid w:val="00D50FCD"/>
    <w:rsid w:val="00D51D1E"/>
    <w:rsid w:val="00D51FC7"/>
    <w:rsid w:val="00D528E7"/>
    <w:rsid w:val="00D52B67"/>
    <w:rsid w:val="00D52E67"/>
    <w:rsid w:val="00D547B3"/>
    <w:rsid w:val="00D54881"/>
    <w:rsid w:val="00D54C21"/>
    <w:rsid w:val="00D57704"/>
    <w:rsid w:val="00D6268C"/>
    <w:rsid w:val="00D6311B"/>
    <w:rsid w:val="00D632DA"/>
    <w:rsid w:val="00D63482"/>
    <w:rsid w:val="00D66D28"/>
    <w:rsid w:val="00D67FC4"/>
    <w:rsid w:val="00D7024E"/>
    <w:rsid w:val="00D70B06"/>
    <w:rsid w:val="00D71FD9"/>
    <w:rsid w:val="00D7237B"/>
    <w:rsid w:val="00D72C37"/>
    <w:rsid w:val="00D730FC"/>
    <w:rsid w:val="00D74F41"/>
    <w:rsid w:val="00D7503E"/>
    <w:rsid w:val="00D76256"/>
    <w:rsid w:val="00D76401"/>
    <w:rsid w:val="00D76CAB"/>
    <w:rsid w:val="00D76F6A"/>
    <w:rsid w:val="00D81625"/>
    <w:rsid w:val="00D81B6F"/>
    <w:rsid w:val="00D82658"/>
    <w:rsid w:val="00D8623E"/>
    <w:rsid w:val="00D874D2"/>
    <w:rsid w:val="00D879F2"/>
    <w:rsid w:val="00D87C1D"/>
    <w:rsid w:val="00D909B4"/>
    <w:rsid w:val="00D90A46"/>
    <w:rsid w:val="00D90C28"/>
    <w:rsid w:val="00D91F13"/>
    <w:rsid w:val="00D925EB"/>
    <w:rsid w:val="00D92928"/>
    <w:rsid w:val="00D95686"/>
    <w:rsid w:val="00D95AD4"/>
    <w:rsid w:val="00D9610E"/>
    <w:rsid w:val="00D96EE0"/>
    <w:rsid w:val="00D97604"/>
    <w:rsid w:val="00D979F5"/>
    <w:rsid w:val="00D97D41"/>
    <w:rsid w:val="00DA09B9"/>
    <w:rsid w:val="00DA1147"/>
    <w:rsid w:val="00DA18AE"/>
    <w:rsid w:val="00DA293D"/>
    <w:rsid w:val="00DA3933"/>
    <w:rsid w:val="00DA50B1"/>
    <w:rsid w:val="00DA558C"/>
    <w:rsid w:val="00DA5BE5"/>
    <w:rsid w:val="00DA713A"/>
    <w:rsid w:val="00DA7CDB"/>
    <w:rsid w:val="00DB09B8"/>
    <w:rsid w:val="00DB0E2C"/>
    <w:rsid w:val="00DB1420"/>
    <w:rsid w:val="00DB1D0F"/>
    <w:rsid w:val="00DB20D3"/>
    <w:rsid w:val="00DB275E"/>
    <w:rsid w:val="00DB35D8"/>
    <w:rsid w:val="00DB45DF"/>
    <w:rsid w:val="00DB4AB3"/>
    <w:rsid w:val="00DB5F60"/>
    <w:rsid w:val="00DB6213"/>
    <w:rsid w:val="00DB665A"/>
    <w:rsid w:val="00DB6A4B"/>
    <w:rsid w:val="00DB6F3D"/>
    <w:rsid w:val="00DB7316"/>
    <w:rsid w:val="00DB799D"/>
    <w:rsid w:val="00DC1270"/>
    <w:rsid w:val="00DC1B32"/>
    <w:rsid w:val="00DC21E4"/>
    <w:rsid w:val="00DC27AE"/>
    <w:rsid w:val="00DC28E3"/>
    <w:rsid w:val="00DC5972"/>
    <w:rsid w:val="00DC5BF3"/>
    <w:rsid w:val="00DD0BB1"/>
    <w:rsid w:val="00DD242E"/>
    <w:rsid w:val="00DD2AEB"/>
    <w:rsid w:val="00DD2E71"/>
    <w:rsid w:val="00DD3827"/>
    <w:rsid w:val="00DD3B0A"/>
    <w:rsid w:val="00DD4B1B"/>
    <w:rsid w:val="00DD4F3A"/>
    <w:rsid w:val="00DD4FF8"/>
    <w:rsid w:val="00DD7535"/>
    <w:rsid w:val="00DD7598"/>
    <w:rsid w:val="00DE2752"/>
    <w:rsid w:val="00DE2C86"/>
    <w:rsid w:val="00DE2D56"/>
    <w:rsid w:val="00DE30E3"/>
    <w:rsid w:val="00DE3862"/>
    <w:rsid w:val="00DE4B26"/>
    <w:rsid w:val="00DE5C6E"/>
    <w:rsid w:val="00DE5CB7"/>
    <w:rsid w:val="00DE60EF"/>
    <w:rsid w:val="00DF0B39"/>
    <w:rsid w:val="00DF14F5"/>
    <w:rsid w:val="00DF17BC"/>
    <w:rsid w:val="00DF1871"/>
    <w:rsid w:val="00DF2468"/>
    <w:rsid w:val="00DF2584"/>
    <w:rsid w:val="00DF2D2F"/>
    <w:rsid w:val="00DF35F8"/>
    <w:rsid w:val="00DF3C26"/>
    <w:rsid w:val="00DF4075"/>
    <w:rsid w:val="00DF4112"/>
    <w:rsid w:val="00DF4A01"/>
    <w:rsid w:val="00DF4F10"/>
    <w:rsid w:val="00DF5F7E"/>
    <w:rsid w:val="00DF6607"/>
    <w:rsid w:val="00E00A9B"/>
    <w:rsid w:val="00E015AB"/>
    <w:rsid w:val="00E01A03"/>
    <w:rsid w:val="00E01C4E"/>
    <w:rsid w:val="00E02074"/>
    <w:rsid w:val="00E03347"/>
    <w:rsid w:val="00E03583"/>
    <w:rsid w:val="00E03DA3"/>
    <w:rsid w:val="00E042FC"/>
    <w:rsid w:val="00E0511B"/>
    <w:rsid w:val="00E0566D"/>
    <w:rsid w:val="00E065FA"/>
    <w:rsid w:val="00E06E6D"/>
    <w:rsid w:val="00E11FBD"/>
    <w:rsid w:val="00E12986"/>
    <w:rsid w:val="00E13602"/>
    <w:rsid w:val="00E1428D"/>
    <w:rsid w:val="00E14B32"/>
    <w:rsid w:val="00E15AAF"/>
    <w:rsid w:val="00E162D4"/>
    <w:rsid w:val="00E178BE"/>
    <w:rsid w:val="00E219F1"/>
    <w:rsid w:val="00E21F86"/>
    <w:rsid w:val="00E23311"/>
    <w:rsid w:val="00E23B37"/>
    <w:rsid w:val="00E2491F"/>
    <w:rsid w:val="00E261C0"/>
    <w:rsid w:val="00E2723F"/>
    <w:rsid w:val="00E275F3"/>
    <w:rsid w:val="00E277F9"/>
    <w:rsid w:val="00E2790D"/>
    <w:rsid w:val="00E27A02"/>
    <w:rsid w:val="00E30051"/>
    <w:rsid w:val="00E3012C"/>
    <w:rsid w:val="00E30275"/>
    <w:rsid w:val="00E308DF"/>
    <w:rsid w:val="00E31757"/>
    <w:rsid w:val="00E3238D"/>
    <w:rsid w:val="00E33B32"/>
    <w:rsid w:val="00E348F3"/>
    <w:rsid w:val="00E36CE0"/>
    <w:rsid w:val="00E401A9"/>
    <w:rsid w:val="00E4038A"/>
    <w:rsid w:val="00E41E7B"/>
    <w:rsid w:val="00E4212E"/>
    <w:rsid w:val="00E42165"/>
    <w:rsid w:val="00E421DF"/>
    <w:rsid w:val="00E446E1"/>
    <w:rsid w:val="00E454B9"/>
    <w:rsid w:val="00E45A70"/>
    <w:rsid w:val="00E467A3"/>
    <w:rsid w:val="00E4682E"/>
    <w:rsid w:val="00E46C39"/>
    <w:rsid w:val="00E46FE3"/>
    <w:rsid w:val="00E4782A"/>
    <w:rsid w:val="00E50797"/>
    <w:rsid w:val="00E50C11"/>
    <w:rsid w:val="00E51120"/>
    <w:rsid w:val="00E53AEC"/>
    <w:rsid w:val="00E53D66"/>
    <w:rsid w:val="00E54349"/>
    <w:rsid w:val="00E554A6"/>
    <w:rsid w:val="00E55647"/>
    <w:rsid w:val="00E56684"/>
    <w:rsid w:val="00E56D53"/>
    <w:rsid w:val="00E5703A"/>
    <w:rsid w:val="00E57341"/>
    <w:rsid w:val="00E5735D"/>
    <w:rsid w:val="00E6002C"/>
    <w:rsid w:val="00E61765"/>
    <w:rsid w:val="00E61AAA"/>
    <w:rsid w:val="00E6353E"/>
    <w:rsid w:val="00E6375D"/>
    <w:rsid w:val="00E6412F"/>
    <w:rsid w:val="00E645D9"/>
    <w:rsid w:val="00E65606"/>
    <w:rsid w:val="00E65E03"/>
    <w:rsid w:val="00E66065"/>
    <w:rsid w:val="00E66AB2"/>
    <w:rsid w:val="00E66E4E"/>
    <w:rsid w:val="00E66F96"/>
    <w:rsid w:val="00E67234"/>
    <w:rsid w:val="00E70AF9"/>
    <w:rsid w:val="00E71006"/>
    <w:rsid w:val="00E7111E"/>
    <w:rsid w:val="00E71719"/>
    <w:rsid w:val="00E717D8"/>
    <w:rsid w:val="00E72C44"/>
    <w:rsid w:val="00E73A6B"/>
    <w:rsid w:val="00E745D0"/>
    <w:rsid w:val="00E74B92"/>
    <w:rsid w:val="00E75457"/>
    <w:rsid w:val="00E7559E"/>
    <w:rsid w:val="00E7705E"/>
    <w:rsid w:val="00E770AE"/>
    <w:rsid w:val="00E80359"/>
    <w:rsid w:val="00E81C3D"/>
    <w:rsid w:val="00E82482"/>
    <w:rsid w:val="00E82902"/>
    <w:rsid w:val="00E839D5"/>
    <w:rsid w:val="00E8426A"/>
    <w:rsid w:val="00E85151"/>
    <w:rsid w:val="00E8592D"/>
    <w:rsid w:val="00E86E97"/>
    <w:rsid w:val="00E90E71"/>
    <w:rsid w:val="00E9187C"/>
    <w:rsid w:val="00E91C41"/>
    <w:rsid w:val="00E92171"/>
    <w:rsid w:val="00E9374B"/>
    <w:rsid w:val="00E93C0B"/>
    <w:rsid w:val="00E93E85"/>
    <w:rsid w:val="00E94201"/>
    <w:rsid w:val="00E950A8"/>
    <w:rsid w:val="00E95FE6"/>
    <w:rsid w:val="00E9745F"/>
    <w:rsid w:val="00EA0052"/>
    <w:rsid w:val="00EA11DD"/>
    <w:rsid w:val="00EA1B7F"/>
    <w:rsid w:val="00EA279C"/>
    <w:rsid w:val="00EA33D4"/>
    <w:rsid w:val="00EA4462"/>
    <w:rsid w:val="00EA468F"/>
    <w:rsid w:val="00EA5230"/>
    <w:rsid w:val="00EA7848"/>
    <w:rsid w:val="00EA789D"/>
    <w:rsid w:val="00EA7DA6"/>
    <w:rsid w:val="00EB1746"/>
    <w:rsid w:val="00EB25A2"/>
    <w:rsid w:val="00EB29E1"/>
    <w:rsid w:val="00EB2B97"/>
    <w:rsid w:val="00EB31C2"/>
    <w:rsid w:val="00EB3EE7"/>
    <w:rsid w:val="00EB429E"/>
    <w:rsid w:val="00EB4FEC"/>
    <w:rsid w:val="00EB5EB1"/>
    <w:rsid w:val="00EB62EE"/>
    <w:rsid w:val="00EB78CE"/>
    <w:rsid w:val="00EC0404"/>
    <w:rsid w:val="00EC0CA3"/>
    <w:rsid w:val="00EC0D7A"/>
    <w:rsid w:val="00EC13C6"/>
    <w:rsid w:val="00EC1878"/>
    <w:rsid w:val="00EC2600"/>
    <w:rsid w:val="00EC2878"/>
    <w:rsid w:val="00EC3812"/>
    <w:rsid w:val="00EC3826"/>
    <w:rsid w:val="00EC3FC0"/>
    <w:rsid w:val="00EC4314"/>
    <w:rsid w:val="00EC46A2"/>
    <w:rsid w:val="00EC5137"/>
    <w:rsid w:val="00EC58B7"/>
    <w:rsid w:val="00ED0841"/>
    <w:rsid w:val="00ED0A5B"/>
    <w:rsid w:val="00ED1730"/>
    <w:rsid w:val="00ED1B75"/>
    <w:rsid w:val="00ED267A"/>
    <w:rsid w:val="00ED5597"/>
    <w:rsid w:val="00ED5CC6"/>
    <w:rsid w:val="00ED5FBF"/>
    <w:rsid w:val="00ED6684"/>
    <w:rsid w:val="00ED6AA8"/>
    <w:rsid w:val="00ED708B"/>
    <w:rsid w:val="00ED720C"/>
    <w:rsid w:val="00ED7478"/>
    <w:rsid w:val="00ED7DB8"/>
    <w:rsid w:val="00EE1392"/>
    <w:rsid w:val="00EE20FA"/>
    <w:rsid w:val="00EE2841"/>
    <w:rsid w:val="00EE29F6"/>
    <w:rsid w:val="00EE2D47"/>
    <w:rsid w:val="00EE4787"/>
    <w:rsid w:val="00EE52C2"/>
    <w:rsid w:val="00EE532B"/>
    <w:rsid w:val="00EE6684"/>
    <w:rsid w:val="00EE6A1A"/>
    <w:rsid w:val="00EE745C"/>
    <w:rsid w:val="00EE75D6"/>
    <w:rsid w:val="00EE79B8"/>
    <w:rsid w:val="00EF00AD"/>
    <w:rsid w:val="00EF01C5"/>
    <w:rsid w:val="00EF034F"/>
    <w:rsid w:val="00EF1E10"/>
    <w:rsid w:val="00EF2B06"/>
    <w:rsid w:val="00EF3113"/>
    <w:rsid w:val="00EF5B45"/>
    <w:rsid w:val="00EF6040"/>
    <w:rsid w:val="00EF6D50"/>
    <w:rsid w:val="00EF7A88"/>
    <w:rsid w:val="00F00AD1"/>
    <w:rsid w:val="00F00BF0"/>
    <w:rsid w:val="00F0190A"/>
    <w:rsid w:val="00F0282E"/>
    <w:rsid w:val="00F041CB"/>
    <w:rsid w:val="00F04797"/>
    <w:rsid w:val="00F064FA"/>
    <w:rsid w:val="00F06589"/>
    <w:rsid w:val="00F1001D"/>
    <w:rsid w:val="00F11590"/>
    <w:rsid w:val="00F13B27"/>
    <w:rsid w:val="00F13C97"/>
    <w:rsid w:val="00F13DF0"/>
    <w:rsid w:val="00F1463F"/>
    <w:rsid w:val="00F150FE"/>
    <w:rsid w:val="00F15141"/>
    <w:rsid w:val="00F1583D"/>
    <w:rsid w:val="00F15A83"/>
    <w:rsid w:val="00F17198"/>
    <w:rsid w:val="00F1789B"/>
    <w:rsid w:val="00F2021D"/>
    <w:rsid w:val="00F20D97"/>
    <w:rsid w:val="00F22322"/>
    <w:rsid w:val="00F224C8"/>
    <w:rsid w:val="00F22F1B"/>
    <w:rsid w:val="00F23A4A"/>
    <w:rsid w:val="00F23B12"/>
    <w:rsid w:val="00F27D21"/>
    <w:rsid w:val="00F27E36"/>
    <w:rsid w:val="00F30791"/>
    <w:rsid w:val="00F315F4"/>
    <w:rsid w:val="00F333E3"/>
    <w:rsid w:val="00F34094"/>
    <w:rsid w:val="00F3465C"/>
    <w:rsid w:val="00F348A2"/>
    <w:rsid w:val="00F360BA"/>
    <w:rsid w:val="00F36E21"/>
    <w:rsid w:val="00F37001"/>
    <w:rsid w:val="00F377CB"/>
    <w:rsid w:val="00F400EC"/>
    <w:rsid w:val="00F40A2A"/>
    <w:rsid w:val="00F41697"/>
    <w:rsid w:val="00F41973"/>
    <w:rsid w:val="00F42107"/>
    <w:rsid w:val="00F42B62"/>
    <w:rsid w:val="00F42DFC"/>
    <w:rsid w:val="00F43EAB"/>
    <w:rsid w:val="00F44E40"/>
    <w:rsid w:val="00F45AEF"/>
    <w:rsid w:val="00F45DD5"/>
    <w:rsid w:val="00F46BED"/>
    <w:rsid w:val="00F470F3"/>
    <w:rsid w:val="00F47788"/>
    <w:rsid w:val="00F505FB"/>
    <w:rsid w:val="00F50884"/>
    <w:rsid w:val="00F50997"/>
    <w:rsid w:val="00F512E0"/>
    <w:rsid w:val="00F532CC"/>
    <w:rsid w:val="00F54ED5"/>
    <w:rsid w:val="00F55DC4"/>
    <w:rsid w:val="00F56189"/>
    <w:rsid w:val="00F56701"/>
    <w:rsid w:val="00F569B2"/>
    <w:rsid w:val="00F56CE9"/>
    <w:rsid w:val="00F570C8"/>
    <w:rsid w:val="00F5750B"/>
    <w:rsid w:val="00F577C1"/>
    <w:rsid w:val="00F6073B"/>
    <w:rsid w:val="00F608E3"/>
    <w:rsid w:val="00F60ED3"/>
    <w:rsid w:val="00F61966"/>
    <w:rsid w:val="00F61A92"/>
    <w:rsid w:val="00F61C84"/>
    <w:rsid w:val="00F62105"/>
    <w:rsid w:val="00F6309A"/>
    <w:rsid w:val="00F63C45"/>
    <w:rsid w:val="00F641FC"/>
    <w:rsid w:val="00F65CAF"/>
    <w:rsid w:val="00F65E61"/>
    <w:rsid w:val="00F66281"/>
    <w:rsid w:val="00F67AC6"/>
    <w:rsid w:val="00F7089E"/>
    <w:rsid w:val="00F72DF3"/>
    <w:rsid w:val="00F72EF1"/>
    <w:rsid w:val="00F742E0"/>
    <w:rsid w:val="00F74A11"/>
    <w:rsid w:val="00F80404"/>
    <w:rsid w:val="00F807AA"/>
    <w:rsid w:val="00F80969"/>
    <w:rsid w:val="00F81056"/>
    <w:rsid w:val="00F81CF5"/>
    <w:rsid w:val="00F8256B"/>
    <w:rsid w:val="00F826B7"/>
    <w:rsid w:val="00F828FE"/>
    <w:rsid w:val="00F83132"/>
    <w:rsid w:val="00F831FC"/>
    <w:rsid w:val="00F83AF6"/>
    <w:rsid w:val="00F85134"/>
    <w:rsid w:val="00F85E88"/>
    <w:rsid w:val="00F861CE"/>
    <w:rsid w:val="00F866BD"/>
    <w:rsid w:val="00F86BBC"/>
    <w:rsid w:val="00F87505"/>
    <w:rsid w:val="00F87D2E"/>
    <w:rsid w:val="00F9032D"/>
    <w:rsid w:val="00F909F6"/>
    <w:rsid w:val="00F90F4C"/>
    <w:rsid w:val="00F90F5B"/>
    <w:rsid w:val="00F91707"/>
    <w:rsid w:val="00F9170A"/>
    <w:rsid w:val="00F92541"/>
    <w:rsid w:val="00F92592"/>
    <w:rsid w:val="00F93E4C"/>
    <w:rsid w:val="00F94926"/>
    <w:rsid w:val="00F953DB"/>
    <w:rsid w:val="00FA0888"/>
    <w:rsid w:val="00FA1478"/>
    <w:rsid w:val="00FA1F26"/>
    <w:rsid w:val="00FA23E9"/>
    <w:rsid w:val="00FA2B8C"/>
    <w:rsid w:val="00FA316D"/>
    <w:rsid w:val="00FA3EE5"/>
    <w:rsid w:val="00FA4613"/>
    <w:rsid w:val="00FA487C"/>
    <w:rsid w:val="00FA4D90"/>
    <w:rsid w:val="00FA6549"/>
    <w:rsid w:val="00FA6AC4"/>
    <w:rsid w:val="00FA6FA2"/>
    <w:rsid w:val="00FA719F"/>
    <w:rsid w:val="00FB01F0"/>
    <w:rsid w:val="00FB07E4"/>
    <w:rsid w:val="00FB0FBC"/>
    <w:rsid w:val="00FB11D1"/>
    <w:rsid w:val="00FB1ABA"/>
    <w:rsid w:val="00FB2089"/>
    <w:rsid w:val="00FB2200"/>
    <w:rsid w:val="00FB4847"/>
    <w:rsid w:val="00FB50D0"/>
    <w:rsid w:val="00FB52E2"/>
    <w:rsid w:val="00FB5845"/>
    <w:rsid w:val="00FB58D2"/>
    <w:rsid w:val="00FB5FC1"/>
    <w:rsid w:val="00FB69D6"/>
    <w:rsid w:val="00FB70AA"/>
    <w:rsid w:val="00FC0D57"/>
    <w:rsid w:val="00FC0EF0"/>
    <w:rsid w:val="00FC0FD2"/>
    <w:rsid w:val="00FC1683"/>
    <w:rsid w:val="00FC1CF4"/>
    <w:rsid w:val="00FC1EB7"/>
    <w:rsid w:val="00FC2F33"/>
    <w:rsid w:val="00FC318B"/>
    <w:rsid w:val="00FC372D"/>
    <w:rsid w:val="00FC3787"/>
    <w:rsid w:val="00FC3887"/>
    <w:rsid w:val="00FC469D"/>
    <w:rsid w:val="00FC4D70"/>
    <w:rsid w:val="00FC503E"/>
    <w:rsid w:val="00FC79C1"/>
    <w:rsid w:val="00FD0E21"/>
    <w:rsid w:val="00FD0F0D"/>
    <w:rsid w:val="00FD0F1F"/>
    <w:rsid w:val="00FD604D"/>
    <w:rsid w:val="00FD679D"/>
    <w:rsid w:val="00FD6DCE"/>
    <w:rsid w:val="00FE0047"/>
    <w:rsid w:val="00FE117B"/>
    <w:rsid w:val="00FE1EC9"/>
    <w:rsid w:val="00FE2CDD"/>
    <w:rsid w:val="00FE350D"/>
    <w:rsid w:val="00FE3B83"/>
    <w:rsid w:val="00FE4A55"/>
    <w:rsid w:val="00FE4D7E"/>
    <w:rsid w:val="00FE5634"/>
    <w:rsid w:val="00FE5E62"/>
    <w:rsid w:val="00FF0E13"/>
    <w:rsid w:val="00FF17C7"/>
    <w:rsid w:val="00FF17EF"/>
    <w:rsid w:val="00FF2B1B"/>
    <w:rsid w:val="00FF337C"/>
    <w:rsid w:val="00FF3E34"/>
    <w:rsid w:val="00FF4A47"/>
    <w:rsid w:val="00FF4FD6"/>
    <w:rsid w:val="00FF5641"/>
    <w:rsid w:val="00FF65C2"/>
    <w:rsid w:val="00FF6869"/>
    <w:rsid w:val="00FF6897"/>
    <w:rsid w:val="00FF699B"/>
    <w:rsid w:val="00FF7F5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802B5"/>
  <w15:chartTrackingRefBased/>
  <w15:docId w15:val="{9BD35430-E17B-484A-9B32-EC719BE16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51185"/>
    <w:pPr>
      <w:spacing w:after="120" w:line="360" w:lineRule="auto"/>
    </w:pPr>
    <w:rPr>
      <w:rFonts w:ascii="Times New Roman" w:eastAsia="Times New Roman" w:hAnsi="Times New Roman" w:cs="Times New Roman"/>
      <w:lang w:val="en-SG" w:eastAsia="en-US"/>
    </w:rPr>
  </w:style>
  <w:style w:type="paragraph" w:styleId="Heading1">
    <w:name w:val="heading 1"/>
    <w:basedOn w:val="Normal"/>
    <w:next w:val="Normal"/>
    <w:link w:val="Heading1Char"/>
    <w:uiPriority w:val="9"/>
    <w:qFormat/>
    <w:rsid w:val="00C37DFE"/>
    <w:pPr>
      <w:outlineLvl w:val="0"/>
    </w:pPr>
    <w:rPr>
      <w:b/>
      <w:lang w:val="en-US"/>
    </w:rPr>
  </w:style>
  <w:style w:type="paragraph" w:styleId="Heading2">
    <w:name w:val="heading 2"/>
    <w:basedOn w:val="Heading1"/>
    <w:next w:val="Normal"/>
    <w:link w:val="Heading2Char"/>
    <w:uiPriority w:val="9"/>
    <w:unhideWhenUsed/>
    <w:qFormat/>
    <w:rsid w:val="006C6907"/>
    <w:pPr>
      <w:outlineLvl w:val="1"/>
    </w:pPr>
    <w:rPr>
      <w:b w:val="0"/>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DFE"/>
    <w:rPr>
      <w:rFonts w:ascii="Times New Roman" w:hAnsi="Times New Roman" w:cs="Times New Roman"/>
      <w:b/>
      <w:lang w:val="en-US"/>
    </w:rPr>
  </w:style>
  <w:style w:type="character" w:styleId="PlaceholderText">
    <w:name w:val="Placeholder Text"/>
    <w:basedOn w:val="DefaultParagraphFont"/>
    <w:uiPriority w:val="99"/>
    <w:semiHidden/>
    <w:rsid w:val="00322701"/>
    <w:rPr>
      <w:color w:val="808080"/>
    </w:rPr>
  </w:style>
  <w:style w:type="character" w:customStyle="1" w:styleId="Heading2Char">
    <w:name w:val="Heading 2 Char"/>
    <w:basedOn w:val="DefaultParagraphFont"/>
    <w:link w:val="Heading2"/>
    <w:uiPriority w:val="9"/>
    <w:rsid w:val="006C6907"/>
    <w:rPr>
      <w:rFonts w:ascii="Times New Roman" w:hAnsi="Times New Roman" w:cs="Times New Roman"/>
      <w:i/>
      <w:lang w:val="en-US"/>
    </w:rPr>
  </w:style>
  <w:style w:type="paragraph" w:styleId="ListParagraph">
    <w:name w:val="List Paragraph"/>
    <w:basedOn w:val="Normal"/>
    <w:uiPriority w:val="34"/>
    <w:qFormat/>
    <w:rsid w:val="00D41C7B"/>
    <w:pPr>
      <w:ind w:left="720"/>
      <w:contextualSpacing/>
    </w:pPr>
  </w:style>
  <w:style w:type="table" w:styleId="TableGrid">
    <w:name w:val="Table Grid"/>
    <w:basedOn w:val="TableNormal"/>
    <w:uiPriority w:val="39"/>
    <w:rsid w:val="006620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F7D7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ibliography">
    <w:name w:val="Bibliography"/>
    <w:basedOn w:val="Normal"/>
    <w:next w:val="Normal"/>
    <w:uiPriority w:val="37"/>
    <w:unhideWhenUsed/>
    <w:rsid w:val="00D326D1"/>
    <w:pPr>
      <w:tabs>
        <w:tab w:val="left" w:pos="260"/>
        <w:tab w:val="left" w:pos="380"/>
      </w:tabs>
      <w:spacing w:after="0" w:line="240" w:lineRule="auto"/>
      <w:ind w:left="720" w:hanging="720"/>
    </w:pPr>
  </w:style>
  <w:style w:type="paragraph" w:styleId="BalloonText">
    <w:name w:val="Balloon Text"/>
    <w:basedOn w:val="Normal"/>
    <w:link w:val="BalloonTextChar"/>
    <w:uiPriority w:val="99"/>
    <w:semiHidden/>
    <w:unhideWhenUsed/>
    <w:rsid w:val="00AB5C6B"/>
    <w:pPr>
      <w:spacing w:line="240" w:lineRule="auto"/>
    </w:pPr>
    <w:rPr>
      <w:sz w:val="18"/>
      <w:szCs w:val="18"/>
    </w:rPr>
  </w:style>
  <w:style w:type="character" w:customStyle="1" w:styleId="BalloonTextChar">
    <w:name w:val="Balloon Text Char"/>
    <w:basedOn w:val="DefaultParagraphFont"/>
    <w:link w:val="BalloonText"/>
    <w:uiPriority w:val="99"/>
    <w:semiHidden/>
    <w:rsid w:val="00AB5C6B"/>
    <w:rPr>
      <w:rFonts w:ascii="Times New Roman" w:hAnsi="Times New Roman" w:cs="Times New Roman"/>
      <w:sz w:val="18"/>
      <w:szCs w:val="18"/>
    </w:rPr>
  </w:style>
  <w:style w:type="paragraph" w:styleId="Footer">
    <w:name w:val="footer"/>
    <w:basedOn w:val="Normal"/>
    <w:link w:val="FooterChar"/>
    <w:uiPriority w:val="99"/>
    <w:unhideWhenUsed/>
    <w:rsid w:val="00A30E86"/>
    <w:pPr>
      <w:tabs>
        <w:tab w:val="center" w:pos="4680"/>
        <w:tab w:val="right" w:pos="9360"/>
      </w:tabs>
      <w:spacing w:line="240" w:lineRule="auto"/>
    </w:pPr>
  </w:style>
  <w:style w:type="character" w:customStyle="1" w:styleId="FooterChar">
    <w:name w:val="Footer Char"/>
    <w:basedOn w:val="DefaultParagraphFont"/>
    <w:link w:val="Footer"/>
    <w:uiPriority w:val="99"/>
    <w:rsid w:val="00A30E86"/>
    <w:rPr>
      <w:rFonts w:ascii="Times New Roman" w:hAnsi="Times New Roman" w:cs="Times New Roman"/>
    </w:rPr>
  </w:style>
  <w:style w:type="character" w:styleId="PageNumber">
    <w:name w:val="page number"/>
    <w:basedOn w:val="DefaultParagraphFont"/>
    <w:uiPriority w:val="99"/>
    <w:semiHidden/>
    <w:unhideWhenUsed/>
    <w:rsid w:val="00A30E86"/>
  </w:style>
  <w:style w:type="character" w:styleId="Hyperlink">
    <w:name w:val="Hyperlink"/>
    <w:basedOn w:val="DefaultParagraphFont"/>
    <w:uiPriority w:val="99"/>
    <w:unhideWhenUsed/>
    <w:rsid w:val="00BA5C8D"/>
    <w:rPr>
      <w:color w:val="0000FF"/>
      <w:u w:val="single"/>
    </w:rPr>
  </w:style>
  <w:style w:type="paragraph" w:styleId="Revision">
    <w:name w:val="Revision"/>
    <w:hidden/>
    <w:uiPriority w:val="99"/>
    <w:semiHidden/>
    <w:rsid w:val="008A66E2"/>
    <w:rPr>
      <w:rFonts w:ascii="Times New Roman" w:eastAsia="Times New Roman" w:hAnsi="Times New Roman" w:cs="Times New Roman"/>
      <w:lang w:val="en-SG" w:eastAsia="en-US"/>
    </w:rPr>
  </w:style>
  <w:style w:type="character" w:styleId="CommentReference">
    <w:name w:val="annotation reference"/>
    <w:basedOn w:val="DefaultParagraphFont"/>
    <w:uiPriority w:val="99"/>
    <w:semiHidden/>
    <w:unhideWhenUsed/>
    <w:rsid w:val="0002503B"/>
    <w:rPr>
      <w:sz w:val="16"/>
      <w:szCs w:val="16"/>
    </w:rPr>
  </w:style>
  <w:style w:type="paragraph" w:styleId="CommentText">
    <w:name w:val="annotation text"/>
    <w:basedOn w:val="Normal"/>
    <w:link w:val="CommentTextChar"/>
    <w:uiPriority w:val="99"/>
    <w:semiHidden/>
    <w:unhideWhenUsed/>
    <w:rsid w:val="0002503B"/>
    <w:pPr>
      <w:spacing w:line="240" w:lineRule="auto"/>
    </w:pPr>
    <w:rPr>
      <w:sz w:val="20"/>
      <w:szCs w:val="20"/>
    </w:rPr>
  </w:style>
  <w:style w:type="character" w:customStyle="1" w:styleId="CommentTextChar">
    <w:name w:val="Comment Text Char"/>
    <w:basedOn w:val="DefaultParagraphFont"/>
    <w:link w:val="CommentText"/>
    <w:uiPriority w:val="99"/>
    <w:semiHidden/>
    <w:rsid w:val="0002503B"/>
    <w:rPr>
      <w:rFonts w:ascii="Times New Roman" w:eastAsia="Times New Roman" w:hAnsi="Times New Roman" w:cs="Times New Roman"/>
      <w:sz w:val="20"/>
      <w:szCs w:val="20"/>
      <w:lang w:val="en-SG" w:eastAsia="en-US"/>
    </w:rPr>
  </w:style>
  <w:style w:type="paragraph" w:styleId="CommentSubject">
    <w:name w:val="annotation subject"/>
    <w:basedOn w:val="CommentText"/>
    <w:next w:val="CommentText"/>
    <w:link w:val="CommentSubjectChar"/>
    <w:uiPriority w:val="99"/>
    <w:semiHidden/>
    <w:unhideWhenUsed/>
    <w:rsid w:val="0002503B"/>
    <w:rPr>
      <w:b/>
      <w:bCs/>
    </w:rPr>
  </w:style>
  <w:style w:type="character" w:customStyle="1" w:styleId="CommentSubjectChar">
    <w:name w:val="Comment Subject Char"/>
    <w:basedOn w:val="CommentTextChar"/>
    <w:link w:val="CommentSubject"/>
    <w:uiPriority w:val="99"/>
    <w:semiHidden/>
    <w:rsid w:val="0002503B"/>
    <w:rPr>
      <w:rFonts w:ascii="Times New Roman" w:eastAsia="Times New Roman" w:hAnsi="Times New Roman" w:cs="Times New Roman"/>
      <w:b/>
      <w:bCs/>
      <w:sz w:val="20"/>
      <w:szCs w:val="20"/>
      <w:lang w:val="en-SG" w:eastAsia="en-US"/>
    </w:rPr>
  </w:style>
  <w:style w:type="character" w:styleId="UnresolvedMention">
    <w:name w:val="Unresolved Mention"/>
    <w:basedOn w:val="DefaultParagraphFont"/>
    <w:uiPriority w:val="99"/>
    <w:semiHidden/>
    <w:unhideWhenUsed/>
    <w:rsid w:val="001C1B00"/>
    <w:rPr>
      <w:color w:val="605E5C"/>
      <w:shd w:val="clear" w:color="auto" w:fill="E1DFDD"/>
    </w:rPr>
  </w:style>
  <w:style w:type="character" w:styleId="LineNumber">
    <w:name w:val="line number"/>
    <w:basedOn w:val="DefaultParagraphFont"/>
    <w:uiPriority w:val="99"/>
    <w:semiHidden/>
    <w:unhideWhenUsed/>
    <w:rsid w:val="00BF510A"/>
  </w:style>
  <w:style w:type="paragraph" w:styleId="Header">
    <w:name w:val="header"/>
    <w:basedOn w:val="Normal"/>
    <w:link w:val="HeaderChar"/>
    <w:uiPriority w:val="99"/>
    <w:unhideWhenUsed/>
    <w:rsid w:val="003604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04B6"/>
    <w:rPr>
      <w:rFonts w:ascii="Times New Roman" w:eastAsia="Times New Roman" w:hAnsi="Times New Roman" w:cs="Times New Roman"/>
      <w:lang w:val="en-SG" w:eastAsia="en-US"/>
    </w:rPr>
  </w:style>
  <w:style w:type="paragraph" w:styleId="TOC2">
    <w:name w:val="toc 2"/>
    <w:basedOn w:val="Normal"/>
    <w:next w:val="Normal"/>
    <w:autoRedefine/>
    <w:uiPriority w:val="39"/>
    <w:unhideWhenUsed/>
    <w:rsid w:val="005D4FCC"/>
    <w:pPr>
      <w:spacing w:after="100" w:line="240" w:lineRule="auto"/>
      <w:ind w:left="200"/>
    </w:pPr>
    <w:rPr>
      <w:rFonts w:eastAsiaTheme="minorHAnsi"/>
      <w:sz w:val="20"/>
      <w:szCs w:val="20"/>
    </w:rPr>
  </w:style>
  <w:style w:type="paragraph" w:styleId="TOC1">
    <w:name w:val="toc 1"/>
    <w:basedOn w:val="Normal"/>
    <w:next w:val="Normal"/>
    <w:autoRedefine/>
    <w:uiPriority w:val="39"/>
    <w:unhideWhenUsed/>
    <w:rsid w:val="005D4FCC"/>
    <w:pPr>
      <w:spacing w:after="100" w:line="240" w:lineRule="auto"/>
    </w:pPr>
    <w:rPr>
      <w:rFonts w:eastAsia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97243">
      <w:bodyDiv w:val="1"/>
      <w:marLeft w:val="0"/>
      <w:marRight w:val="0"/>
      <w:marTop w:val="0"/>
      <w:marBottom w:val="0"/>
      <w:divBdr>
        <w:top w:val="none" w:sz="0" w:space="0" w:color="auto"/>
        <w:left w:val="none" w:sz="0" w:space="0" w:color="auto"/>
        <w:bottom w:val="none" w:sz="0" w:space="0" w:color="auto"/>
        <w:right w:val="none" w:sz="0" w:space="0" w:color="auto"/>
      </w:divBdr>
      <w:divsChild>
        <w:div w:id="696275760">
          <w:marLeft w:val="640"/>
          <w:marRight w:val="0"/>
          <w:marTop w:val="0"/>
          <w:marBottom w:val="0"/>
          <w:divBdr>
            <w:top w:val="none" w:sz="0" w:space="0" w:color="auto"/>
            <w:left w:val="none" w:sz="0" w:space="0" w:color="auto"/>
            <w:bottom w:val="none" w:sz="0" w:space="0" w:color="auto"/>
            <w:right w:val="none" w:sz="0" w:space="0" w:color="auto"/>
          </w:divBdr>
        </w:div>
        <w:div w:id="1504934178">
          <w:marLeft w:val="640"/>
          <w:marRight w:val="0"/>
          <w:marTop w:val="0"/>
          <w:marBottom w:val="0"/>
          <w:divBdr>
            <w:top w:val="none" w:sz="0" w:space="0" w:color="auto"/>
            <w:left w:val="none" w:sz="0" w:space="0" w:color="auto"/>
            <w:bottom w:val="none" w:sz="0" w:space="0" w:color="auto"/>
            <w:right w:val="none" w:sz="0" w:space="0" w:color="auto"/>
          </w:divBdr>
        </w:div>
      </w:divsChild>
    </w:div>
    <w:div w:id="47992577">
      <w:bodyDiv w:val="1"/>
      <w:marLeft w:val="0"/>
      <w:marRight w:val="0"/>
      <w:marTop w:val="0"/>
      <w:marBottom w:val="0"/>
      <w:divBdr>
        <w:top w:val="none" w:sz="0" w:space="0" w:color="auto"/>
        <w:left w:val="none" w:sz="0" w:space="0" w:color="auto"/>
        <w:bottom w:val="none" w:sz="0" w:space="0" w:color="auto"/>
        <w:right w:val="none" w:sz="0" w:space="0" w:color="auto"/>
      </w:divBdr>
    </w:div>
    <w:div w:id="70661768">
      <w:bodyDiv w:val="1"/>
      <w:marLeft w:val="0"/>
      <w:marRight w:val="0"/>
      <w:marTop w:val="0"/>
      <w:marBottom w:val="0"/>
      <w:divBdr>
        <w:top w:val="none" w:sz="0" w:space="0" w:color="auto"/>
        <w:left w:val="none" w:sz="0" w:space="0" w:color="auto"/>
        <w:bottom w:val="none" w:sz="0" w:space="0" w:color="auto"/>
        <w:right w:val="none" w:sz="0" w:space="0" w:color="auto"/>
      </w:divBdr>
      <w:divsChild>
        <w:div w:id="2040664138">
          <w:marLeft w:val="640"/>
          <w:marRight w:val="0"/>
          <w:marTop w:val="0"/>
          <w:marBottom w:val="0"/>
          <w:divBdr>
            <w:top w:val="none" w:sz="0" w:space="0" w:color="auto"/>
            <w:left w:val="none" w:sz="0" w:space="0" w:color="auto"/>
            <w:bottom w:val="none" w:sz="0" w:space="0" w:color="auto"/>
            <w:right w:val="none" w:sz="0" w:space="0" w:color="auto"/>
          </w:divBdr>
        </w:div>
      </w:divsChild>
    </w:div>
    <w:div w:id="174538530">
      <w:bodyDiv w:val="1"/>
      <w:marLeft w:val="0"/>
      <w:marRight w:val="0"/>
      <w:marTop w:val="0"/>
      <w:marBottom w:val="0"/>
      <w:divBdr>
        <w:top w:val="none" w:sz="0" w:space="0" w:color="auto"/>
        <w:left w:val="none" w:sz="0" w:space="0" w:color="auto"/>
        <w:bottom w:val="none" w:sz="0" w:space="0" w:color="auto"/>
        <w:right w:val="none" w:sz="0" w:space="0" w:color="auto"/>
      </w:divBdr>
    </w:div>
    <w:div w:id="213927277">
      <w:bodyDiv w:val="1"/>
      <w:marLeft w:val="0"/>
      <w:marRight w:val="0"/>
      <w:marTop w:val="0"/>
      <w:marBottom w:val="0"/>
      <w:divBdr>
        <w:top w:val="none" w:sz="0" w:space="0" w:color="auto"/>
        <w:left w:val="none" w:sz="0" w:space="0" w:color="auto"/>
        <w:bottom w:val="none" w:sz="0" w:space="0" w:color="auto"/>
        <w:right w:val="none" w:sz="0" w:space="0" w:color="auto"/>
      </w:divBdr>
      <w:divsChild>
        <w:div w:id="1871868396">
          <w:marLeft w:val="640"/>
          <w:marRight w:val="0"/>
          <w:marTop w:val="0"/>
          <w:marBottom w:val="0"/>
          <w:divBdr>
            <w:top w:val="none" w:sz="0" w:space="0" w:color="auto"/>
            <w:left w:val="none" w:sz="0" w:space="0" w:color="auto"/>
            <w:bottom w:val="none" w:sz="0" w:space="0" w:color="auto"/>
            <w:right w:val="none" w:sz="0" w:space="0" w:color="auto"/>
          </w:divBdr>
        </w:div>
      </w:divsChild>
    </w:div>
    <w:div w:id="293415573">
      <w:bodyDiv w:val="1"/>
      <w:marLeft w:val="0"/>
      <w:marRight w:val="0"/>
      <w:marTop w:val="0"/>
      <w:marBottom w:val="0"/>
      <w:divBdr>
        <w:top w:val="none" w:sz="0" w:space="0" w:color="auto"/>
        <w:left w:val="none" w:sz="0" w:space="0" w:color="auto"/>
        <w:bottom w:val="none" w:sz="0" w:space="0" w:color="auto"/>
        <w:right w:val="none" w:sz="0" w:space="0" w:color="auto"/>
      </w:divBdr>
      <w:divsChild>
        <w:div w:id="714155658">
          <w:marLeft w:val="640"/>
          <w:marRight w:val="0"/>
          <w:marTop w:val="0"/>
          <w:marBottom w:val="0"/>
          <w:divBdr>
            <w:top w:val="none" w:sz="0" w:space="0" w:color="auto"/>
            <w:left w:val="none" w:sz="0" w:space="0" w:color="auto"/>
            <w:bottom w:val="none" w:sz="0" w:space="0" w:color="auto"/>
            <w:right w:val="none" w:sz="0" w:space="0" w:color="auto"/>
          </w:divBdr>
        </w:div>
        <w:div w:id="973414330">
          <w:marLeft w:val="640"/>
          <w:marRight w:val="0"/>
          <w:marTop w:val="0"/>
          <w:marBottom w:val="0"/>
          <w:divBdr>
            <w:top w:val="none" w:sz="0" w:space="0" w:color="auto"/>
            <w:left w:val="none" w:sz="0" w:space="0" w:color="auto"/>
            <w:bottom w:val="none" w:sz="0" w:space="0" w:color="auto"/>
            <w:right w:val="none" w:sz="0" w:space="0" w:color="auto"/>
          </w:divBdr>
        </w:div>
        <w:div w:id="990914220">
          <w:marLeft w:val="640"/>
          <w:marRight w:val="0"/>
          <w:marTop w:val="0"/>
          <w:marBottom w:val="0"/>
          <w:divBdr>
            <w:top w:val="none" w:sz="0" w:space="0" w:color="auto"/>
            <w:left w:val="none" w:sz="0" w:space="0" w:color="auto"/>
            <w:bottom w:val="none" w:sz="0" w:space="0" w:color="auto"/>
            <w:right w:val="none" w:sz="0" w:space="0" w:color="auto"/>
          </w:divBdr>
        </w:div>
        <w:div w:id="2070032906">
          <w:marLeft w:val="640"/>
          <w:marRight w:val="0"/>
          <w:marTop w:val="0"/>
          <w:marBottom w:val="0"/>
          <w:divBdr>
            <w:top w:val="none" w:sz="0" w:space="0" w:color="auto"/>
            <w:left w:val="none" w:sz="0" w:space="0" w:color="auto"/>
            <w:bottom w:val="none" w:sz="0" w:space="0" w:color="auto"/>
            <w:right w:val="none" w:sz="0" w:space="0" w:color="auto"/>
          </w:divBdr>
        </w:div>
      </w:divsChild>
    </w:div>
    <w:div w:id="295645857">
      <w:bodyDiv w:val="1"/>
      <w:marLeft w:val="0"/>
      <w:marRight w:val="0"/>
      <w:marTop w:val="0"/>
      <w:marBottom w:val="0"/>
      <w:divBdr>
        <w:top w:val="none" w:sz="0" w:space="0" w:color="auto"/>
        <w:left w:val="none" w:sz="0" w:space="0" w:color="auto"/>
        <w:bottom w:val="none" w:sz="0" w:space="0" w:color="auto"/>
        <w:right w:val="none" w:sz="0" w:space="0" w:color="auto"/>
      </w:divBdr>
      <w:divsChild>
        <w:div w:id="777020966">
          <w:marLeft w:val="640"/>
          <w:marRight w:val="0"/>
          <w:marTop w:val="0"/>
          <w:marBottom w:val="0"/>
          <w:divBdr>
            <w:top w:val="none" w:sz="0" w:space="0" w:color="auto"/>
            <w:left w:val="none" w:sz="0" w:space="0" w:color="auto"/>
            <w:bottom w:val="none" w:sz="0" w:space="0" w:color="auto"/>
            <w:right w:val="none" w:sz="0" w:space="0" w:color="auto"/>
          </w:divBdr>
        </w:div>
        <w:div w:id="931399714">
          <w:marLeft w:val="640"/>
          <w:marRight w:val="0"/>
          <w:marTop w:val="0"/>
          <w:marBottom w:val="0"/>
          <w:divBdr>
            <w:top w:val="none" w:sz="0" w:space="0" w:color="auto"/>
            <w:left w:val="none" w:sz="0" w:space="0" w:color="auto"/>
            <w:bottom w:val="none" w:sz="0" w:space="0" w:color="auto"/>
            <w:right w:val="none" w:sz="0" w:space="0" w:color="auto"/>
          </w:divBdr>
        </w:div>
        <w:div w:id="1772436995">
          <w:marLeft w:val="640"/>
          <w:marRight w:val="0"/>
          <w:marTop w:val="0"/>
          <w:marBottom w:val="0"/>
          <w:divBdr>
            <w:top w:val="none" w:sz="0" w:space="0" w:color="auto"/>
            <w:left w:val="none" w:sz="0" w:space="0" w:color="auto"/>
            <w:bottom w:val="none" w:sz="0" w:space="0" w:color="auto"/>
            <w:right w:val="none" w:sz="0" w:space="0" w:color="auto"/>
          </w:divBdr>
        </w:div>
        <w:div w:id="2023894130">
          <w:marLeft w:val="640"/>
          <w:marRight w:val="0"/>
          <w:marTop w:val="0"/>
          <w:marBottom w:val="0"/>
          <w:divBdr>
            <w:top w:val="none" w:sz="0" w:space="0" w:color="auto"/>
            <w:left w:val="none" w:sz="0" w:space="0" w:color="auto"/>
            <w:bottom w:val="none" w:sz="0" w:space="0" w:color="auto"/>
            <w:right w:val="none" w:sz="0" w:space="0" w:color="auto"/>
          </w:divBdr>
        </w:div>
      </w:divsChild>
    </w:div>
    <w:div w:id="358048237">
      <w:bodyDiv w:val="1"/>
      <w:marLeft w:val="0"/>
      <w:marRight w:val="0"/>
      <w:marTop w:val="0"/>
      <w:marBottom w:val="0"/>
      <w:divBdr>
        <w:top w:val="none" w:sz="0" w:space="0" w:color="auto"/>
        <w:left w:val="none" w:sz="0" w:space="0" w:color="auto"/>
        <w:bottom w:val="none" w:sz="0" w:space="0" w:color="auto"/>
        <w:right w:val="none" w:sz="0" w:space="0" w:color="auto"/>
      </w:divBdr>
      <w:divsChild>
        <w:div w:id="180314239">
          <w:marLeft w:val="640"/>
          <w:marRight w:val="0"/>
          <w:marTop w:val="0"/>
          <w:marBottom w:val="0"/>
          <w:divBdr>
            <w:top w:val="none" w:sz="0" w:space="0" w:color="auto"/>
            <w:left w:val="none" w:sz="0" w:space="0" w:color="auto"/>
            <w:bottom w:val="none" w:sz="0" w:space="0" w:color="auto"/>
            <w:right w:val="none" w:sz="0" w:space="0" w:color="auto"/>
          </w:divBdr>
        </w:div>
        <w:div w:id="337081936">
          <w:marLeft w:val="640"/>
          <w:marRight w:val="0"/>
          <w:marTop w:val="0"/>
          <w:marBottom w:val="0"/>
          <w:divBdr>
            <w:top w:val="none" w:sz="0" w:space="0" w:color="auto"/>
            <w:left w:val="none" w:sz="0" w:space="0" w:color="auto"/>
            <w:bottom w:val="none" w:sz="0" w:space="0" w:color="auto"/>
            <w:right w:val="none" w:sz="0" w:space="0" w:color="auto"/>
          </w:divBdr>
        </w:div>
      </w:divsChild>
    </w:div>
    <w:div w:id="439380640">
      <w:bodyDiv w:val="1"/>
      <w:marLeft w:val="0"/>
      <w:marRight w:val="0"/>
      <w:marTop w:val="0"/>
      <w:marBottom w:val="0"/>
      <w:divBdr>
        <w:top w:val="none" w:sz="0" w:space="0" w:color="auto"/>
        <w:left w:val="none" w:sz="0" w:space="0" w:color="auto"/>
        <w:bottom w:val="none" w:sz="0" w:space="0" w:color="auto"/>
        <w:right w:val="none" w:sz="0" w:space="0" w:color="auto"/>
      </w:divBdr>
    </w:div>
    <w:div w:id="610087858">
      <w:bodyDiv w:val="1"/>
      <w:marLeft w:val="0"/>
      <w:marRight w:val="0"/>
      <w:marTop w:val="0"/>
      <w:marBottom w:val="0"/>
      <w:divBdr>
        <w:top w:val="none" w:sz="0" w:space="0" w:color="auto"/>
        <w:left w:val="none" w:sz="0" w:space="0" w:color="auto"/>
        <w:bottom w:val="none" w:sz="0" w:space="0" w:color="auto"/>
        <w:right w:val="none" w:sz="0" w:space="0" w:color="auto"/>
      </w:divBdr>
      <w:divsChild>
        <w:div w:id="135492387">
          <w:marLeft w:val="640"/>
          <w:marRight w:val="0"/>
          <w:marTop w:val="0"/>
          <w:marBottom w:val="0"/>
          <w:divBdr>
            <w:top w:val="none" w:sz="0" w:space="0" w:color="auto"/>
            <w:left w:val="none" w:sz="0" w:space="0" w:color="auto"/>
            <w:bottom w:val="none" w:sz="0" w:space="0" w:color="auto"/>
            <w:right w:val="none" w:sz="0" w:space="0" w:color="auto"/>
          </w:divBdr>
        </w:div>
      </w:divsChild>
    </w:div>
    <w:div w:id="612517073">
      <w:bodyDiv w:val="1"/>
      <w:marLeft w:val="0"/>
      <w:marRight w:val="0"/>
      <w:marTop w:val="0"/>
      <w:marBottom w:val="0"/>
      <w:divBdr>
        <w:top w:val="none" w:sz="0" w:space="0" w:color="auto"/>
        <w:left w:val="none" w:sz="0" w:space="0" w:color="auto"/>
        <w:bottom w:val="none" w:sz="0" w:space="0" w:color="auto"/>
        <w:right w:val="none" w:sz="0" w:space="0" w:color="auto"/>
      </w:divBdr>
    </w:div>
    <w:div w:id="637805435">
      <w:bodyDiv w:val="1"/>
      <w:marLeft w:val="0"/>
      <w:marRight w:val="0"/>
      <w:marTop w:val="0"/>
      <w:marBottom w:val="0"/>
      <w:divBdr>
        <w:top w:val="none" w:sz="0" w:space="0" w:color="auto"/>
        <w:left w:val="none" w:sz="0" w:space="0" w:color="auto"/>
        <w:bottom w:val="none" w:sz="0" w:space="0" w:color="auto"/>
        <w:right w:val="none" w:sz="0" w:space="0" w:color="auto"/>
      </w:divBdr>
      <w:divsChild>
        <w:div w:id="844634675">
          <w:marLeft w:val="640"/>
          <w:marRight w:val="0"/>
          <w:marTop w:val="0"/>
          <w:marBottom w:val="0"/>
          <w:divBdr>
            <w:top w:val="none" w:sz="0" w:space="0" w:color="auto"/>
            <w:left w:val="none" w:sz="0" w:space="0" w:color="auto"/>
            <w:bottom w:val="none" w:sz="0" w:space="0" w:color="auto"/>
            <w:right w:val="none" w:sz="0" w:space="0" w:color="auto"/>
          </w:divBdr>
        </w:div>
      </w:divsChild>
    </w:div>
    <w:div w:id="701177168">
      <w:bodyDiv w:val="1"/>
      <w:marLeft w:val="0"/>
      <w:marRight w:val="0"/>
      <w:marTop w:val="0"/>
      <w:marBottom w:val="0"/>
      <w:divBdr>
        <w:top w:val="none" w:sz="0" w:space="0" w:color="auto"/>
        <w:left w:val="none" w:sz="0" w:space="0" w:color="auto"/>
        <w:bottom w:val="none" w:sz="0" w:space="0" w:color="auto"/>
        <w:right w:val="none" w:sz="0" w:space="0" w:color="auto"/>
      </w:divBdr>
      <w:divsChild>
        <w:div w:id="1596787217">
          <w:marLeft w:val="0"/>
          <w:marRight w:val="0"/>
          <w:marTop w:val="0"/>
          <w:marBottom w:val="0"/>
          <w:divBdr>
            <w:top w:val="none" w:sz="0" w:space="0" w:color="auto"/>
            <w:left w:val="none" w:sz="0" w:space="0" w:color="auto"/>
            <w:bottom w:val="none" w:sz="0" w:space="0" w:color="auto"/>
            <w:right w:val="none" w:sz="0" w:space="0" w:color="auto"/>
          </w:divBdr>
          <w:divsChild>
            <w:div w:id="2062702831">
              <w:marLeft w:val="0"/>
              <w:marRight w:val="0"/>
              <w:marTop w:val="0"/>
              <w:marBottom w:val="0"/>
              <w:divBdr>
                <w:top w:val="none" w:sz="0" w:space="0" w:color="auto"/>
                <w:left w:val="none" w:sz="0" w:space="0" w:color="auto"/>
                <w:bottom w:val="none" w:sz="0" w:space="0" w:color="auto"/>
                <w:right w:val="none" w:sz="0" w:space="0" w:color="auto"/>
              </w:divBdr>
              <w:divsChild>
                <w:div w:id="484248196">
                  <w:marLeft w:val="0"/>
                  <w:marRight w:val="0"/>
                  <w:marTop w:val="0"/>
                  <w:marBottom w:val="0"/>
                  <w:divBdr>
                    <w:top w:val="none" w:sz="0" w:space="0" w:color="auto"/>
                    <w:left w:val="none" w:sz="0" w:space="0" w:color="auto"/>
                    <w:bottom w:val="none" w:sz="0" w:space="0" w:color="auto"/>
                    <w:right w:val="none" w:sz="0" w:space="0" w:color="auto"/>
                  </w:divBdr>
                  <w:divsChild>
                    <w:div w:id="118786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643470">
      <w:bodyDiv w:val="1"/>
      <w:marLeft w:val="0"/>
      <w:marRight w:val="0"/>
      <w:marTop w:val="0"/>
      <w:marBottom w:val="0"/>
      <w:divBdr>
        <w:top w:val="none" w:sz="0" w:space="0" w:color="auto"/>
        <w:left w:val="none" w:sz="0" w:space="0" w:color="auto"/>
        <w:bottom w:val="none" w:sz="0" w:space="0" w:color="auto"/>
        <w:right w:val="none" w:sz="0" w:space="0" w:color="auto"/>
      </w:divBdr>
      <w:divsChild>
        <w:div w:id="609822896">
          <w:marLeft w:val="640"/>
          <w:marRight w:val="0"/>
          <w:marTop w:val="0"/>
          <w:marBottom w:val="0"/>
          <w:divBdr>
            <w:top w:val="none" w:sz="0" w:space="0" w:color="auto"/>
            <w:left w:val="none" w:sz="0" w:space="0" w:color="auto"/>
            <w:bottom w:val="none" w:sz="0" w:space="0" w:color="auto"/>
            <w:right w:val="none" w:sz="0" w:space="0" w:color="auto"/>
          </w:divBdr>
        </w:div>
        <w:div w:id="2012102995">
          <w:marLeft w:val="640"/>
          <w:marRight w:val="0"/>
          <w:marTop w:val="0"/>
          <w:marBottom w:val="0"/>
          <w:divBdr>
            <w:top w:val="none" w:sz="0" w:space="0" w:color="auto"/>
            <w:left w:val="none" w:sz="0" w:space="0" w:color="auto"/>
            <w:bottom w:val="none" w:sz="0" w:space="0" w:color="auto"/>
            <w:right w:val="none" w:sz="0" w:space="0" w:color="auto"/>
          </w:divBdr>
        </w:div>
      </w:divsChild>
    </w:div>
    <w:div w:id="864638910">
      <w:bodyDiv w:val="1"/>
      <w:marLeft w:val="0"/>
      <w:marRight w:val="0"/>
      <w:marTop w:val="0"/>
      <w:marBottom w:val="0"/>
      <w:divBdr>
        <w:top w:val="none" w:sz="0" w:space="0" w:color="auto"/>
        <w:left w:val="none" w:sz="0" w:space="0" w:color="auto"/>
        <w:bottom w:val="none" w:sz="0" w:space="0" w:color="auto"/>
        <w:right w:val="none" w:sz="0" w:space="0" w:color="auto"/>
      </w:divBdr>
      <w:divsChild>
        <w:div w:id="548079876">
          <w:marLeft w:val="640"/>
          <w:marRight w:val="0"/>
          <w:marTop w:val="0"/>
          <w:marBottom w:val="0"/>
          <w:divBdr>
            <w:top w:val="none" w:sz="0" w:space="0" w:color="auto"/>
            <w:left w:val="none" w:sz="0" w:space="0" w:color="auto"/>
            <w:bottom w:val="none" w:sz="0" w:space="0" w:color="auto"/>
            <w:right w:val="none" w:sz="0" w:space="0" w:color="auto"/>
          </w:divBdr>
        </w:div>
        <w:div w:id="570121127">
          <w:marLeft w:val="640"/>
          <w:marRight w:val="0"/>
          <w:marTop w:val="0"/>
          <w:marBottom w:val="0"/>
          <w:divBdr>
            <w:top w:val="none" w:sz="0" w:space="0" w:color="auto"/>
            <w:left w:val="none" w:sz="0" w:space="0" w:color="auto"/>
            <w:bottom w:val="none" w:sz="0" w:space="0" w:color="auto"/>
            <w:right w:val="none" w:sz="0" w:space="0" w:color="auto"/>
          </w:divBdr>
        </w:div>
        <w:div w:id="2010714324">
          <w:marLeft w:val="640"/>
          <w:marRight w:val="0"/>
          <w:marTop w:val="0"/>
          <w:marBottom w:val="0"/>
          <w:divBdr>
            <w:top w:val="none" w:sz="0" w:space="0" w:color="auto"/>
            <w:left w:val="none" w:sz="0" w:space="0" w:color="auto"/>
            <w:bottom w:val="none" w:sz="0" w:space="0" w:color="auto"/>
            <w:right w:val="none" w:sz="0" w:space="0" w:color="auto"/>
          </w:divBdr>
        </w:div>
      </w:divsChild>
    </w:div>
    <w:div w:id="869953025">
      <w:bodyDiv w:val="1"/>
      <w:marLeft w:val="0"/>
      <w:marRight w:val="0"/>
      <w:marTop w:val="0"/>
      <w:marBottom w:val="0"/>
      <w:divBdr>
        <w:top w:val="none" w:sz="0" w:space="0" w:color="auto"/>
        <w:left w:val="none" w:sz="0" w:space="0" w:color="auto"/>
        <w:bottom w:val="none" w:sz="0" w:space="0" w:color="auto"/>
        <w:right w:val="none" w:sz="0" w:space="0" w:color="auto"/>
      </w:divBdr>
      <w:divsChild>
        <w:div w:id="424305223">
          <w:marLeft w:val="640"/>
          <w:marRight w:val="0"/>
          <w:marTop w:val="0"/>
          <w:marBottom w:val="0"/>
          <w:divBdr>
            <w:top w:val="none" w:sz="0" w:space="0" w:color="auto"/>
            <w:left w:val="none" w:sz="0" w:space="0" w:color="auto"/>
            <w:bottom w:val="none" w:sz="0" w:space="0" w:color="auto"/>
            <w:right w:val="none" w:sz="0" w:space="0" w:color="auto"/>
          </w:divBdr>
        </w:div>
        <w:div w:id="835608777">
          <w:marLeft w:val="640"/>
          <w:marRight w:val="0"/>
          <w:marTop w:val="0"/>
          <w:marBottom w:val="0"/>
          <w:divBdr>
            <w:top w:val="none" w:sz="0" w:space="0" w:color="auto"/>
            <w:left w:val="none" w:sz="0" w:space="0" w:color="auto"/>
            <w:bottom w:val="none" w:sz="0" w:space="0" w:color="auto"/>
            <w:right w:val="none" w:sz="0" w:space="0" w:color="auto"/>
          </w:divBdr>
        </w:div>
        <w:div w:id="1600142942">
          <w:marLeft w:val="640"/>
          <w:marRight w:val="0"/>
          <w:marTop w:val="0"/>
          <w:marBottom w:val="0"/>
          <w:divBdr>
            <w:top w:val="none" w:sz="0" w:space="0" w:color="auto"/>
            <w:left w:val="none" w:sz="0" w:space="0" w:color="auto"/>
            <w:bottom w:val="none" w:sz="0" w:space="0" w:color="auto"/>
            <w:right w:val="none" w:sz="0" w:space="0" w:color="auto"/>
          </w:divBdr>
        </w:div>
      </w:divsChild>
    </w:div>
    <w:div w:id="890655512">
      <w:bodyDiv w:val="1"/>
      <w:marLeft w:val="0"/>
      <w:marRight w:val="0"/>
      <w:marTop w:val="0"/>
      <w:marBottom w:val="0"/>
      <w:divBdr>
        <w:top w:val="none" w:sz="0" w:space="0" w:color="auto"/>
        <w:left w:val="none" w:sz="0" w:space="0" w:color="auto"/>
        <w:bottom w:val="none" w:sz="0" w:space="0" w:color="auto"/>
        <w:right w:val="none" w:sz="0" w:space="0" w:color="auto"/>
      </w:divBdr>
    </w:div>
    <w:div w:id="921380419">
      <w:bodyDiv w:val="1"/>
      <w:marLeft w:val="0"/>
      <w:marRight w:val="0"/>
      <w:marTop w:val="0"/>
      <w:marBottom w:val="0"/>
      <w:divBdr>
        <w:top w:val="none" w:sz="0" w:space="0" w:color="auto"/>
        <w:left w:val="none" w:sz="0" w:space="0" w:color="auto"/>
        <w:bottom w:val="none" w:sz="0" w:space="0" w:color="auto"/>
        <w:right w:val="none" w:sz="0" w:space="0" w:color="auto"/>
      </w:divBdr>
      <w:divsChild>
        <w:div w:id="185872198">
          <w:marLeft w:val="640"/>
          <w:marRight w:val="0"/>
          <w:marTop w:val="0"/>
          <w:marBottom w:val="0"/>
          <w:divBdr>
            <w:top w:val="none" w:sz="0" w:space="0" w:color="auto"/>
            <w:left w:val="none" w:sz="0" w:space="0" w:color="auto"/>
            <w:bottom w:val="none" w:sz="0" w:space="0" w:color="auto"/>
            <w:right w:val="none" w:sz="0" w:space="0" w:color="auto"/>
          </w:divBdr>
        </w:div>
        <w:div w:id="750853586">
          <w:marLeft w:val="640"/>
          <w:marRight w:val="0"/>
          <w:marTop w:val="0"/>
          <w:marBottom w:val="0"/>
          <w:divBdr>
            <w:top w:val="none" w:sz="0" w:space="0" w:color="auto"/>
            <w:left w:val="none" w:sz="0" w:space="0" w:color="auto"/>
            <w:bottom w:val="none" w:sz="0" w:space="0" w:color="auto"/>
            <w:right w:val="none" w:sz="0" w:space="0" w:color="auto"/>
          </w:divBdr>
        </w:div>
        <w:div w:id="1478574111">
          <w:marLeft w:val="640"/>
          <w:marRight w:val="0"/>
          <w:marTop w:val="0"/>
          <w:marBottom w:val="0"/>
          <w:divBdr>
            <w:top w:val="none" w:sz="0" w:space="0" w:color="auto"/>
            <w:left w:val="none" w:sz="0" w:space="0" w:color="auto"/>
            <w:bottom w:val="none" w:sz="0" w:space="0" w:color="auto"/>
            <w:right w:val="none" w:sz="0" w:space="0" w:color="auto"/>
          </w:divBdr>
        </w:div>
        <w:div w:id="1847938171">
          <w:marLeft w:val="640"/>
          <w:marRight w:val="0"/>
          <w:marTop w:val="0"/>
          <w:marBottom w:val="0"/>
          <w:divBdr>
            <w:top w:val="none" w:sz="0" w:space="0" w:color="auto"/>
            <w:left w:val="none" w:sz="0" w:space="0" w:color="auto"/>
            <w:bottom w:val="none" w:sz="0" w:space="0" w:color="auto"/>
            <w:right w:val="none" w:sz="0" w:space="0" w:color="auto"/>
          </w:divBdr>
        </w:div>
      </w:divsChild>
    </w:div>
    <w:div w:id="1076702956">
      <w:bodyDiv w:val="1"/>
      <w:marLeft w:val="0"/>
      <w:marRight w:val="0"/>
      <w:marTop w:val="0"/>
      <w:marBottom w:val="0"/>
      <w:divBdr>
        <w:top w:val="none" w:sz="0" w:space="0" w:color="auto"/>
        <w:left w:val="none" w:sz="0" w:space="0" w:color="auto"/>
        <w:bottom w:val="none" w:sz="0" w:space="0" w:color="auto"/>
        <w:right w:val="none" w:sz="0" w:space="0" w:color="auto"/>
      </w:divBdr>
    </w:div>
    <w:div w:id="1193222567">
      <w:bodyDiv w:val="1"/>
      <w:marLeft w:val="0"/>
      <w:marRight w:val="0"/>
      <w:marTop w:val="0"/>
      <w:marBottom w:val="0"/>
      <w:divBdr>
        <w:top w:val="none" w:sz="0" w:space="0" w:color="auto"/>
        <w:left w:val="none" w:sz="0" w:space="0" w:color="auto"/>
        <w:bottom w:val="none" w:sz="0" w:space="0" w:color="auto"/>
        <w:right w:val="none" w:sz="0" w:space="0" w:color="auto"/>
      </w:divBdr>
    </w:div>
    <w:div w:id="1230464425">
      <w:bodyDiv w:val="1"/>
      <w:marLeft w:val="0"/>
      <w:marRight w:val="0"/>
      <w:marTop w:val="0"/>
      <w:marBottom w:val="0"/>
      <w:divBdr>
        <w:top w:val="none" w:sz="0" w:space="0" w:color="auto"/>
        <w:left w:val="none" w:sz="0" w:space="0" w:color="auto"/>
        <w:bottom w:val="none" w:sz="0" w:space="0" w:color="auto"/>
        <w:right w:val="none" w:sz="0" w:space="0" w:color="auto"/>
      </w:divBdr>
      <w:divsChild>
        <w:div w:id="1599410863">
          <w:marLeft w:val="640"/>
          <w:marRight w:val="0"/>
          <w:marTop w:val="0"/>
          <w:marBottom w:val="0"/>
          <w:divBdr>
            <w:top w:val="none" w:sz="0" w:space="0" w:color="auto"/>
            <w:left w:val="none" w:sz="0" w:space="0" w:color="auto"/>
            <w:bottom w:val="none" w:sz="0" w:space="0" w:color="auto"/>
            <w:right w:val="none" w:sz="0" w:space="0" w:color="auto"/>
          </w:divBdr>
        </w:div>
      </w:divsChild>
    </w:div>
    <w:div w:id="1374311955">
      <w:bodyDiv w:val="1"/>
      <w:marLeft w:val="0"/>
      <w:marRight w:val="0"/>
      <w:marTop w:val="0"/>
      <w:marBottom w:val="0"/>
      <w:divBdr>
        <w:top w:val="none" w:sz="0" w:space="0" w:color="auto"/>
        <w:left w:val="none" w:sz="0" w:space="0" w:color="auto"/>
        <w:bottom w:val="none" w:sz="0" w:space="0" w:color="auto"/>
        <w:right w:val="none" w:sz="0" w:space="0" w:color="auto"/>
      </w:divBdr>
      <w:divsChild>
        <w:div w:id="988751530">
          <w:marLeft w:val="640"/>
          <w:marRight w:val="0"/>
          <w:marTop w:val="0"/>
          <w:marBottom w:val="0"/>
          <w:divBdr>
            <w:top w:val="none" w:sz="0" w:space="0" w:color="auto"/>
            <w:left w:val="none" w:sz="0" w:space="0" w:color="auto"/>
            <w:bottom w:val="none" w:sz="0" w:space="0" w:color="auto"/>
            <w:right w:val="none" w:sz="0" w:space="0" w:color="auto"/>
          </w:divBdr>
        </w:div>
        <w:div w:id="1813407053">
          <w:marLeft w:val="640"/>
          <w:marRight w:val="0"/>
          <w:marTop w:val="0"/>
          <w:marBottom w:val="0"/>
          <w:divBdr>
            <w:top w:val="none" w:sz="0" w:space="0" w:color="auto"/>
            <w:left w:val="none" w:sz="0" w:space="0" w:color="auto"/>
            <w:bottom w:val="none" w:sz="0" w:space="0" w:color="auto"/>
            <w:right w:val="none" w:sz="0" w:space="0" w:color="auto"/>
          </w:divBdr>
        </w:div>
      </w:divsChild>
    </w:div>
    <w:div w:id="1461335452">
      <w:bodyDiv w:val="1"/>
      <w:marLeft w:val="0"/>
      <w:marRight w:val="0"/>
      <w:marTop w:val="0"/>
      <w:marBottom w:val="0"/>
      <w:divBdr>
        <w:top w:val="none" w:sz="0" w:space="0" w:color="auto"/>
        <w:left w:val="none" w:sz="0" w:space="0" w:color="auto"/>
        <w:bottom w:val="none" w:sz="0" w:space="0" w:color="auto"/>
        <w:right w:val="none" w:sz="0" w:space="0" w:color="auto"/>
      </w:divBdr>
      <w:divsChild>
        <w:div w:id="1449425631">
          <w:marLeft w:val="640"/>
          <w:marRight w:val="0"/>
          <w:marTop w:val="0"/>
          <w:marBottom w:val="0"/>
          <w:divBdr>
            <w:top w:val="none" w:sz="0" w:space="0" w:color="auto"/>
            <w:left w:val="none" w:sz="0" w:space="0" w:color="auto"/>
            <w:bottom w:val="none" w:sz="0" w:space="0" w:color="auto"/>
            <w:right w:val="none" w:sz="0" w:space="0" w:color="auto"/>
          </w:divBdr>
        </w:div>
        <w:div w:id="1620836888">
          <w:marLeft w:val="640"/>
          <w:marRight w:val="0"/>
          <w:marTop w:val="0"/>
          <w:marBottom w:val="0"/>
          <w:divBdr>
            <w:top w:val="none" w:sz="0" w:space="0" w:color="auto"/>
            <w:left w:val="none" w:sz="0" w:space="0" w:color="auto"/>
            <w:bottom w:val="none" w:sz="0" w:space="0" w:color="auto"/>
            <w:right w:val="none" w:sz="0" w:space="0" w:color="auto"/>
          </w:divBdr>
        </w:div>
      </w:divsChild>
    </w:div>
    <w:div w:id="1567111655">
      <w:bodyDiv w:val="1"/>
      <w:marLeft w:val="0"/>
      <w:marRight w:val="0"/>
      <w:marTop w:val="0"/>
      <w:marBottom w:val="0"/>
      <w:divBdr>
        <w:top w:val="none" w:sz="0" w:space="0" w:color="auto"/>
        <w:left w:val="none" w:sz="0" w:space="0" w:color="auto"/>
        <w:bottom w:val="none" w:sz="0" w:space="0" w:color="auto"/>
        <w:right w:val="none" w:sz="0" w:space="0" w:color="auto"/>
      </w:divBdr>
    </w:div>
    <w:div w:id="1572041657">
      <w:bodyDiv w:val="1"/>
      <w:marLeft w:val="0"/>
      <w:marRight w:val="0"/>
      <w:marTop w:val="0"/>
      <w:marBottom w:val="0"/>
      <w:divBdr>
        <w:top w:val="none" w:sz="0" w:space="0" w:color="auto"/>
        <w:left w:val="none" w:sz="0" w:space="0" w:color="auto"/>
        <w:bottom w:val="none" w:sz="0" w:space="0" w:color="auto"/>
        <w:right w:val="none" w:sz="0" w:space="0" w:color="auto"/>
      </w:divBdr>
      <w:divsChild>
        <w:div w:id="696662078">
          <w:marLeft w:val="640"/>
          <w:marRight w:val="0"/>
          <w:marTop w:val="0"/>
          <w:marBottom w:val="0"/>
          <w:divBdr>
            <w:top w:val="none" w:sz="0" w:space="0" w:color="auto"/>
            <w:left w:val="none" w:sz="0" w:space="0" w:color="auto"/>
            <w:bottom w:val="none" w:sz="0" w:space="0" w:color="auto"/>
            <w:right w:val="none" w:sz="0" w:space="0" w:color="auto"/>
          </w:divBdr>
        </w:div>
        <w:div w:id="1051616699">
          <w:marLeft w:val="640"/>
          <w:marRight w:val="0"/>
          <w:marTop w:val="0"/>
          <w:marBottom w:val="0"/>
          <w:divBdr>
            <w:top w:val="none" w:sz="0" w:space="0" w:color="auto"/>
            <w:left w:val="none" w:sz="0" w:space="0" w:color="auto"/>
            <w:bottom w:val="none" w:sz="0" w:space="0" w:color="auto"/>
            <w:right w:val="none" w:sz="0" w:space="0" w:color="auto"/>
          </w:divBdr>
        </w:div>
      </w:divsChild>
    </w:div>
    <w:div w:id="1622879209">
      <w:bodyDiv w:val="1"/>
      <w:marLeft w:val="0"/>
      <w:marRight w:val="0"/>
      <w:marTop w:val="0"/>
      <w:marBottom w:val="0"/>
      <w:divBdr>
        <w:top w:val="none" w:sz="0" w:space="0" w:color="auto"/>
        <w:left w:val="none" w:sz="0" w:space="0" w:color="auto"/>
        <w:bottom w:val="none" w:sz="0" w:space="0" w:color="auto"/>
        <w:right w:val="none" w:sz="0" w:space="0" w:color="auto"/>
      </w:divBdr>
    </w:div>
    <w:div w:id="1681274114">
      <w:bodyDiv w:val="1"/>
      <w:marLeft w:val="0"/>
      <w:marRight w:val="0"/>
      <w:marTop w:val="0"/>
      <w:marBottom w:val="0"/>
      <w:divBdr>
        <w:top w:val="none" w:sz="0" w:space="0" w:color="auto"/>
        <w:left w:val="none" w:sz="0" w:space="0" w:color="auto"/>
        <w:bottom w:val="none" w:sz="0" w:space="0" w:color="auto"/>
        <w:right w:val="none" w:sz="0" w:space="0" w:color="auto"/>
      </w:divBdr>
      <w:divsChild>
        <w:div w:id="211816444">
          <w:marLeft w:val="640"/>
          <w:marRight w:val="0"/>
          <w:marTop w:val="0"/>
          <w:marBottom w:val="0"/>
          <w:divBdr>
            <w:top w:val="none" w:sz="0" w:space="0" w:color="auto"/>
            <w:left w:val="none" w:sz="0" w:space="0" w:color="auto"/>
            <w:bottom w:val="none" w:sz="0" w:space="0" w:color="auto"/>
            <w:right w:val="none" w:sz="0" w:space="0" w:color="auto"/>
          </w:divBdr>
        </w:div>
        <w:div w:id="480931093">
          <w:marLeft w:val="640"/>
          <w:marRight w:val="0"/>
          <w:marTop w:val="0"/>
          <w:marBottom w:val="0"/>
          <w:divBdr>
            <w:top w:val="none" w:sz="0" w:space="0" w:color="auto"/>
            <w:left w:val="none" w:sz="0" w:space="0" w:color="auto"/>
            <w:bottom w:val="none" w:sz="0" w:space="0" w:color="auto"/>
            <w:right w:val="none" w:sz="0" w:space="0" w:color="auto"/>
          </w:divBdr>
        </w:div>
        <w:div w:id="813176595">
          <w:marLeft w:val="640"/>
          <w:marRight w:val="0"/>
          <w:marTop w:val="0"/>
          <w:marBottom w:val="0"/>
          <w:divBdr>
            <w:top w:val="none" w:sz="0" w:space="0" w:color="auto"/>
            <w:left w:val="none" w:sz="0" w:space="0" w:color="auto"/>
            <w:bottom w:val="none" w:sz="0" w:space="0" w:color="auto"/>
            <w:right w:val="none" w:sz="0" w:space="0" w:color="auto"/>
          </w:divBdr>
        </w:div>
        <w:div w:id="1269852395">
          <w:marLeft w:val="640"/>
          <w:marRight w:val="0"/>
          <w:marTop w:val="0"/>
          <w:marBottom w:val="0"/>
          <w:divBdr>
            <w:top w:val="none" w:sz="0" w:space="0" w:color="auto"/>
            <w:left w:val="none" w:sz="0" w:space="0" w:color="auto"/>
            <w:bottom w:val="none" w:sz="0" w:space="0" w:color="auto"/>
            <w:right w:val="none" w:sz="0" w:space="0" w:color="auto"/>
          </w:divBdr>
        </w:div>
      </w:divsChild>
    </w:div>
    <w:div w:id="1714113471">
      <w:bodyDiv w:val="1"/>
      <w:marLeft w:val="0"/>
      <w:marRight w:val="0"/>
      <w:marTop w:val="0"/>
      <w:marBottom w:val="0"/>
      <w:divBdr>
        <w:top w:val="none" w:sz="0" w:space="0" w:color="auto"/>
        <w:left w:val="none" w:sz="0" w:space="0" w:color="auto"/>
        <w:bottom w:val="none" w:sz="0" w:space="0" w:color="auto"/>
        <w:right w:val="none" w:sz="0" w:space="0" w:color="auto"/>
      </w:divBdr>
      <w:divsChild>
        <w:div w:id="265427965">
          <w:marLeft w:val="640"/>
          <w:marRight w:val="0"/>
          <w:marTop w:val="0"/>
          <w:marBottom w:val="0"/>
          <w:divBdr>
            <w:top w:val="none" w:sz="0" w:space="0" w:color="auto"/>
            <w:left w:val="none" w:sz="0" w:space="0" w:color="auto"/>
            <w:bottom w:val="none" w:sz="0" w:space="0" w:color="auto"/>
            <w:right w:val="none" w:sz="0" w:space="0" w:color="auto"/>
          </w:divBdr>
        </w:div>
        <w:div w:id="1183712609">
          <w:marLeft w:val="640"/>
          <w:marRight w:val="0"/>
          <w:marTop w:val="0"/>
          <w:marBottom w:val="0"/>
          <w:divBdr>
            <w:top w:val="none" w:sz="0" w:space="0" w:color="auto"/>
            <w:left w:val="none" w:sz="0" w:space="0" w:color="auto"/>
            <w:bottom w:val="none" w:sz="0" w:space="0" w:color="auto"/>
            <w:right w:val="none" w:sz="0" w:space="0" w:color="auto"/>
          </w:divBdr>
        </w:div>
        <w:div w:id="1888293599">
          <w:marLeft w:val="640"/>
          <w:marRight w:val="0"/>
          <w:marTop w:val="0"/>
          <w:marBottom w:val="0"/>
          <w:divBdr>
            <w:top w:val="none" w:sz="0" w:space="0" w:color="auto"/>
            <w:left w:val="none" w:sz="0" w:space="0" w:color="auto"/>
            <w:bottom w:val="none" w:sz="0" w:space="0" w:color="auto"/>
            <w:right w:val="none" w:sz="0" w:space="0" w:color="auto"/>
          </w:divBdr>
        </w:div>
      </w:divsChild>
    </w:div>
    <w:div w:id="1724862240">
      <w:bodyDiv w:val="1"/>
      <w:marLeft w:val="0"/>
      <w:marRight w:val="0"/>
      <w:marTop w:val="0"/>
      <w:marBottom w:val="0"/>
      <w:divBdr>
        <w:top w:val="none" w:sz="0" w:space="0" w:color="auto"/>
        <w:left w:val="none" w:sz="0" w:space="0" w:color="auto"/>
        <w:bottom w:val="none" w:sz="0" w:space="0" w:color="auto"/>
        <w:right w:val="none" w:sz="0" w:space="0" w:color="auto"/>
      </w:divBdr>
    </w:div>
    <w:div w:id="1742167931">
      <w:bodyDiv w:val="1"/>
      <w:marLeft w:val="0"/>
      <w:marRight w:val="0"/>
      <w:marTop w:val="0"/>
      <w:marBottom w:val="0"/>
      <w:divBdr>
        <w:top w:val="none" w:sz="0" w:space="0" w:color="auto"/>
        <w:left w:val="none" w:sz="0" w:space="0" w:color="auto"/>
        <w:bottom w:val="none" w:sz="0" w:space="0" w:color="auto"/>
        <w:right w:val="none" w:sz="0" w:space="0" w:color="auto"/>
      </w:divBdr>
      <w:divsChild>
        <w:div w:id="404694408">
          <w:marLeft w:val="640"/>
          <w:marRight w:val="0"/>
          <w:marTop w:val="0"/>
          <w:marBottom w:val="0"/>
          <w:divBdr>
            <w:top w:val="none" w:sz="0" w:space="0" w:color="auto"/>
            <w:left w:val="none" w:sz="0" w:space="0" w:color="auto"/>
            <w:bottom w:val="none" w:sz="0" w:space="0" w:color="auto"/>
            <w:right w:val="none" w:sz="0" w:space="0" w:color="auto"/>
          </w:divBdr>
        </w:div>
        <w:div w:id="1276248467">
          <w:marLeft w:val="640"/>
          <w:marRight w:val="0"/>
          <w:marTop w:val="0"/>
          <w:marBottom w:val="0"/>
          <w:divBdr>
            <w:top w:val="none" w:sz="0" w:space="0" w:color="auto"/>
            <w:left w:val="none" w:sz="0" w:space="0" w:color="auto"/>
            <w:bottom w:val="none" w:sz="0" w:space="0" w:color="auto"/>
            <w:right w:val="none" w:sz="0" w:space="0" w:color="auto"/>
          </w:divBdr>
        </w:div>
        <w:div w:id="1843859938">
          <w:marLeft w:val="640"/>
          <w:marRight w:val="0"/>
          <w:marTop w:val="0"/>
          <w:marBottom w:val="0"/>
          <w:divBdr>
            <w:top w:val="none" w:sz="0" w:space="0" w:color="auto"/>
            <w:left w:val="none" w:sz="0" w:space="0" w:color="auto"/>
            <w:bottom w:val="none" w:sz="0" w:space="0" w:color="auto"/>
            <w:right w:val="none" w:sz="0" w:space="0" w:color="auto"/>
          </w:divBdr>
        </w:div>
      </w:divsChild>
    </w:div>
    <w:div w:id="1867324880">
      <w:bodyDiv w:val="1"/>
      <w:marLeft w:val="0"/>
      <w:marRight w:val="0"/>
      <w:marTop w:val="0"/>
      <w:marBottom w:val="0"/>
      <w:divBdr>
        <w:top w:val="none" w:sz="0" w:space="0" w:color="auto"/>
        <w:left w:val="none" w:sz="0" w:space="0" w:color="auto"/>
        <w:bottom w:val="none" w:sz="0" w:space="0" w:color="auto"/>
        <w:right w:val="none" w:sz="0" w:space="0" w:color="auto"/>
      </w:divBdr>
      <w:divsChild>
        <w:div w:id="1573351635">
          <w:marLeft w:val="640"/>
          <w:marRight w:val="0"/>
          <w:marTop w:val="0"/>
          <w:marBottom w:val="0"/>
          <w:divBdr>
            <w:top w:val="none" w:sz="0" w:space="0" w:color="auto"/>
            <w:left w:val="none" w:sz="0" w:space="0" w:color="auto"/>
            <w:bottom w:val="none" w:sz="0" w:space="0" w:color="auto"/>
            <w:right w:val="none" w:sz="0" w:space="0" w:color="auto"/>
          </w:divBdr>
        </w:div>
        <w:div w:id="1692759898">
          <w:marLeft w:val="640"/>
          <w:marRight w:val="0"/>
          <w:marTop w:val="0"/>
          <w:marBottom w:val="0"/>
          <w:divBdr>
            <w:top w:val="none" w:sz="0" w:space="0" w:color="auto"/>
            <w:left w:val="none" w:sz="0" w:space="0" w:color="auto"/>
            <w:bottom w:val="none" w:sz="0" w:space="0" w:color="auto"/>
            <w:right w:val="none" w:sz="0" w:space="0" w:color="auto"/>
          </w:divBdr>
        </w:div>
      </w:divsChild>
    </w:div>
    <w:div w:id="1892686238">
      <w:bodyDiv w:val="1"/>
      <w:marLeft w:val="0"/>
      <w:marRight w:val="0"/>
      <w:marTop w:val="0"/>
      <w:marBottom w:val="0"/>
      <w:divBdr>
        <w:top w:val="none" w:sz="0" w:space="0" w:color="auto"/>
        <w:left w:val="none" w:sz="0" w:space="0" w:color="auto"/>
        <w:bottom w:val="none" w:sz="0" w:space="0" w:color="auto"/>
        <w:right w:val="none" w:sz="0" w:space="0" w:color="auto"/>
      </w:divBdr>
      <w:divsChild>
        <w:div w:id="259727656">
          <w:marLeft w:val="640"/>
          <w:marRight w:val="0"/>
          <w:marTop w:val="0"/>
          <w:marBottom w:val="0"/>
          <w:divBdr>
            <w:top w:val="none" w:sz="0" w:space="0" w:color="auto"/>
            <w:left w:val="none" w:sz="0" w:space="0" w:color="auto"/>
            <w:bottom w:val="none" w:sz="0" w:space="0" w:color="auto"/>
            <w:right w:val="none" w:sz="0" w:space="0" w:color="auto"/>
          </w:divBdr>
        </w:div>
        <w:div w:id="439301550">
          <w:marLeft w:val="640"/>
          <w:marRight w:val="0"/>
          <w:marTop w:val="0"/>
          <w:marBottom w:val="0"/>
          <w:divBdr>
            <w:top w:val="none" w:sz="0" w:space="0" w:color="auto"/>
            <w:left w:val="none" w:sz="0" w:space="0" w:color="auto"/>
            <w:bottom w:val="none" w:sz="0" w:space="0" w:color="auto"/>
            <w:right w:val="none" w:sz="0" w:space="0" w:color="auto"/>
          </w:divBdr>
        </w:div>
        <w:div w:id="1769814077">
          <w:marLeft w:val="640"/>
          <w:marRight w:val="0"/>
          <w:marTop w:val="0"/>
          <w:marBottom w:val="0"/>
          <w:divBdr>
            <w:top w:val="none" w:sz="0" w:space="0" w:color="auto"/>
            <w:left w:val="none" w:sz="0" w:space="0" w:color="auto"/>
            <w:bottom w:val="none" w:sz="0" w:space="0" w:color="auto"/>
            <w:right w:val="none" w:sz="0" w:space="0" w:color="auto"/>
          </w:divBdr>
        </w:div>
      </w:divsChild>
    </w:div>
    <w:div w:id="1930694645">
      <w:bodyDiv w:val="1"/>
      <w:marLeft w:val="0"/>
      <w:marRight w:val="0"/>
      <w:marTop w:val="0"/>
      <w:marBottom w:val="0"/>
      <w:divBdr>
        <w:top w:val="none" w:sz="0" w:space="0" w:color="auto"/>
        <w:left w:val="none" w:sz="0" w:space="0" w:color="auto"/>
        <w:bottom w:val="none" w:sz="0" w:space="0" w:color="auto"/>
        <w:right w:val="none" w:sz="0" w:space="0" w:color="auto"/>
      </w:divBdr>
      <w:divsChild>
        <w:div w:id="1358893013">
          <w:marLeft w:val="640"/>
          <w:marRight w:val="0"/>
          <w:marTop w:val="0"/>
          <w:marBottom w:val="0"/>
          <w:divBdr>
            <w:top w:val="none" w:sz="0" w:space="0" w:color="auto"/>
            <w:left w:val="none" w:sz="0" w:space="0" w:color="auto"/>
            <w:bottom w:val="none" w:sz="0" w:space="0" w:color="auto"/>
            <w:right w:val="none" w:sz="0" w:space="0" w:color="auto"/>
          </w:divBdr>
        </w:div>
      </w:divsChild>
    </w:div>
    <w:div w:id="1943150505">
      <w:bodyDiv w:val="1"/>
      <w:marLeft w:val="0"/>
      <w:marRight w:val="0"/>
      <w:marTop w:val="0"/>
      <w:marBottom w:val="0"/>
      <w:divBdr>
        <w:top w:val="none" w:sz="0" w:space="0" w:color="auto"/>
        <w:left w:val="none" w:sz="0" w:space="0" w:color="auto"/>
        <w:bottom w:val="none" w:sz="0" w:space="0" w:color="auto"/>
        <w:right w:val="none" w:sz="0" w:space="0" w:color="auto"/>
      </w:divBdr>
    </w:div>
    <w:div w:id="1946764609">
      <w:bodyDiv w:val="1"/>
      <w:marLeft w:val="0"/>
      <w:marRight w:val="0"/>
      <w:marTop w:val="0"/>
      <w:marBottom w:val="0"/>
      <w:divBdr>
        <w:top w:val="none" w:sz="0" w:space="0" w:color="auto"/>
        <w:left w:val="none" w:sz="0" w:space="0" w:color="auto"/>
        <w:bottom w:val="none" w:sz="0" w:space="0" w:color="auto"/>
        <w:right w:val="none" w:sz="0" w:space="0" w:color="auto"/>
      </w:divBdr>
      <w:divsChild>
        <w:div w:id="349064827">
          <w:marLeft w:val="640"/>
          <w:marRight w:val="0"/>
          <w:marTop w:val="0"/>
          <w:marBottom w:val="0"/>
          <w:divBdr>
            <w:top w:val="none" w:sz="0" w:space="0" w:color="auto"/>
            <w:left w:val="none" w:sz="0" w:space="0" w:color="auto"/>
            <w:bottom w:val="none" w:sz="0" w:space="0" w:color="auto"/>
            <w:right w:val="none" w:sz="0" w:space="0" w:color="auto"/>
          </w:divBdr>
        </w:div>
        <w:div w:id="1534685012">
          <w:marLeft w:val="640"/>
          <w:marRight w:val="0"/>
          <w:marTop w:val="0"/>
          <w:marBottom w:val="0"/>
          <w:divBdr>
            <w:top w:val="none" w:sz="0" w:space="0" w:color="auto"/>
            <w:left w:val="none" w:sz="0" w:space="0" w:color="auto"/>
            <w:bottom w:val="none" w:sz="0" w:space="0" w:color="auto"/>
            <w:right w:val="none" w:sz="0" w:space="0" w:color="auto"/>
          </w:divBdr>
        </w:div>
      </w:divsChild>
    </w:div>
    <w:div w:id="1977106891">
      <w:bodyDiv w:val="1"/>
      <w:marLeft w:val="0"/>
      <w:marRight w:val="0"/>
      <w:marTop w:val="0"/>
      <w:marBottom w:val="0"/>
      <w:divBdr>
        <w:top w:val="none" w:sz="0" w:space="0" w:color="auto"/>
        <w:left w:val="none" w:sz="0" w:space="0" w:color="auto"/>
        <w:bottom w:val="none" w:sz="0" w:space="0" w:color="auto"/>
        <w:right w:val="none" w:sz="0" w:space="0" w:color="auto"/>
      </w:divBdr>
    </w:div>
    <w:div w:id="2010987064">
      <w:bodyDiv w:val="1"/>
      <w:marLeft w:val="0"/>
      <w:marRight w:val="0"/>
      <w:marTop w:val="0"/>
      <w:marBottom w:val="0"/>
      <w:divBdr>
        <w:top w:val="none" w:sz="0" w:space="0" w:color="auto"/>
        <w:left w:val="none" w:sz="0" w:space="0" w:color="auto"/>
        <w:bottom w:val="none" w:sz="0" w:space="0" w:color="auto"/>
        <w:right w:val="none" w:sz="0" w:space="0" w:color="auto"/>
      </w:divBdr>
    </w:div>
    <w:div w:id="2021852224">
      <w:bodyDiv w:val="1"/>
      <w:marLeft w:val="0"/>
      <w:marRight w:val="0"/>
      <w:marTop w:val="0"/>
      <w:marBottom w:val="0"/>
      <w:divBdr>
        <w:top w:val="none" w:sz="0" w:space="0" w:color="auto"/>
        <w:left w:val="none" w:sz="0" w:space="0" w:color="auto"/>
        <w:bottom w:val="none" w:sz="0" w:space="0" w:color="auto"/>
        <w:right w:val="none" w:sz="0" w:space="0" w:color="auto"/>
      </w:divBdr>
    </w:div>
    <w:div w:id="2045127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x.han@amsterdamumc.nl"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github.com/AMC-LAEB/flu-antiviral-stockpile"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e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cdc.gov/flu/weekly/fluviewinteractive.ht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 Id="rId30"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D00CA6C-A29C-9E47-8D41-88149F5C9823}">
  <we:reference id="wa104382081" version="1.55.1.0" store="en-GB" storeType="OMEX"/>
  <we:alternateReferences>
    <we:reference id="wa104382081" version="1.55.1.0" store="en-GB" storeType="OMEX"/>
  </we:alternateReferences>
  <we:properties>
    <we:property name="MENDELEY_CITATIONS" value="[{&quot;citationID&quot;:&quot;MENDELEY_CITATION_020bf8a2-dc7a-4977-9f6c-4708e3ab596a&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&quot;,&quot;citationItems&quot;:[{&quot;id&quot;:&quot;a3669bdb-2281-3d80-9381-1e4a9c614d31&quot;,&quot;itemData&quot;:{&quot;type&quot;:&quot;article-journal&quot;,&quot;id&quot;:&quot;a3669bdb-2281-3d80-9381-1e4a9c614d31&quot;,&quot;title&quot;:&quot;Estimating the effects of non-pharmaceutical interventions on COVID-19 in Europe&quot;,&quot;author&quot;:[{&quot;family&quot;:&quot;Flaxman&quot;,&quot;given&quot;:&quot;Seth&quot;,&quot;parse-names&quot;:false,&quot;dropping-particle&quot;:&quot;&quot;,&quot;non-dropping-particle&quot;:&quot;&quot;},{&quot;family&quot;:&quot;Mishra&quot;,&quot;given&quot;:&quot;Swapnil&quot;,&quot;parse-names&quot;:false,&quot;dropping-particle&quot;:&quot;&quot;,&quot;non-dropping-particle&quot;:&quot;&quot;},{&quot;family&quot;:&quot;Gandy&quot;,&quot;given&quot;:&quot;Axel&quot;,&quot;parse-names&quot;:false,&quot;dropping-particle&quot;:&quot;&quot;,&quot;non-dropping-particle&quot;:&quot;&quot;},{&quot;family&quot;:&quot;Unwin&quot;,&quot;given&quot;:&quot;H. Juliette T.&quot;,&quot;parse-names&quot;:false,&quot;dropping-particle&quot;:&quot;&quot;,&quot;non-dropping-particle&quot;:&quot;&quot;},{&quot;family&quot;:&quot;Mellan&quot;,&quot;given&quot;:&quot;Thomas A.&quot;,&quot;parse-names&quot;:false,&quot;dropping-particle&quot;:&quot;&quot;,&quot;non-dropping-particle&quot;:&quot;&quot;},{&quot;family&quot;:&quot;Coupland&quot;,&quot;given&quot;:&quot;Helen&quot;,&quot;parse-names&quot;:false,&quot;dropping-particle&quot;:&quot;&quot;,&quot;non-dropping-particle&quot;:&quot;&quot;},{&quot;family&quot;:&quot;Whittaker&quot;,&quot;given&quot;:&quot;Charles&quot;,&quot;parse-names&quot;:false,&quot;dropping-particle&quot;:&quot;&quot;,&quot;non-dropping-particle&quot;:&quot;&quot;},{&quot;family&quot;:&quot;Zhu&quot;,&quot;given&quot;:&quot;Harrison&quot;,&quot;parse-names&quot;:false,&quot;dropping-particle&quot;:&quot;&quot;,&quot;non-dropping-particle&quot;:&quot;&quot;},{&quot;family&quot;:&quot;Berah&quot;,&quot;given&quot;:&quot;Tresnia&quot;,&quot;parse-names&quot;:false,&quot;dropping-particle&quot;:&quot;&quot;,&quot;non-dropping-particle&quot;:&quot;&quot;},{&quot;family&quot;:&quot;Eaton&quot;,&quot;given&quot;:&quot;Jeffrey W.&quot;,&quot;parse-names&quot;:false,&quot;dropping-particle&quot;:&quot;&quot;,&quot;non-dropping-particle&quot;:&quot;&quot;},{&quot;family&quot;:&quot;Monod&quot;,&quot;given&quot;:&quot;Mélodie&quot;,&quot;parse-names&quot;:false,&quot;dropping-particle&quot;:&quot;&quot;,&quot;non-dropping-particle&quot;:&quot;&quot;},{&quot;family&quot;:&quot;Ghani&quot;,&quot;given&quot;:&quot;Azra C.&quot;,&quot;parse-names&quot;:false,&quot;dropping-particle&quot;:&quot;&quot;,&quot;non-dropping-particle&quot;:&quot;&quot;},{&quot;family&quot;:&quot;Donnelly&quot;,&quot;given&quot;:&quot;Christl A.&quot;,&quot;parse-names&quot;:false,&quot;dropping-particle&quot;:&quot;&quot;,&quot;non-dropping-particle&quot;:&quot;&quot;},{&quot;family&quot;:&quot;Riley&quot;,&quot;given&quot;:&quot;Steven&quot;,&quot;parse-names&quot;:false,&quot;dropping-particle&quot;:&quot;&quot;,&quot;non-dropping-particle&quot;:&quot;&quot;},{&quot;family&quot;:&quot;Vollmer&quot;,&quot;given&quot;:&quot;Michaela A. C.&quot;,&quot;parse-names&quot;:false,&quot;dropping-particle&quot;:&quot;&quot;,&quot;non-dropping-particle&quot;:&quot;&quot;},{&quot;family&quot;:&quot;Ferguson&quot;,&quot;given&quot;:&quot;Neil M.&quot;,&quot;parse-names&quot;:false,&quot;dropping-particle&quot;:&quot;&quot;,&quot;non-dropping-particle&quot;:&quot;&quot;},{&quot;family&quot;:&quot;Okell&quot;,&quot;given&quot;:&quot;Lucy C.&quot;,&quot;parse-names&quot;:false,&quot;dropping-particle&quot;:&quot;&quot;,&quot;non-dropping-particle&quot;:&quot;&quot;},{&quot;family&quot;:&quot;Bhatt&quot;,&quot;given&quot;:&quot;Samir&quot;,&quot;parse-names&quot;:false,&quot;dropping-particle&quot;:&quot;&quot;,&quot;non-dropping-particle&quot;:&quot;&quot;}],&quot;container-title&quot;:&quot;Nature 2020 584:7820&quot;,&quot;accessed&quot;:{&quot;date-parts&quot;:[[2021,6,5]]},&quot;DOI&quot;:&quot;10.1038/s41586-020-2405-7&quot;,&quot;ISSN&quot;:&quot;1476-4687&quot;,&quot;URL&quot;:&quot;https://www.nature.com/articles/s41586-020-2405-7&quot;,&quot;issued&quot;:{&quot;date-parts&quot;:[[2020,6,8]]},&quot;page&quot;:&quot;257-261&quot;,&quot;abstract&quot;:&quot;Following the detection of the new coronavirus1 severe acute respiratory syndrome coronavirus 2 (SARS-CoV-2) and its spread outside of China, Europe has experienced large epidemics of coronavirus disease 2019 (COVID-19). In response, many European countries have implemented non-pharmaceutical interventions, such as the closure of schools and national lockdowns. Here we study the effect of major interventions across 11 European countries for the period from the start of the COVID-19 epidemics in February 2020 until 4 May 2020, when lockdowns started to be lifted. Our model calculates backwards from observed deaths to estimate transmission that occurred several weeks previously, allowing for the time lag between infection and death. We use partial pooling of information between countries, with both individual and shared effects on the time-varying reproduction number (Rt). Pooling allows for more information to be used, helps to overcome idiosyncrasies in the data and enables more-timely estimates. Our model relies on fixed estimates of some epidemiological parameters (such as the infection fatality rate), does not include importation or subnational variation and assumes that changes in Rt are an immediate response to interventions rather than gradual changes in behaviour. Amidst the ongoing pandemic, we rely on death data that are incomplete, show systematic biases in reporting and are subject to future consolidation. We estimate that—for all of the countries we consider here—current interventions have been sufficient to drive Rt below 1 (probability Rt &lt; 1.0 is greater than 99%) and achieve control of the epidemic. We estimate that across all 11 countries combined, between 12 and 15 million individuals were infected with SARS-CoV-2 up to 4 May 2020, representing between 3.2% and 4.0% of the population. Our results show that major non-pharmaceutical interventions—and lockdowns in particular—have had a large effect on reducing transmission. Continued intervention should be considered to keep transmission of SARS-CoV-2 under control. Modelling based on pooled data from 11 European countries indicates that non-pharmaceutical interventions—particularly lockdowns—have had a marked effect on SARS-CoV-2 transmission, driving the reproduction number of the infection below 1.&quot;,&quot;publisher&quot;:&quot;Nature Publishing Group&quot;,&quot;issue&quot;:&quot;7820&quot;,&quot;volume&quot;:&quot;584&quot;,&quot;container-title-short&quot;:&quot;&quot;},&quot;isTemporary&quot;:false}]},{&quot;citationID&quot;:&quot;MENDELEY_CITATION_1d000261-5250-48b5-bdc6-fdc6b5891915&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&quot;,&quot;citationItems&quot;:[{&quot;id&quot;:&quot;3e140bf6-92a7-3dbf-afb5-616c70564800&quot;,&quot;itemData&quot;:{&quot;type&quot;:&quot;article-journal&quot;,&quot;id&quot;:&quot;3e140bf6-92a7-3dbf-afb5-616c70564800&quot;,&quot;title&quot;:&quot;Challenges in the case-based surveillance of infectious diseases&quot;,&quot;author&quot;:[{&quot;family&quot;:&quot;Eales&quot;,&quot;given&quot;:&quot;Oliver&quot;,&quot;parse-names&quot;:false,&quot;dropping-particle&quot;:&quot;&quot;,&quot;non-dropping-particle&quot;:&quot;&quot;},{&quot;family&quot;:&quot;McCaw&quot;,&quot;given&quot;:&quot;James M&quot;,&quot;parse-names&quot;:false,&quot;dropping-particle&quot;:&quot;&quot;,&quot;non-dropping-particle&quot;:&quot;&quot;},{&quot;family&quot;:&quot;Shearer&quot;,&quot;given&quot;:&quot;Freya M&quot;,&quot;parse-names&quot;:false,&quot;dropping-particle&quot;:&quot;&quot;,&quot;non-dropping-particle&quot;:&quot;&quot;}],&quot;container-title&quot;:&quot;medRxiv&quot;,&quot;accessed&quot;:{&quot;date-parts&quot;:[[2023,12,22]]},&quot;DOI&quot;:&quot;10.1101/2023.12.19.23300224&quot;,&quot;URL&quot;:&quot;https://www.medrxiv.org/content/10.1101/2023.12.19.23300224v1&quot;,&quot;issued&quot;:{&quot;date-parts&quot;:[[2023,12,19]]},&quot;page&quot;:&quot;2023.12.19.23300224&quot;,&quot;abstract&quot;:&quot;To effectively inform infectious disease control strategies, accurate knowledge of the pathogen's transmission dynamics is required. The infection incidence, which describes the number of new infections in a given time interval (e.g., per day or per week), is fundamental to understanding transmission dynamics, and can be used to estimate the time-varying reproduction number and the severity (e.g., the infection fatality ratio) of a disease. The timings of infections are rarely known and so estimates of the infection incidence often rely on measurements of other quantities amenable to surveillance. Case-based surveillance, in which infected individuals are identified by a positive test, is the predominant form of surveillance for many pathogens, and was used extensively during the COVID-19 pandemic. However, there can be many biases present in case-based surveillance indicators due to, for example, test sensitivity and specificity, changing testing behaviours, and the co-circulation of pathogens with similar symptom profiles. Without a full understanding of the process by which surveillance systems generate data, robust estimates of the infection incidence, time-varying reproduction number, and severity based on these data cannot be made. Here we develop a mathematical description of case-based surveillance of infectious diseases. By considering realistic epidemiological parameters and situations, we demonstrate potential biases in common surveillance indicators based on case-based surveillance data. The description is highly general and could be applied to a diverse set of pathogens and situations. The mathematical description could be used to inform inference of infection incidence using existing data, with a full understanding of where bias and uncertainty will be present in any such analysis. Future surveillance strategies could be designed to minimise these sources of bias and uncertainty, providing more accurate estimates of a pathogen's transmission dynamics and, ultimately, more targeted application of public health measures.\n\n### Competing Interest Statement\n\nThe authors have declared no competing interest.\n\n### Funding Statement\n\nThis study did not receive any funding\n\n### Author Declarations\n\nI confirm all relevant ethical guidelines have been followed, and any necessary IRB and/or ethics committee approvals have been obtained.\n\nYes\n\nI confirm that all necessary patient/participant consent has been obtained and the appropriate institutional forms have been archived, and that any patient/participant/sample identifiers included were not known to anyone (e.g., hospital staff, patients or participants themselves) outside the research group so cannot be used to identify individuals.\n\nYes\n\nI understand that all clinical trials and any other prospective interventional studies must be registered with an ICMJE-approved registry, such as ClinicalTrials.gov. I confirm that any such study reported in the manuscript has been registered and the trial registration ID is provided (note: if posting a prospective study registered retrospectively, please provide a statement in the trial ID field explaining why the study was not registered in advance).\n\nYes\n\nI have followed all appropriate research reporting guidelines, such as any relevant EQUATOR Network research reporting checklist(s) and other pertinent material, if applicable.\n\nYes\n\nThis is a simulation study and so there is no data.&quot;,&quot;publisher&quot;:&quot;Cold Spring Harbor Laboratory Press&quot;,&quot;container-title-short&quot;:&quot;&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3D4B90-F1A1-F34B-AA33-2C917A0BC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54</Pages>
  <Words>62767</Words>
  <Characters>357776</Characters>
  <Application>Microsoft Office Word</Application>
  <DocSecurity>0</DocSecurity>
  <Lines>2981</Lines>
  <Paragraphs>839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Alvin Han</dc:creator>
  <cp:keywords/>
  <dc:description/>
  <cp:lastModifiedBy>Alvin Han</cp:lastModifiedBy>
  <cp:revision>112</cp:revision>
  <dcterms:created xsi:type="dcterms:W3CDTF">2025-06-17T11:43:00Z</dcterms:created>
  <dcterms:modified xsi:type="dcterms:W3CDTF">2025-06-18T09:19:00Z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id="TvUFAEUm"/&gt;&lt;style id="http://www.zotero.org/styles/elife" hasBibliography="1" bibliographyStyleHasBeenSet="1"/&gt;&lt;prefs&gt;&lt;pref name="fieldType" value="Field"/&gt;&lt;pref name="automaticJournalAbbreviatio</vt:lpwstr>
  </property>
  <property fmtid="{D5CDD505-2E9C-101B-9397-08002B2CF9AE}" pid="3" name="ZOTERO_PREF_2">
    <vt:lpwstr>ns" value="true"/&gt;&lt;pref name="delayCitationUpdates" value="true"/&gt;&lt;pref name="dontAskDelayCitationUpdates" value="true"/&gt;&lt;/prefs&gt;&lt;/data&gt;</vt:lpwstr>
  </property>
</Properties>
</file>