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032C945" w14:textId="69C06D25" w:rsidR="00D648BC" w:rsidRDefault="00D648BC" w:rsidP="00D648BC">
      <w:pPr>
        <w:rPr>
          <w:rFonts w:ascii="Segoe UI" w:eastAsia="Times New Roman" w:hAnsi="Segoe UI" w:cs="Segoe UI"/>
          <w:color w:val="000000"/>
          <w:sz w:val="23"/>
          <w:szCs w:val="23"/>
          <w:shd w:val="clear" w:color="auto" w:fill="FFFFFF"/>
        </w:rPr>
      </w:pPr>
      <w:r w:rsidRPr="00D648BC">
        <w:rPr>
          <w:rFonts w:ascii="Segoe UI" w:eastAsia="Times New Roman" w:hAnsi="Segoe UI" w:cs="Segoe UI"/>
          <w:color w:val="4472C4" w:themeColor="accent1"/>
          <w:sz w:val="23"/>
          <w:szCs w:val="23"/>
          <w:shd w:val="clear" w:color="auto" w:fill="FFFFFF"/>
        </w:rPr>
        <w:t>Editor’s and reviewer’s comments in blue;</w:t>
      </w:r>
      <w:r>
        <w:rPr>
          <w:rFonts w:ascii="Segoe UI" w:eastAsia="Times New Roman" w:hAnsi="Segoe UI" w:cs="Segoe UI"/>
          <w:color w:val="000000"/>
          <w:sz w:val="23"/>
          <w:szCs w:val="23"/>
          <w:shd w:val="clear" w:color="auto" w:fill="FFFFFF"/>
        </w:rPr>
        <w:t xml:space="preserve"> Response in black</w:t>
      </w:r>
    </w:p>
    <w:p w14:paraId="631D3EA3" w14:textId="77777777" w:rsidR="00D648BC" w:rsidRDefault="00D648BC" w:rsidP="00D648BC">
      <w:pPr>
        <w:rPr>
          <w:rFonts w:ascii="Segoe UI" w:eastAsia="Times New Roman" w:hAnsi="Segoe UI" w:cs="Segoe UI"/>
          <w:color w:val="000000"/>
          <w:sz w:val="23"/>
          <w:szCs w:val="23"/>
          <w:shd w:val="clear" w:color="auto" w:fill="FFFFFF"/>
        </w:rPr>
      </w:pPr>
    </w:p>
    <w:p w14:paraId="2914AA76" w14:textId="176043FF" w:rsidR="00D648BC" w:rsidRPr="00D648BC" w:rsidRDefault="00D648BC" w:rsidP="00D648BC">
      <w:pPr>
        <w:rPr>
          <w:rFonts w:ascii="Segoe UI" w:eastAsia="Times New Roman" w:hAnsi="Segoe UI" w:cs="Segoe UI"/>
          <w:color w:val="4472C4" w:themeColor="accent1"/>
          <w:sz w:val="23"/>
          <w:szCs w:val="23"/>
          <w:shd w:val="clear" w:color="auto" w:fill="FFFFFF"/>
        </w:rPr>
      </w:pPr>
      <w:r w:rsidRPr="00D648BC">
        <w:rPr>
          <w:rFonts w:ascii="Segoe UI" w:eastAsia="Times New Roman" w:hAnsi="Segoe UI" w:cs="Segoe UI"/>
          <w:color w:val="4472C4" w:themeColor="accent1"/>
          <w:sz w:val="23"/>
          <w:szCs w:val="23"/>
          <w:shd w:val="clear" w:color="auto" w:fill="FFFFFF"/>
        </w:rPr>
        <w:t>Editor Comments:</w:t>
      </w:r>
      <w:r w:rsidRPr="00D648BC">
        <w:rPr>
          <w:rFonts w:ascii="Segoe UI" w:eastAsia="Times New Roman" w:hAnsi="Segoe UI" w:cs="Segoe UI"/>
          <w:color w:val="4472C4" w:themeColor="accent1"/>
          <w:sz w:val="23"/>
          <w:szCs w:val="23"/>
        </w:rPr>
        <w:br/>
      </w:r>
      <w:r w:rsidRPr="00D648BC">
        <w:rPr>
          <w:rFonts w:ascii="Segoe UI" w:eastAsia="Times New Roman" w:hAnsi="Segoe UI" w:cs="Segoe UI"/>
          <w:color w:val="4472C4" w:themeColor="accent1"/>
          <w:sz w:val="23"/>
          <w:szCs w:val="23"/>
          <w:shd w:val="clear" w:color="auto" w:fill="FFFFFF"/>
        </w:rPr>
        <w:t>Please, carefully address the reviewer's (remaining) concern.</w:t>
      </w:r>
      <w:r w:rsidRPr="00D648BC">
        <w:rPr>
          <w:rFonts w:ascii="Segoe UI" w:eastAsia="Times New Roman" w:hAnsi="Segoe UI" w:cs="Segoe UI"/>
          <w:color w:val="4472C4" w:themeColor="accent1"/>
          <w:sz w:val="23"/>
          <w:szCs w:val="23"/>
        </w:rPr>
        <w:br/>
      </w:r>
      <w:r w:rsidRPr="00D648BC">
        <w:rPr>
          <w:rFonts w:ascii="Segoe UI" w:eastAsia="Times New Roman" w:hAnsi="Segoe UI" w:cs="Segoe UI"/>
          <w:color w:val="4472C4" w:themeColor="accent1"/>
          <w:sz w:val="23"/>
          <w:szCs w:val="23"/>
        </w:rPr>
        <w:br/>
      </w:r>
      <w:r w:rsidRPr="00D648BC">
        <w:rPr>
          <w:rFonts w:ascii="Segoe UI" w:eastAsia="Times New Roman" w:hAnsi="Segoe UI" w:cs="Segoe UI"/>
          <w:color w:val="4472C4" w:themeColor="accent1"/>
          <w:sz w:val="23"/>
          <w:szCs w:val="23"/>
          <w:shd w:val="clear" w:color="auto" w:fill="FFFFFF"/>
        </w:rPr>
        <w:t>Editorial Board Member Comments:</w:t>
      </w:r>
      <w:r w:rsidRPr="00D648BC">
        <w:rPr>
          <w:rFonts w:ascii="Segoe UI" w:eastAsia="Times New Roman" w:hAnsi="Segoe UI" w:cs="Segoe UI"/>
          <w:color w:val="4472C4" w:themeColor="accent1"/>
          <w:sz w:val="23"/>
          <w:szCs w:val="23"/>
        </w:rPr>
        <w:br/>
      </w:r>
      <w:r w:rsidRPr="00D648BC">
        <w:rPr>
          <w:rFonts w:ascii="Segoe UI" w:eastAsia="Times New Roman" w:hAnsi="Segoe UI" w:cs="Segoe UI"/>
          <w:color w:val="4472C4" w:themeColor="accent1"/>
          <w:sz w:val="23"/>
          <w:szCs w:val="23"/>
          <w:shd w:val="clear" w:color="auto" w:fill="FFFFFF"/>
        </w:rPr>
        <w:t>Please, tone down overconfident conclusions as requested by reviewer #2.</w:t>
      </w:r>
      <w:r w:rsidRPr="00D648BC">
        <w:rPr>
          <w:rFonts w:ascii="Segoe UI" w:eastAsia="Times New Roman" w:hAnsi="Segoe UI" w:cs="Segoe UI"/>
          <w:color w:val="4472C4" w:themeColor="accent1"/>
          <w:sz w:val="23"/>
          <w:szCs w:val="23"/>
        </w:rPr>
        <w:br/>
      </w:r>
      <w:r w:rsidRPr="00D648BC">
        <w:rPr>
          <w:rFonts w:ascii="Segoe UI" w:eastAsia="Times New Roman" w:hAnsi="Segoe UI" w:cs="Segoe UI"/>
          <w:color w:val="4472C4" w:themeColor="accent1"/>
          <w:sz w:val="23"/>
          <w:szCs w:val="23"/>
        </w:rPr>
        <w:br/>
      </w:r>
      <w:r w:rsidRPr="00D648BC">
        <w:rPr>
          <w:rFonts w:ascii="Segoe UI" w:eastAsia="Times New Roman" w:hAnsi="Segoe UI" w:cs="Segoe UI"/>
          <w:color w:val="4472C4" w:themeColor="accent1"/>
          <w:sz w:val="23"/>
          <w:szCs w:val="23"/>
          <w:shd w:val="clear" w:color="auto" w:fill="FFFFFF"/>
        </w:rPr>
        <w:t>Changes made by authors will be re-reviewed by reviewer #2</w:t>
      </w:r>
    </w:p>
    <w:p w14:paraId="3BC0E019" w14:textId="3A9E09C3" w:rsidR="001F477A" w:rsidRPr="00D648BC" w:rsidRDefault="001F477A" w:rsidP="00D648BC">
      <w:pPr>
        <w:rPr>
          <w:color w:val="4472C4" w:themeColor="accent1"/>
        </w:rPr>
      </w:pPr>
    </w:p>
    <w:p w14:paraId="5BE94A44" w14:textId="46E67DCD" w:rsidR="00D648BC" w:rsidRPr="00D648BC" w:rsidRDefault="00D648BC" w:rsidP="00D648BC">
      <w:pPr>
        <w:rPr>
          <w:color w:val="4472C4" w:themeColor="accent1"/>
        </w:rPr>
      </w:pPr>
      <w:r w:rsidRPr="00D648BC">
        <w:rPr>
          <w:color w:val="4472C4" w:themeColor="accent1"/>
        </w:rPr>
        <w:t xml:space="preserve">Reviewer #2 </w:t>
      </w:r>
    </w:p>
    <w:p w14:paraId="577B7BFE" w14:textId="2A900C39" w:rsidR="00D648BC" w:rsidRPr="00D648BC" w:rsidRDefault="00D648BC" w:rsidP="00D648BC">
      <w:pPr>
        <w:rPr>
          <w:rFonts w:ascii="Times New Roman" w:eastAsia="Times New Roman" w:hAnsi="Times New Roman" w:cs="Times New Roman"/>
        </w:rPr>
      </w:pPr>
      <w:r w:rsidRPr="00D648BC">
        <w:rPr>
          <w:rFonts w:ascii="Segoe UI" w:eastAsia="Times New Roman" w:hAnsi="Segoe UI" w:cs="Segoe UI"/>
          <w:color w:val="4472C4" w:themeColor="accent1"/>
          <w:sz w:val="23"/>
          <w:szCs w:val="23"/>
          <w:shd w:val="clear" w:color="auto" w:fill="FFFFFF"/>
        </w:rPr>
        <w:t>The manuscript is improved, and I think the authors for their detailed replies to my comments. I am concerned that my first and main concern about the reliability of the conclusions has not been fully addressed.</w:t>
      </w:r>
      <w:r w:rsidRPr="00D648BC">
        <w:rPr>
          <w:rFonts w:ascii="Segoe UI" w:eastAsia="Times New Roman" w:hAnsi="Segoe UI" w:cs="Segoe UI"/>
          <w:color w:val="4472C4" w:themeColor="accent1"/>
          <w:sz w:val="23"/>
          <w:szCs w:val="23"/>
        </w:rPr>
        <w:br/>
      </w:r>
      <w:r w:rsidRPr="00D648BC">
        <w:rPr>
          <w:rFonts w:ascii="Segoe UI" w:eastAsia="Times New Roman" w:hAnsi="Segoe UI" w:cs="Segoe UI"/>
          <w:color w:val="4472C4" w:themeColor="accent1"/>
          <w:sz w:val="23"/>
          <w:szCs w:val="23"/>
        </w:rPr>
        <w:br/>
      </w:r>
      <w:r w:rsidRPr="00D648BC">
        <w:rPr>
          <w:rFonts w:ascii="Segoe UI" w:eastAsia="Times New Roman" w:hAnsi="Segoe UI" w:cs="Segoe UI"/>
          <w:color w:val="4472C4" w:themeColor="accent1"/>
          <w:sz w:val="23"/>
          <w:szCs w:val="23"/>
          <w:shd w:val="clear" w:color="auto" w:fill="FFFFFF"/>
        </w:rPr>
        <w:t>The authors describe in their manuscript and reply to reviewers that uncertainty is taken into account via, e.g., fitting models by ML to raw data, testing different functional forms for the infectiousness model, and performing some sensitivity analysis. These are important steps, but I don't think the full meaning of my concern was properly conveyed --- it's important to simulate from the range of uncertainty in the ML estimates, and not only the likeliest values themselves. It does not appear the authors have done this, e.g., in the supplement</w:t>
      </w:r>
      <w:r w:rsidRPr="00D648BC">
        <w:rPr>
          <w:rFonts w:ascii="Segoe UI" w:eastAsia="Times New Roman" w:hAnsi="Segoe UI" w:cs="Segoe UI"/>
          <w:color w:val="4472C4" w:themeColor="accent1"/>
          <w:sz w:val="23"/>
          <w:szCs w:val="23"/>
        </w:rPr>
        <w:br/>
      </w:r>
      <w:r w:rsidRPr="00D648BC">
        <w:rPr>
          <w:rFonts w:ascii="Segoe UI" w:eastAsia="Times New Roman" w:hAnsi="Segoe UI" w:cs="Segoe UI"/>
          <w:color w:val="4472C4" w:themeColor="accent1"/>
          <w:sz w:val="23"/>
          <w:szCs w:val="23"/>
        </w:rPr>
        <w:br/>
      </w:r>
      <w:r w:rsidRPr="00D648BC">
        <w:rPr>
          <w:rFonts w:ascii="Segoe UI" w:eastAsia="Times New Roman" w:hAnsi="Segoe UI" w:cs="Segoe UI"/>
          <w:color w:val="4472C4" w:themeColor="accent1"/>
          <w:sz w:val="23"/>
          <w:szCs w:val="23"/>
          <w:shd w:val="clear" w:color="auto" w:fill="FFFFFF"/>
        </w:rPr>
        <w:t>"We then applied the best-fit parameters to the within-host and infectiousness models to estimate the infectiousness ω of infected individuals..."</w:t>
      </w:r>
      <w:r w:rsidRPr="00D648BC">
        <w:rPr>
          <w:rFonts w:ascii="Segoe UI" w:eastAsia="Times New Roman" w:hAnsi="Segoe UI" w:cs="Segoe UI"/>
          <w:color w:val="4472C4" w:themeColor="accent1"/>
          <w:sz w:val="23"/>
          <w:szCs w:val="23"/>
        </w:rPr>
        <w:br/>
      </w:r>
      <w:r w:rsidRPr="00D648BC">
        <w:rPr>
          <w:rFonts w:ascii="Segoe UI" w:eastAsia="Times New Roman" w:hAnsi="Segoe UI" w:cs="Segoe UI"/>
          <w:color w:val="4472C4" w:themeColor="accent1"/>
          <w:sz w:val="23"/>
          <w:szCs w:val="23"/>
        </w:rPr>
        <w:br/>
      </w:r>
      <w:r w:rsidRPr="00D648BC">
        <w:rPr>
          <w:rFonts w:ascii="Segoe UI" w:eastAsia="Times New Roman" w:hAnsi="Segoe UI" w:cs="Segoe UI"/>
          <w:color w:val="4472C4" w:themeColor="accent1"/>
          <w:sz w:val="23"/>
          <w:szCs w:val="23"/>
          <w:shd w:val="clear" w:color="auto" w:fill="FFFFFF"/>
        </w:rPr>
        <w:t>Even the smallest data sets have best-fit parameters. My bottom-line concern is that the little data underlying oseltamivir</w:t>
      </w:r>
      <w:r w:rsidR="0057602E">
        <w:rPr>
          <w:rFonts w:ascii="Segoe UI" w:eastAsia="Times New Roman" w:hAnsi="Segoe UI" w:cs="Segoe UI"/>
          <w:color w:val="4472C4" w:themeColor="accent1"/>
          <w:sz w:val="23"/>
          <w:szCs w:val="23"/>
          <w:shd w:val="clear" w:color="auto" w:fill="FFFFFF"/>
        </w:rPr>
        <w:t xml:space="preserve"> </w:t>
      </w:r>
      <w:r w:rsidR="0057602E">
        <w:rPr>
          <w:rFonts w:ascii="Segoe UI" w:eastAsia="Times New Roman" w:hAnsi="Segoe UI" w:cs="Segoe UI"/>
          <w:color w:val="000000" w:themeColor="text1"/>
          <w:sz w:val="23"/>
          <w:szCs w:val="23"/>
          <w:shd w:val="clear" w:color="auto" w:fill="FFFFFF"/>
        </w:rPr>
        <w:t>[</w:t>
      </w:r>
      <w:r w:rsidR="0057602E" w:rsidRPr="0057602E">
        <w:rPr>
          <w:rFonts w:ascii="Segoe UI" w:eastAsia="Times New Roman" w:hAnsi="Segoe UI" w:cs="Segoe UI"/>
          <w:i/>
          <w:color w:val="000000" w:themeColor="text1"/>
          <w:sz w:val="23"/>
          <w:szCs w:val="23"/>
          <w:shd w:val="clear" w:color="auto" w:fill="FFFFFF"/>
        </w:rPr>
        <w:t>sic</w:t>
      </w:r>
      <w:r w:rsidR="0057602E">
        <w:rPr>
          <w:rFonts w:ascii="Segoe UI" w:eastAsia="Times New Roman" w:hAnsi="Segoe UI" w:cs="Segoe UI"/>
          <w:color w:val="000000" w:themeColor="text1"/>
          <w:sz w:val="23"/>
          <w:szCs w:val="23"/>
          <w:shd w:val="clear" w:color="auto" w:fill="FFFFFF"/>
        </w:rPr>
        <w:t>,</w:t>
      </w:r>
      <w:r w:rsidR="0057602E" w:rsidRPr="0057602E">
        <w:rPr>
          <w:rFonts w:ascii="Segoe UI" w:eastAsia="Times New Roman" w:hAnsi="Segoe UI" w:cs="Segoe UI"/>
          <w:color w:val="000000" w:themeColor="text1"/>
          <w:sz w:val="23"/>
          <w:szCs w:val="23"/>
          <w:shd w:val="clear" w:color="auto" w:fill="FFFFFF"/>
        </w:rPr>
        <w:t xml:space="preserve"> </w:t>
      </w:r>
      <w:proofErr w:type="spellStart"/>
      <w:r w:rsidR="0057602E" w:rsidRPr="0057602E">
        <w:rPr>
          <w:rFonts w:ascii="Segoe UI" w:eastAsia="Times New Roman" w:hAnsi="Segoe UI" w:cs="Segoe UI"/>
          <w:color w:val="000000" w:themeColor="text1"/>
          <w:sz w:val="23"/>
          <w:szCs w:val="23"/>
          <w:shd w:val="clear" w:color="auto" w:fill="FFFFFF"/>
        </w:rPr>
        <w:t>baloxavir</w:t>
      </w:r>
      <w:proofErr w:type="spellEnd"/>
      <w:r w:rsidR="0057602E">
        <w:rPr>
          <w:rFonts w:ascii="Segoe UI" w:eastAsia="Times New Roman" w:hAnsi="Segoe UI" w:cs="Segoe UI"/>
          <w:color w:val="000000" w:themeColor="text1"/>
          <w:sz w:val="23"/>
          <w:szCs w:val="23"/>
          <w:shd w:val="clear" w:color="auto" w:fill="FFFFFF"/>
        </w:rPr>
        <w:t>]</w:t>
      </w:r>
      <w:r w:rsidRPr="00D648BC">
        <w:rPr>
          <w:rFonts w:ascii="Segoe UI" w:eastAsia="Times New Roman" w:hAnsi="Segoe UI" w:cs="Segoe UI"/>
          <w:color w:val="4472C4" w:themeColor="accent1"/>
          <w:sz w:val="23"/>
          <w:szCs w:val="23"/>
          <w:shd w:val="clear" w:color="auto" w:fill="FFFFFF"/>
        </w:rPr>
        <w:t xml:space="preserve"> have led to overconfident conclusions about its transmission reduction potential.</w:t>
      </w:r>
    </w:p>
    <w:p w14:paraId="13750F2C" w14:textId="16282492" w:rsidR="00D648BC" w:rsidRDefault="00D648BC" w:rsidP="00D648BC"/>
    <w:p w14:paraId="7BBBF1BD" w14:textId="0B725F06" w:rsidR="0057602E" w:rsidRDefault="0057602E" w:rsidP="00D648BC">
      <w:r>
        <w:t xml:space="preserve">We thank the reviewer </w:t>
      </w:r>
      <w:r w:rsidR="00664B26">
        <w:t>for</w:t>
      </w:r>
      <w:r>
        <w:t xml:space="preserve"> their comment</w:t>
      </w:r>
      <w:r w:rsidR="001F351A">
        <w:t>s</w:t>
      </w:r>
      <w:r>
        <w:t>. We have now accounted for the variability observed in Hayden et al (2018) explicitly by performing Bayesian posterior sampling of the within-host parameters</w:t>
      </w:r>
      <w:r w:rsidR="001F351A">
        <w:t xml:space="preserve">. We have also toned down our conclusions in the Abstract and Discussion.  </w:t>
      </w:r>
      <w:r>
        <w:t xml:space="preserve"> </w:t>
      </w:r>
    </w:p>
    <w:p w14:paraId="514D1971" w14:textId="77777777" w:rsidR="0057602E" w:rsidRDefault="0057602E" w:rsidP="00D648BC"/>
    <w:p w14:paraId="1D0FBFBF" w14:textId="447A991E" w:rsidR="00D648BC" w:rsidRDefault="0057602E" w:rsidP="00D648BC">
      <w:r>
        <w:t xml:space="preserve">Results, line </w:t>
      </w:r>
      <w:r w:rsidR="00B9286E">
        <w:t>193</w:t>
      </w:r>
      <w:r>
        <w:t>: “</w:t>
      </w:r>
      <w:r w:rsidR="00F051BF" w:rsidRPr="00F051BF">
        <w:rPr>
          <w:i/>
          <w:lang w:val="en-US"/>
        </w:rPr>
        <w:t xml:space="preserve">First, our deterministic modelling framework estimated the mean impact and demand of antiviral distribution and in doing so, we had generated maximum likelihood estimates of within-host parameters based on clinical trial data </w:t>
      </w:r>
      <w:r w:rsidR="00F051BF" w:rsidRPr="00F051BF">
        <w:rPr>
          <w:i/>
          <w:lang w:val="en-US"/>
        </w:rPr>
        <w:fldChar w:fldCharType="begin"/>
      </w:r>
      <w:r w:rsidR="00F051BF" w:rsidRPr="00F051BF">
        <w:rPr>
          <w:i/>
          <w:lang w:val="en-US"/>
        </w:rPr>
        <w:instrText xml:space="preserve"> ADDIN ZOTERO_ITEM CSL_CITATION {"citationID":"OJRjzhhB","properties":{"formattedCitation":"(6)","plainCitation":"(6)","noteIndex":0},"citationItems":[{"id":9,"uris":["http://zotero.org/users/local/0pdZPGmr/items/LU5QH5UX","http://zotero.org/users/9596130/items/LU5QH5UX"],"itemData":{"id":9,"type":"article-journal","abstract":"In phase 2 and 3 randomized, controlled trials, baloxavir — an inhibitor of influenza cap-dependent endonuclease — showed evidence of clinical symptom relief and antiviral activity against influenza. However, influenza-resistant variants appeared to develop with treatment.","container-title":"New England Journal of Medicine","DOI":"10.1056/NEJMoa1716197","issue":"10","note":"publisher: Massachusetts Medical Society\n_eprint: https://www.nejm.org/doi/pdf/10.1056/NEJMoa1716197","page":"913-923","source":"Taylor and Francis+NEJM","title":"Baloxavir Marboxil for Uncomplicated Influenza in Adults and Adolescents","volume":"379","author":[{"literal":"Hayden Frederick G."},{"literal":"Sugaya Norio"},{"literal":"Hirotsu Nobuo"},{"literal":"Lee Nelson"},{"literal":"de Jong Menno D."},{"literal":"Hurt Aeron C."},{"literal":"Ishida Tadashi"},{"literal":"Sekino Hisakuni"},{"literal":"Yamada Kota"},{"literal":"Portsmouth Simon"},{"literal":"Kawaguchi Keiko"},{"literal":"Shishido Takao"},{"literal":"Arai Masatsugu"},{"literal":"Tsuchiya Kenji"},{"literal":"Uehara Takeki"},{"literal":"Watanabe Akira"}],"issued":{"date-parts":[["2018",9,6]]}}}],"schema":"https://github.com/citation-style-language/schema/raw/master/csl-citation.json"} </w:instrText>
      </w:r>
      <w:r w:rsidR="00F051BF" w:rsidRPr="00F051BF">
        <w:rPr>
          <w:i/>
          <w:lang w:val="en-US"/>
        </w:rPr>
        <w:fldChar w:fldCharType="separate"/>
      </w:r>
      <w:r w:rsidR="00F051BF" w:rsidRPr="00F051BF">
        <w:rPr>
          <w:i/>
          <w:lang w:val="en-US"/>
        </w:rPr>
        <w:t>(6)</w:t>
      </w:r>
      <w:r w:rsidR="00F051BF" w:rsidRPr="00F051BF">
        <w:rPr>
          <w:i/>
        </w:rPr>
        <w:fldChar w:fldCharType="end"/>
      </w:r>
      <w:r w:rsidR="00F051BF" w:rsidRPr="00F051BF">
        <w:rPr>
          <w:i/>
          <w:lang w:val="en-US"/>
        </w:rPr>
        <w:t xml:space="preserve">. However, there was considerable variability in changes to viral titers as a result of BXM or OSL administration in the clinical trial. To account for this variability, we performed Bayesian Markov Chain Monte Carlo sampling to obtain a posterior distribution of within-host parameters, fitted jointly to the viral load data observed in placebo, BXM and OSL arms in the clinical trial (see SI Appendix). We then propagated the posterior draws (n=500) to the between-host transmission model, simulating for the distribution of BXM and OSL in the United States under the reference pandemic scenarios. BXM showed wider 95% credible intervals in mean percentage of deaths averted for the relatively less severe pandemics (A/H3N2-like and 2009 A/H1N1-like) compared to the more severe scenarios (1918 A/H1N1-like and COVID-19-like) (Table S4). While credible intervals overlapped between BXM and OSL in all instances, BXM exhibited non-trivial impact on deaths averted (i.e. more than zero) for all simulated </w:t>
      </w:r>
      <w:r w:rsidR="00F051BF" w:rsidRPr="00F051BF">
        <w:rPr>
          <w:i/>
          <w:lang w:val="en-US"/>
        </w:rPr>
        <w:lastRenderedPageBreak/>
        <w:t>pandemic scenarios and skewed toward higher mean percentages deaths averted, suggesting greater impact in spite of the uncertainty.</w:t>
      </w:r>
      <w:r>
        <w:t>”</w:t>
      </w:r>
    </w:p>
    <w:p w14:paraId="396D96DD" w14:textId="3C4170CE" w:rsidR="007A1057" w:rsidRDefault="007A1057" w:rsidP="00D648BC"/>
    <w:p w14:paraId="159E8B46" w14:textId="3B101157" w:rsidR="007A1057" w:rsidRPr="00EE3C8B" w:rsidRDefault="007A1057" w:rsidP="007A1057">
      <w:pPr>
        <w:rPr>
          <w:b/>
        </w:rPr>
      </w:pPr>
      <w:r>
        <w:rPr>
          <w:b/>
        </w:rPr>
        <w:t xml:space="preserve">SI Appendix, </w:t>
      </w:r>
      <w:r w:rsidRPr="00EE3C8B">
        <w:rPr>
          <w:b/>
        </w:rPr>
        <w:t>Table S4.</w:t>
      </w:r>
      <w:r>
        <w:rPr>
          <w:b/>
        </w:rPr>
        <w:t xml:space="preserve"> 95% credible interval of mean percentage deaths averted and mean deaths averted per million people with oral antivirals in the United States. </w:t>
      </w:r>
      <w:r>
        <w:t>Credible intervals are generated by first performing</w:t>
      </w:r>
      <w:r w:rsidRPr="00EE3C8B">
        <w:t xml:space="preserve"> Bayesian Markov Chain Monte Carlo sampling to obtain a posterior distribution of all within-host parameters, fitted jointly to the viral load data observed in placebo, BXM and OSL arms</w:t>
      </w:r>
      <w:r>
        <w:t xml:space="preserve"> reported in Hayden et al (2018).</w:t>
      </w:r>
      <w:r w:rsidRPr="00EE3C8B">
        <w:t xml:space="preserve"> </w:t>
      </w:r>
      <w:r>
        <w:t>T</w:t>
      </w:r>
      <w:r w:rsidRPr="00EE3C8B">
        <w:t xml:space="preserve">he posterior draws (n=500) </w:t>
      </w:r>
      <w:r>
        <w:t xml:space="preserve"> are then propagated </w:t>
      </w:r>
      <w:r w:rsidRPr="00EE3C8B">
        <w:t>to the between-host transmission model, simulating for the distribution of BXM and OSL in the United States under the reference pandemic scenarios</w:t>
      </w:r>
      <w:r>
        <w:t xml:space="preserve">. </w:t>
      </w:r>
    </w:p>
    <w:tbl>
      <w:tblPr>
        <w:tblW w:w="0" w:type="auto"/>
        <w:tblLook w:val="04A0" w:firstRow="1" w:lastRow="0" w:firstColumn="1" w:lastColumn="0" w:noHBand="0" w:noVBand="1"/>
      </w:tblPr>
      <w:tblGrid>
        <w:gridCol w:w="1804"/>
        <w:gridCol w:w="1202"/>
        <w:gridCol w:w="602"/>
        <w:gridCol w:w="1804"/>
        <w:gridCol w:w="601"/>
        <w:gridCol w:w="1203"/>
        <w:gridCol w:w="1804"/>
      </w:tblGrid>
      <w:tr w:rsidR="007A1057" w:rsidRPr="00EE3C8B" w14:paraId="107AFBE9" w14:textId="77777777" w:rsidTr="00716CA0">
        <w:trPr>
          <w:trHeight w:val="703"/>
        </w:trPr>
        <w:tc>
          <w:tcPr>
            <w:tcW w:w="3006" w:type="dxa"/>
            <w:gridSpan w:val="2"/>
            <w:tcBorders>
              <w:top w:val="single" w:sz="4" w:space="0" w:color="auto"/>
              <w:left w:val="nil"/>
              <w:bottom w:val="nil"/>
              <w:right w:val="nil"/>
            </w:tcBorders>
            <w:shd w:val="clear" w:color="auto" w:fill="auto"/>
            <w:vAlign w:val="center"/>
            <w:hideMark/>
          </w:tcPr>
          <w:p w14:paraId="7E51B632" w14:textId="77777777" w:rsidR="007A1057" w:rsidRPr="00EE3C8B" w:rsidRDefault="007A1057" w:rsidP="00716CA0">
            <w:pPr>
              <w:jc w:val="center"/>
              <w:rPr>
                <w:rFonts w:cs="Arial"/>
                <w:b/>
                <w:sz w:val="16"/>
                <w:szCs w:val="16"/>
              </w:rPr>
            </w:pPr>
          </w:p>
        </w:tc>
        <w:tc>
          <w:tcPr>
            <w:tcW w:w="3007" w:type="dxa"/>
            <w:gridSpan w:val="3"/>
            <w:tcBorders>
              <w:top w:val="single" w:sz="4" w:space="0" w:color="auto"/>
              <w:left w:val="nil"/>
              <w:bottom w:val="single" w:sz="4" w:space="0" w:color="auto"/>
              <w:right w:val="nil"/>
            </w:tcBorders>
            <w:shd w:val="clear" w:color="auto" w:fill="auto"/>
            <w:vAlign w:val="center"/>
            <w:hideMark/>
          </w:tcPr>
          <w:p w14:paraId="1FC79E18" w14:textId="77777777" w:rsidR="007A1057" w:rsidRPr="00EE3C8B" w:rsidRDefault="007A1057" w:rsidP="00716CA0">
            <w:pPr>
              <w:jc w:val="center"/>
              <w:rPr>
                <w:rFonts w:cs="Arial"/>
                <w:b/>
                <w:color w:val="000000"/>
                <w:sz w:val="16"/>
                <w:szCs w:val="16"/>
              </w:rPr>
            </w:pPr>
            <w:proofErr w:type="spellStart"/>
            <w:r w:rsidRPr="00EE3C8B">
              <w:rPr>
                <w:rFonts w:cs="Arial"/>
                <w:b/>
                <w:color w:val="000000"/>
                <w:sz w:val="16"/>
                <w:szCs w:val="16"/>
              </w:rPr>
              <w:t>Baloxavir</w:t>
            </w:r>
            <w:proofErr w:type="spellEnd"/>
            <w:r>
              <w:rPr>
                <w:rFonts w:cs="Arial"/>
                <w:b/>
                <w:color w:val="000000"/>
                <w:sz w:val="16"/>
                <w:szCs w:val="16"/>
              </w:rPr>
              <w:t xml:space="preserve"> </w:t>
            </w:r>
            <w:proofErr w:type="spellStart"/>
            <w:r>
              <w:rPr>
                <w:rFonts w:cs="Arial"/>
                <w:b/>
                <w:color w:val="000000"/>
                <w:sz w:val="16"/>
                <w:szCs w:val="16"/>
              </w:rPr>
              <w:t>marboxil</w:t>
            </w:r>
            <w:proofErr w:type="spellEnd"/>
          </w:p>
        </w:tc>
        <w:tc>
          <w:tcPr>
            <w:tcW w:w="3007" w:type="dxa"/>
            <w:gridSpan w:val="2"/>
            <w:tcBorders>
              <w:top w:val="single" w:sz="4" w:space="0" w:color="auto"/>
              <w:left w:val="nil"/>
              <w:bottom w:val="single" w:sz="4" w:space="0" w:color="auto"/>
              <w:right w:val="nil"/>
            </w:tcBorders>
            <w:shd w:val="clear" w:color="auto" w:fill="auto"/>
            <w:vAlign w:val="center"/>
            <w:hideMark/>
          </w:tcPr>
          <w:p w14:paraId="4808B0FF" w14:textId="77777777" w:rsidR="007A1057" w:rsidRPr="00EE3C8B" w:rsidRDefault="007A1057" w:rsidP="00716CA0">
            <w:pPr>
              <w:jc w:val="center"/>
              <w:rPr>
                <w:rFonts w:cs="Arial"/>
                <w:b/>
                <w:color w:val="000000"/>
                <w:sz w:val="16"/>
                <w:szCs w:val="16"/>
              </w:rPr>
            </w:pPr>
            <w:r w:rsidRPr="00EE3C8B">
              <w:rPr>
                <w:rFonts w:cs="Arial"/>
                <w:b/>
                <w:color w:val="000000"/>
                <w:sz w:val="16"/>
                <w:szCs w:val="16"/>
              </w:rPr>
              <w:t>Oseltamivir</w:t>
            </w:r>
          </w:p>
        </w:tc>
      </w:tr>
      <w:tr w:rsidR="007A1057" w:rsidRPr="00EE3C8B" w14:paraId="5BA96ABD" w14:textId="77777777" w:rsidTr="00716CA0">
        <w:trPr>
          <w:trHeight w:val="703"/>
        </w:trPr>
        <w:tc>
          <w:tcPr>
            <w:tcW w:w="1804" w:type="dxa"/>
            <w:tcBorders>
              <w:top w:val="nil"/>
              <w:left w:val="nil"/>
              <w:bottom w:val="single" w:sz="4" w:space="0" w:color="auto"/>
              <w:right w:val="nil"/>
            </w:tcBorders>
            <w:shd w:val="clear" w:color="auto" w:fill="auto"/>
            <w:vAlign w:val="center"/>
            <w:hideMark/>
          </w:tcPr>
          <w:p w14:paraId="591EC1E1" w14:textId="77777777" w:rsidR="007A1057" w:rsidRPr="00EE3C8B" w:rsidRDefault="007A1057" w:rsidP="00716CA0">
            <w:pPr>
              <w:jc w:val="center"/>
              <w:rPr>
                <w:rFonts w:cs="Arial"/>
                <w:b/>
                <w:color w:val="000000"/>
                <w:sz w:val="16"/>
                <w:szCs w:val="16"/>
              </w:rPr>
            </w:pPr>
            <w:r w:rsidRPr="00EE3C8B">
              <w:rPr>
                <w:rFonts w:cs="Arial"/>
                <w:b/>
                <w:color w:val="000000"/>
                <w:sz w:val="16"/>
                <w:szCs w:val="16"/>
              </w:rPr>
              <w:t>Pandemic</w:t>
            </w:r>
          </w:p>
        </w:tc>
        <w:tc>
          <w:tcPr>
            <w:tcW w:w="1804" w:type="dxa"/>
            <w:gridSpan w:val="2"/>
            <w:tcBorders>
              <w:top w:val="single" w:sz="4" w:space="0" w:color="auto"/>
              <w:left w:val="nil"/>
              <w:bottom w:val="single" w:sz="4" w:space="0" w:color="auto"/>
              <w:right w:val="nil"/>
            </w:tcBorders>
            <w:shd w:val="clear" w:color="auto" w:fill="auto"/>
            <w:vAlign w:val="center"/>
            <w:hideMark/>
          </w:tcPr>
          <w:p w14:paraId="0C00C356" w14:textId="77777777" w:rsidR="007A1057" w:rsidRPr="00EE3C8B" w:rsidRDefault="007A1057" w:rsidP="00716CA0">
            <w:pPr>
              <w:jc w:val="center"/>
              <w:rPr>
                <w:rFonts w:cs="Arial"/>
                <w:b/>
                <w:color w:val="000000"/>
                <w:sz w:val="16"/>
                <w:szCs w:val="16"/>
              </w:rPr>
            </w:pPr>
            <w:r w:rsidRPr="00EE3C8B">
              <w:rPr>
                <w:rFonts w:cs="Arial"/>
                <w:b/>
                <w:color w:val="000000"/>
                <w:sz w:val="16"/>
                <w:szCs w:val="16"/>
              </w:rPr>
              <w:t>Mean percentage deaths averted</w:t>
            </w:r>
          </w:p>
        </w:tc>
        <w:tc>
          <w:tcPr>
            <w:tcW w:w="1804" w:type="dxa"/>
            <w:tcBorders>
              <w:top w:val="single" w:sz="4" w:space="0" w:color="auto"/>
              <w:left w:val="nil"/>
              <w:bottom w:val="single" w:sz="4" w:space="0" w:color="auto"/>
              <w:right w:val="nil"/>
            </w:tcBorders>
            <w:shd w:val="clear" w:color="auto" w:fill="auto"/>
            <w:vAlign w:val="center"/>
            <w:hideMark/>
          </w:tcPr>
          <w:p w14:paraId="1452719E" w14:textId="77777777" w:rsidR="007A1057" w:rsidRPr="00EE3C8B" w:rsidRDefault="007A1057" w:rsidP="00716CA0">
            <w:pPr>
              <w:jc w:val="center"/>
              <w:rPr>
                <w:rFonts w:cs="Arial"/>
                <w:b/>
                <w:color w:val="000000"/>
                <w:sz w:val="16"/>
                <w:szCs w:val="16"/>
              </w:rPr>
            </w:pPr>
            <w:r w:rsidRPr="00EE3C8B">
              <w:rPr>
                <w:rFonts w:cs="Arial"/>
                <w:b/>
                <w:color w:val="000000"/>
                <w:sz w:val="16"/>
                <w:szCs w:val="16"/>
              </w:rPr>
              <w:t>Mean deaths averted per million people</w:t>
            </w:r>
          </w:p>
        </w:tc>
        <w:tc>
          <w:tcPr>
            <w:tcW w:w="1804" w:type="dxa"/>
            <w:gridSpan w:val="2"/>
            <w:tcBorders>
              <w:top w:val="single" w:sz="4" w:space="0" w:color="auto"/>
              <w:left w:val="nil"/>
              <w:bottom w:val="single" w:sz="4" w:space="0" w:color="auto"/>
              <w:right w:val="nil"/>
            </w:tcBorders>
            <w:shd w:val="clear" w:color="auto" w:fill="auto"/>
            <w:vAlign w:val="center"/>
            <w:hideMark/>
          </w:tcPr>
          <w:p w14:paraId="39DD76CB" w14:textId="77777777" w:rsidR="007A1057" w:rsidRPr="00EE3C8B" w:rsidRDefault="007A1057" w:rsidP="00716CA0">
            <w:pPr>
              <w:jc w:val="center"/>
              <w:rPr>
                <w:rFonts w:cs="Arial"/>
                <w:b/>
                <w:color w:val="000000"/>
                <w:sz w:val="16"/>
                <w:szCs w:val="16"/>
              </w:rPr>
            </w:pPr>
            <w:r w:rsidRPr="00EE3C8B">
              <w:rPr>
                <w:rFonts w:cs="Arial"/>
                <w:b/>
                <w:color w:val="000000"/>
                <w:sz w:val="16"/>
                <w:szCs w:val="16"/>
              </w:rPr>
              <w:t>Mean percentage deaths averted</w:t>
            </w:r>
          </w:p>
        </w:tc>
        <w:tc>
          <w:tcPr>
            <w:tcW w:w="1804" w:type="dxa"/>
            <w:tcBorders>
              <w:top w:val="single" w:sz="4" w:space="0" w:color="auto"/>
              <w:left w:val="nil"/>
              <w:bottom w:val="single" w:sz="4" w:space="0" w:color="auto"/>
              <w:right w:val="nil"/>
            </w:tcBorders>
            <w:shd w:val="clear" w:color="auto" w:fill="auto"/>
            <w:vAlign w:val="center"/>
            <w:hideMark/>
          </w:tcPr>
          <w:p w14:paraId="00230CA9" w14:textId="77777777" w:rsidR="007A1057" w:rsidRPr="00EE3C8B" w:rsidRDefault="007A1057" w:rsidP="00716CA0">
            <w:pPr>
              <w:jc w:val="center"/>
              <w:rPr>
                <w:rFonts w:cs="Arial"/>
                <w:b/>
                <w:color w:val="000000"/>
                <w:sz w:val="16"/>
                <w:szCs w:val="16"/>
              </w:rPr>
            </w:pPr>
            <w:r w:rsidRPr="00EE3C8B">
              <w:rPr>
                <w:rFonts w:cs="Arial"/>
                <w:b/>
                <w:color w:val="000000"/>
                <w:sz w:val="16"/>
                <w:szCs w:val="16"/>
              </w:rPr>
              <w:t>Mean deaths averted per million people</w:t>
            </w:r>
          </w:p>
        </w:tc>
      </w:tr>
      <w:tr w:rsidR="007A1057" w:rsidRPr="00EE3C8B" w14:paraId="45B23717" w14:textId="77777777" w:rsidTr="00716CA0">
        <w:trPr>
          <w:trHeight w:val="703"/>
        </w:trPr>
        <w:tc>
          <w:tcPr>
            <w:tcW w:w="1804" w:type="dxa"/>
            <w:tcBorders>
              <w:top w:val="single" w:sz="4" w:space="0" w:color="auto"/>
              <w:left w:val="nil"/>
              <w:bottom w:val="nil"/>
              <w:right w:val="nil"/>
            </w:tcBorders>
            <w:shd w:val="clear" w:color="auto" w:fill="auto"/>
            <w:vAlign w:val="center"/>
            <w:hideMark/>
          </w:tcPr>
          <w:p w14:paraId="0D70A91C" w14:textId="77777777" w:rsidR="007A1057" w:rsidRPr="00EE3C8B" w:rsidRDefault="007A1057" w:rsidP="00716CA0">
            <w:pPr>
              <w:jc w:val="center"/>
              <w:rPr>
                <w:rFonts w:cs="Arial"/>
                <w:color w:val="000000"/>
                <w:sz w:val="16"/>
                <w:szCs w:val="16"/>
              </w:rPr>
            </w:pPr>
            <w:r w:rsidRPr="00EE3C8B">
              <w:rPr>
                <w:rFonts w:cs="Arial"/>
                <w:color w:val="000000"/>
                <w:sz w:val="16"/>
                <w:szCs w:val="16"/>
              </w:rPr>
              <w:t>1918 A/H1N1-like</w:t>
            </w:r>
          </w:p>
        </w:tc>
        <w:tc>
          <w:tcPr>
            <w:tcW w:w="1804" w:type="dxa"/>
            <w:gridSpan w:val="2"/>
            <w:tcBorders>
              <w:top w:val="single" w:sz="4" w:space="0" w:color="auto"/>
              <w:left w:val="nil"/>
              <w:bottom w:val="nil"/>
              <w:right w:val="nil"/>
            </w:tcBorders>
            <w:shd w:val="clear" w:color="auto" w:fill="auto"/>
            <w:noWrap/>
            <w:vAlign w:val="center"/>
            <w:hideMark/>
          </w:tcPr>
          <w:p w14:paraId="36144DDF" w14:textId="77777777" w:rsidR="007A1057" w:rsidRPr="00EE3C8B" w:rsidRDefault="007A1057" w:rsidP="00716CA0">
            <w:pPr>
              <w:jc w:val="right"/>
              <w:rPr>
                <w:rFonts w:cs="Arial"/>
                <w:color w:val="000000"/>
                <w:sz w:val="16"/>
                <w:szCs w:val="16"/>
              </w:rPr>
            </w:pPr>
            <w:r w:rsidRPr="00EE3C8B">
              <w:rPr>
                <w:rFonts w:cs="Arial"/>
                <w:color w:val="000000"/>
                <w:sz w:val="16"/>
                <w:szCs w:val="16"/>
              </w:rPr>
              <w:t>19 – 60%</w:t>
            </w:r>
          </w:p>
        </w:tc>
        <w:tc>
          <w:tcPr>
            <w:tcW w:w="1804" w:type="dxa"/>
            <w:tcBorders>
              <w:top w:val="single" w:sz="4" w:space="0" w:color="auto"/>
              <w:left w:val="nil"/>
              <w:bottom w:val="nil"/>
              <w:right w:val="nil"/>
            </w:tcBorders>
            <w:shd w:val="clear" w:color="auto" w:fill="auto"/>
            <w:noWrap/>
            <w:vAlign w:val="center"/>
            <w:hideMark/>
          </w:tcPr>
          <w:p w14:paraId="43FC2E6A" w14:textId="77777777" w:rsidR="007A1057" w:rsidRPr="00EE3C8B" w:rsidRDefault="007A1057" w:rsidP="00716CA0">
            <w:pPr>
              <w:jc w:val="right"/>
              <w:rPr>
                <w:rFonts w:cs="Arial"/>
                <w:color w:val="000000"/>
                <w:sz w:val="16"/>
                <w:szCs w:val="16"/>
              </w:rPr>
            </w:pPr>
            <w:r w:rsidRPr="00EE3C8B">
              <w:rPr>
                <w:rFonts w:cs="Arial"/>
                <w:color w:val="000000"/>
                <w:sz w:val="16"/>
                <w:szCs w:val="16"/>
              </w:rPr>
              <w:t>1158 – 3,699</w:t>
            </w:r>
          </w:p>
        </w:tc>
        <w:tc>
          <w:tcPr>
            <w:tcW w:w="1804" w:type="dxa"/>
            <w:gridSpan w:val="2"/>
            <w:tcBorders>
              <w:top w:val="single" w:sz="4" w:space="0" w:color="auto"/>
              <w:left w:val="nil"/>
              <w:bottom w:val="nil"/>
              <w:right w:val="nil"/>
            </w:tcBorders>
            <w:shd w:val="clear" w:color="auto" w:fill="auto"/>
            <w:noWrap/>
            <w:vAlign w:val="center"/>
            <w:hideMark/>
          </w:tcPr>
          <w:p w14:paraId="3C8D8082" w14:textId="77777777" w:rsidR="007A1057" w:rsidRPr="00EE3C8B" w:rsidRDefault="007A1057" w:rsidP="00716CA0">
            <w:pPr>
              <w:jc w:val="right"/>
              <w:rPr>
                <w:rFonts w:cs="Arial"/>
                <w:color w:val="000000"/>
                <w:sz w:val="16"/>
                <w:szCs w:val="16"/>
              </w:rPr>
            </w:pPr>
            <w:r w:rsidRPr="00EE3C8B">
              <w:rPr>
                <w:rFonts w:cs="Arial"/>
                <w:color w:val="000000"/>
                <w:sz w:val="16"/>
                <w:szCs w:val="16"/>
              </w:rPr>
              <w:t>8 – 40%</w:t>
            </w:r>
          </w:p>
        </w:tc>
        <w:tc>
          <w:tcPr>
            <w:tcW w:w="1804" w:type="dxa"/>
            <w:tcBorders>
              <w:top w:val="single" w:sz="4" w:space="0" w:color="auto"/>
              <w:left w:val="nil"/>
              <w:bottom w:val="nil"/>
              <w:right w:val="nil"/>
            </w:tcBorders>
            <w:shd w:val="clear" w:color="auto" w:fill="auto"/>
            <w:noWrap/>
            <w:vAlign w:val="center"/>
            <w:hideMark/>
          </w:tcPr>
          <w:p w14:paraId="1B87D990" w14:textId="77777777" w:rsidR="007A1057" w:rsidRPr="00EE3C8B" w:rsidRDefault="007A1057" w:rsidP="00716CA0">
            <w:pPr>
              <w:jc w:val="right"/>
              <w:rPr>
                <w:rFonts w:cs="Arial"/>
                <w:color w:val="000000"/>
                <w:sz w:val="16"/>
                <w:szCs w:val="16"/>
              </w:rPr>
            </w:pPr>
            <w:r w:rsidRPr="00EE3C8B">
              <w:rPr>
                <w:rFonts w:cs="Arial"/>
                <w:color w:val="000000"/>
                <w:sz w:val="16"/>
                <w:szCs w:val="16"/>
              </w:rPr>
              <w:t>488 – 2,455</w:t>
            </w:r>
          </w:p>
        </w:tc>
      </w:tr>
      <w:tr w:rsidR="007A1057" w:rsidRPr="00EE3C8B" w14:paraId="60016E2F" w14:textId="77777777" w:rsidTr="00716CA0">
        <w:trPr>
          <w:trHeight w:val="703"/>
        </w:trPr>
        <w:tc>
          <w:tcPr>
            <w:tcW w:w="1804" w:type="dxa"/>
            <w:tcBorders>
              <w:top w:val="nil"/>
              <w:left w:val="nil"/>
              <w:bottom w:val="nil"/>
              <w:right w:val="nil"/>
            </w:tcBorders>
            <w:shd w:val="clear" w:color="auto" w:fill="auto"/>
            <w:vAlign w:val="center"/>
            <w:hideMark/>
          </w:tcPr>
          <w:p w14:paraId="60F835A9" w14:textId="77777777" w:rsidR="007A1057" w:rsidRPr="00EE3C8B" w:rsidRDefault="007A1057" w:rsidP="00716CA0">
            <w:pPr>
              <w:jc w:val="center"/>
              <w:rPr>
                <w:rFonts w:cs="Arial"/>
                <w:color w:val="000000"/>
                <w:sz w:val="16"/>
                <w:szCs w:val="16"/>
              </w:rPr>
            </w:pPr>
            <w:r w:rsidRPr="00EE3C8B">
              <w:rPr>
                <w:rFonts w:cs="Arial"/>
                <w:color w:val="000000"/>
                <w:sz w:val="16"/>
                <w:szCs w:val="16"/>
              </w:rPr>
              <w:t>1968 A/H3N2-like</w:t>
            </w:r>
          </w:p>
        </w:tc>
        <w:tc>
          <w:tcPr>
            <w:tcW w:w="1804" w:type="dxa"/>
            <w:gridSpan w:val="2"/>
            <w:tcBorders>
              <w:top w:val="nil"/>
              <w:left w:val="nil"/>
              <w:bottom w:val="nil"/>
              <w:right w:val="nil"/>
            </w:tcBorders>
            <w:shd w:val="clear" w:color="auto" w:fill="auto"/>
            <w:noWrap/>
            <w:vAlign w:val="center"/>
            <w:hideMark/>
          </w:tcPr>
          <w:p w14:paraId="2D2F791A" w14:textId="77777777" w:rsidR="007A1057" w:rsidRPr="00EE3C8B" w:rsidRDefault="007A1057" w:rsidP="00716CA0">
            <w:pPr>
              <w:jc w:val="right"/>
              <w:rPr>
                <w:rFonts w:cs="Arial"/>
                <w:color w:val="000000"/>
                <w:sz w:val="16"/>
                <w:szCs w:val="16"/>
              </w:rPr>
            </w:pPr>
            <w:r w:rsidRPr="00EE3C8B">
              <w:rPr>
                <w:rFonts w:cs="Arial"/>
                <w:color w:val="000000"/>
                <w:sz w:val="16"/>
                <w:szCs w:val="16"/>
              </w:rPr>
              <w:t>10 – 70%</w:t>
            </w:r>
          </w:p>
        </w:tc>
        <w:tc>
          <w:tcPr>
            <w:tcW w:w="1804" w:type="dxa"/>
            <w:tcBorders>
              <w:top w:val="nil"/>
              <w:left w:val="nil"/>
              <w:bottom w:val="nil"/>
              <w:right w:val="nil"/>
            </w:tcBorders>
            <w:shd w:val="clear" w:color="auto" w:fill="auto"/>
            <w:noWrap/>
            <w:vAlign w:val="center"/>
            <w:hideMark/>
          </w:tcPr>
          <w:p w14:paraId="114592B8" w14:textId="77777777" w:rsidR="007A1057" w:rsidRPr="00EE3C8B" w:rsidRDefault="007A1057" w:rsidP="00716CA0">
            <w:pPr>
              <w:jc w:val="right"/>
              <w:rPr>
                <w:rFonts w:cs="Arial"/>
                <w:color w:val="000000"/>
                <w:sz w:val="16"/>
                <w:szCs w:val="16"/>
              </w:rPr>
            </w:pPr>
            <w:r w:rsidRPr="00EE3C8B">
              <w:rPr>
                <w:rFonts w:cs="Arial"/>
                <w:color w:val="000000"/>
                <w:sz w:val="16"/>
                <w:szCs w:val="16"/>
              </w:rPr>
              <w:t>60 – 428</w:t>
            </w:r>
          </w:p>
        </w:tc>
        <w:tc>
          <w:tcPr>
            <w:tcW w:w="1804" w:type="dxa"/>
            <w:gridSpan w:val="2"/>
            <w:tcBorders>
              <w:top w:val="nil"/>
              <w:left w:val="nil"/>
              <w:bottom w:val="nil"/>
              <w:right w:val="nil"/>
            </w:tcBorders>
            <w:shd w:val="clear" w:color="auto" w:fill="auto"/>
            <w:noWrap/>
            <w:vAlign w:val="center"/>
            <w:hideMark/>
          </w:tcPr>
          <w:p w14:paraId="351A6021" w14:textId="77777777" w:rsidR="007A1057" w:rsidRPr="00EE3C8B" w:rsidRDefault="007A1057" w:rsidP="00716CA0">
            <w:pPr>
              <w:jc w:val="right"/>
              <w:rPr>
                <w:rFonts w:cs="Arial"/>
                <w:color w:val="000000"/>
                <w:sz w:val="16"/>
                <w:szCs w:val="16"/>
              </w:rPr>
            </w:pPr>
            <w:r w:rsidRPr="00EE3C8B">
              <w:rPr>
                <w:rFonts w:cs="Arial"/>
                <w:color w:val="000000"/>
                <w:sz w:val="16"/>
                <w:szCs w:val="16"/>
              </w:rPr>
              <w:t>0 – 45%</w:t>
            </w:r>
          </w:p>
        </w:tc>
        <w:tc>
          <w:tcPr>
            <w:tcW w:w="1804" w:type="dxa"/>
            <w:tcBorders>
              <w:top w:val="nil"/>
              <w:left w:val="nil"/>
              <w:bottom w:val="nil"/>
              <w:right w:val="nil"/>
            </w:tcBorders>
            <w:shd w:val="clear" w:color="auto" w:fill="auto"/>
            <w:noWrap/>
            <w:vAlign w:val="center"/>
            <w:hideMark/>
          </w:tcPr>
          <w:p w14:paraId="4FE6B02C" w14:textId="77777777" w:rsidR="007A1057" w:rsidRPr="00EE3C8B" w:rsidRDefault="007A1057" w:rsidP="00716CA0">
            <w:pPr>
              <w:jc w:val="right"/>
              <w:rPr>
                <w:rFonts w:cs="Arial"/>
                <w:color w:val="000000"/>
                <w:sz w:val="16"/>
                <w:szCs w:val="16"/>
              </w:rPr>
            </w:pPr>
            <w:r w:rsidRPr="00EE3C8B">
              <w:rPr>
                <w:rFonts w:cs="Arial"/>
                <w:color w:val="000000"/>
                <w:sz w:val="16"/>
                <w:szCs w:val="16"/>
              </w:rPr>
              <w:t>0 – 279</w:t>
            </w:r>
          </w:p>
        </w:tc>
      </w:tr>
      <w:tr w:rsidR="007A1057" w:rsidRPr="00EE3C8B" w14:paraId="64B92919" w14:textId="77777777" w:rsidTr="00716CA0">
        <w:trPr>
          <w:trHeight w:val="703"/>
        </w:trPr>
        <w:tc>
          <w:tcPr>
            <w:tcW w:w="1804" w:type="dxa"/>
            <w:tcBorders>
              <w:top w:val="nil"/>
              <w:left w:val="nil"/>
              <w:right w:val="nil"/>
            </w:tcBorders>
            <w:shd w:val="clear" w:color="auto" w:fill="auto"/>
            <w:vAlign w:val="center"/>
            <w:hideMark/>
          </w:tcPr>
          <w:p w14:paraId="31ECF7FD" w14:textId="77777777" w:rsidR="007A1057" w:rsidRPr="00EE3C8B" w:rsidRDefault="007A1057" w:rsidP="00716CA0">
            <w:pPr>
              <w:jc w:val="center"/>
              <w:rPr>
                <w:rFonts w:cs="Arial"/>
                <w:color w:val="000000"/>
                <w:sz w:val="16"/>
                <w:szCs w:val="16"/>
              </w:rPr>
            </w:pPr>
            <w:r w:rsidRPr="00EE3C8B">
              <w:rPr>
                <w:rFonts w:cs="Arial"/>
                <w:color w:val="000000"/>
                <w:sz w:val="16"/>
                <w:szCs w:val="16"/>
              </w:rPr>
              <w:t>2009 A/H1N1-like</w:t>
            </w:r>
          </w:p>
        </w:tc>
        <w:tc>
          <w:tcPr>
            <w:tcW w:w="1804" w:type="dxa"/>
            <w:gridSpan w:val="2"/>
            <w:tcBorders>
              <w:top w:val="nil"/>
              <w:left w:val="nil"/>
              <w:right w:val="nil"/>
            </w:tcBorders>
            <w:shd w:val="clear" w:color="auto" w:fill="auto"/>
            <w:noWrap/>
            <w:vAlign w:val="center"/>
            <w:hideMark/>
          </w:tcPr>
          <w:p w14:paraId="6AF26280" w14:textId="77777777" w:rsidR="007A1057" w:rsidRPr="00EE3C8B" w:rsidRDefault="007A1057" w:rsidP="00716CA0">
            <w:pPr>
              <w:jc w:val="right"/>
              <w:rPr>
                <w:rFonts w:cs="Arial"/>
                <w:color w:val="000000"/>
                <w:sz w:val="16"/>
                <w:szCs w:val="16"/>
              </w:rPr>
            </w:pPr>
            <w:r w:rsidRPr="00EE3C8B">
              <w:rPr>
                <w:rFonts w:cs="Arial"/>
                <w:color w:val="000000"/>
                <w:sz w:val="16"/>
                <w:szCs w:val="16"/>
              </w:rPr>
              <w:t>4 – 10%</w:t>
            </w:r>
          </w:p>
        </w:tc>
        <w:tc>
          <w:tcPr>
            <w:tcW w:w="1804" w:type="dxa"/>
            <w:tcBorders>
              <w:top w:val="nil"/>
              <w:left w:val="nil"/>
              <w:right w:val="nil"/>
            </w:tcBorders>
            <w:shd w:val="clear" w:color="auto" w:fill="auto"/>
            <w:noWrap/>
            <w:vAlign w:val="center"/>
            <w:hideMark/>
          </w:tcPr>
          <w:p w14:paraId="6FB9AE2D" w14:textId="77777777" w:rsidR="007A1057" w:rsidRPr="00EE3C8B" w:rsidRDefault="007A1057" w:rsidP="00716CA0">
            <w:pPr>
              <w:jc w:val="right"/>
              <w:rPr>
                <w:rFonts w:cs="Arial"/>
                <w:color w:val="000000"/>
                <w:sz w:val="16"/>
                <w:szCs w:val="16"/>
              </w:rPr>
            </w:pPr>
            <w:r w:rsidRPr="00EE3C8B">
              <w:rPr>
                <w:rFonts w:cs="Arial"/>
                <w:color w:val="000000"/>
                <w:sz w:val="16"/>
                <w:szCs w:val="16"/>
              </w:rPr>
              <w:t>1 – 20</w:t>
            </w:r>
          </w:p>
        </w:tc>
        <w:tc>
          <w:tcPr>
            <w:tcW w:w="1804" w:type="dxa"/>
            <w:gridSpan w:val="2"/>
            <w:tcBorders>
              <w:top w:val="nil"/>
              <w:left w:val="nil"/>
              <w:right w:val="nil"/>
            </w:tcBorders>
            <w:shd w:val="clear" w:color="auto" w:fill="auto"/>
            <w:noWrap/>
            <w:vAlign w:val="center"/>
            <w:hideMark/>
          </w:tcPr>
          <w:p w14:paraId="415BE0EB" w14:textId="77777777" w:rsidR="007A1057" w:rsidRPr="00EE3C8B" w:rsidRDefault="007A1057" w:rsidP="00716CA0">
            <w:pPr>
              <w:jc w:val="right"/>
              <w:rPr>
                <w:rFonts w:cs="Arial"/>
                <w:color w:val="000000"/>
                <w:sz w:val="16"/>
                <w:szCs w:val="16"/>
              </w:rPr>
            </w:pPr>
            <w:r w:rsidRPr="00EE3C8B">
              <w:rPr>
                <w:rFonts w:cs="Arial"/>
                <w:color w:val="000000"/>
                <w:sz w:val="16"/>
                <w:szCs w:val="16"/>
              </w:rPr>
              <w:t>0 – 61%</w:t>
            </w:r>
          </w:p>
        </w:tc>
        <w:tc>
          <w:tcPr>
            <w:tcW w:w="1804" w:type="dxa"/>
            <w:tcBorders>
              <w:top w:val="nil"/>
              <w:left w:val="nil"/>
              <w:right w:val="nil"/>
            </w:tcBorders>
            <w:shd w:val="clear" w:color="auto" w:fill="auto"/>
            <w:noWrap/>
            <w:vAlign w:val="center"/>
            <w:hideMark/>
          </w:tcPr>
          <w:p w14:paraId="7CD078D9" w14:textId="77777777" w:rsidR="007A1057" w:rsidRPr="00EE3C8B" w:rsidRDefault="007A1057" w:rsidP="00716CA0">
            <w:pPr>
              <w:jc w:val="right"/>
              <w:rPr>
                <w:rFonts w:cs="Arial"/>
                <w:color w:val="000000"/>
                <w:sz w:val="16"/>
                <w:szCs w:val="16"/>
              </w:rPr>
            </w:pPr>
            <w:r w:rsidRPr="00EE3C8B">
              <w:rPr>
                <w:rFonts w:cs="Arial"/>
                <w:color w:val="000000"/>
                <w:sz w:val="16"/>
                <w:szCs w:val="16"/>
              </w:rPr>
              <w:t>0 – 12</w:t>
            </w:r>
          </w:p>
        </w:tc>
      </w:tr>
      <w:tr w:rsidR="007A1057" w:rsidRPr="00EE3C8B" w14:paraId="13380712" w14:textId="77777777" w:rsidTr="00716CA0">
        <w:trPr>
          <w:trHeight w:val="703"/>
        </w:trPr>
        <w:tc>
          <w:tcPr>
            <w:tcW w:w="1804" w:type="dxa"/>
            <w:tcBorders>
              <w:top w:val="nil"/>
              <w:left w:val="nil"/>
              <w:bottom w:val="single" w:sz="4" w:space="0" w:color="auto"/>
              <w:right w:val="nil"/>
            </w:tcBorders>
            <w:shd w:val="clear" w:color="auto" w:fill="auto"/>
            <w:vAlign w:val="center"/>
            <w:hideMark/>
          </w:tcPr>
          <w:p w14:paraId="2E6A7F1F" w14:textId="77777777" w:rsidR="007A1057" w:rsidRPr="00EE3C8B" w:rsidRDefault="007A1057" w:rsidP="00716CA0">
            <w:pPr>
              <w:jc w:val="center"/>
              <w:rPr>
                <w:rFonts w:cs="Arial"/>
                <w:color w:val="000000"/>
                <w:sz w:val="16"/>
                <w:szCs w:val="16"/>
              </w:rPr>
            </w:pPr>
            <w:r w:rsidRPr="00EE3C8B">
              <w:rPr>
                <w:rFonts w:cs="Arial"/>
                <w:color w:val="000000"/>
                <w:sz w:val="16"/>
                <w:szCs w:val="16"/>
              </w:rPr>
              <w:t>COVID-19-like</w:t>
            </w:r>
          </w:p>
        </w:tc>
        <w:tc>
          <w:tcPr>
            <w:tcW w:w="1804" w:type="dxa"/>
            <w:gridSpan w:val="2"/>
            <w:tcBorders>
              <w:top w:val="nil"/>
              <w:left w:val="nil"/>
              <w:bottom w:val="single" w:sz="4" w:space="0" w:color="auto"/>
              <w:right w:val="nil"/>
            </w:tcBorders>
            <w:shd w:val="clear" w:color="auto" w:fill="auto"/>
            <w:noWrap/>
            <w:vAlign w:val="center"/>
            <w:hideMark/>
          </w:tcPr>
          <w:p w14:paraId="469B9656" w14:textId="77777777" w:rsidR="007A1057" w:rsidRPr="00EE3C8B" w:rsidRDefault="007A1057" w:rsidP="00716CA0">
            <w:pPr>
              <w:jc w:val="right"/>
              <w:rPr>
                <w:rFonts w:cs="Arial"/>
                <w:color w:val="000000"/>
                <w:sz w:val="16"/>
                <w:szCs w:val="16"/>
              </w:rPr>
            </w:pPr>
            <w:r w:rsidRPr="00EE3C8B">
              <w:rPr>
                <w:rFonts w:cs="Arial"/>
                <w:color w:val="000000"/>
                <w:sz w:val="16"/>
                <w:szCs w:val="16"/>
              </w:rPr>
              <w:t>24 – 49%</w:t>
            </w:r>
          </w:p>
        </w:tc>
        <w:tc>
          <w:tcPr>
            <w:tcW w:w="1804" w:type="dxa"/>
            <w:tcBorders>
              <w:top w:val="nil"/>
              <w:left w:val="nil"/>
              <w:bottom w:val="single" w:sz="4" w:space="0" w:color="auto"/>
              <w:right w:val="nil"/>
            </w:tcBorders>
            <w:shd w:val="clear" w:color="auto" w:fill="auto"/>
            <w:noWrap/>
            <w:vAlign w:val="center"/>
            <w:hideMark/>
          </w:tcPr>
          <w:p w14:paraId="59E3456C" w14:textId="77777777" w:rsidR="007A1057" w:rsidRPr="00EE3C8B" w:rsidRDefault="007A1057" w:rsidP="00716CA0">
            <w:pPr>
              <w:jc w:val="right"/>
              <w:rPr>
                <w:rFonts w:cs="Arial"/>
                <w:color w:val="000000"/>
                <w:sz w:val="16"/>
                <w:szCs w:val="16"/>
              </w:rPr>
            </w:pPr>
            <w:r w:rsidRPr="00EE3C8B">
              <w:rPr>
                <w:rFonts w:cs="Arial"/>
                <w:color w:val="000000"/>
                <w:sz w:val="16"/>
                <w:szCs w:val="16"/>
              </w:rPr>
              <w:t>1637 – 3,258</w:t>
            </w:r>
          </w:p>
        </w:tc>
        <w:tc>
          <w:tcPr>
            <w:tcW w:w="1804" w:type="dxa"/>
            <w:gridSpan w:val="2"/>
            <w:tcBorders>
              <w:top w:val="nil"/>
              <w:left w:val="nil"/>
              <w:bottom w:val="single" w:sz="4" w:space="0" w:color="auto"/>
              <w:right w:val="nil"/>
            </w:tcBorders>
            <w:shd w:val="clear" w:color="auto" w:fill="auto"/>
            <w:noWrap/>
            <w:vAlign w:val="center"/>
            <w:hideMark/>
          </w:tcPr>
          <w:p w14:paraId="7EEB1473" w14:textId="77777777" w:rsidR="007A1057" w:rsidRPr="00EE3C8B" w:rsidRDefault="007A1057" w:rsidP="00716CA0">
            <w:pPr>
              <w:jc w:val="right"/>
              <w:rPr>
                <w:rFonts w:cs="Arial"/>
                <w:color w:val="000000"/>
                <w:sz w:val="16"/>
                <w:szCs w:val="16"/>
              </w:rPr>
            </w:pPr>
            <w:r w:rsidRPr="00EE3C8B">
              <w:rPr>
                <w:rFonts w:cs="Arial"/>
                <w:color w:val="000000"/>
                <w:sz w:val="16"/>
                <w:szCs w:val="16"/>
              </w:rPr>
              <w:t>14 – 33%</w:t>
            </w:r>
          </w:p>
        </w:tc>
        <w:tc>
          <w:tcPr>
            <w:tcW w:w="1804" w:type="dxa"/>
            <w:tcBorders>
              <w:top w:val="nil"/>
              <w:left w:val="nil"/>
              <w:bottom w:val="single" w:sz="4" w:space="0" w:color="auto"/>
              <w:right w:val="nil"/>
            </w:tcBorders>
            <w:shd w:val="clear" w:color="auto" w:fill="auto"/>
            <w:noWrap/>
            <w:vAlign w:val="center"/>
            <w:hideMark/>
          </w:tcPr>
          <w:p w14:paraId="1B7C8647" w14:textId="77777777" w:rsidR="007A1057" w:rsidRPr="00EE3C8B" w:rsidRDefault="007A1057" w:rsidP="00716CA0">
            <w:pPr>
              <w:jc w:val="right"/>
              <w:rPr>
                <w:rFonts w:cs="Arial"/>
                <w:color w:val="000000"/>
                <w:sz w:val="16"/>
                <w:szCs w:val="16"/>
              </w:rPr>
            </w:pPr>
            <w:r w:rsidRPr="00EE3C8B">
              <w:rPr>
                <w:rFonts w:cs="Arial"/>
                <w:color w:val="000000"/>
                <w:sz w:val="16"/>
                <w:szCs w:val="16"/>
              </w:rPr>
              <w:t>926 – 2,195</w:t>
            </w:r>
          </w:p>
        </w:tc>
      </w:tr>
    </w:tbl>
    <w:p w14:paraId="6773F6A2" w14:textId="77777777" w:rsidR="007A1057" w:rsidRDefault="007A1057" w:rsidP="007A1057"/>
    <w:p w14:paraId="30AD3AF1" w14:textId="00BAFEFB" w:rsidR="0057602E" w:rsidRDefault="0057602E" w:rsidP="00D648BC"/>
    <w:p w14:paraId="20D484FA" w14:textId="09B80EAB" w:rsidR="0057602E" w:rsidRDefault="0057602E" w:rsidP="00D648BC">
      <w:r>
        <w:t xml:space="preserve">Abstract, line </w:t>
      </w:r>
      <w:r w:rsidR="00E4702F">
        <w:t>4</w:t>
      </w:r>
      <w:r w:rsidR="00143674">
        <w:t>1</w:t>
      </w:r>
      <w:r>
        <w:t>: “</w:t>
      </w:r>
      <w:r w:rsidR="00143674" w:rsidRPr="00143674">
        <w:rPr>
          <w:i/>
          <w:lang w:val="en-US"/>
        </w:rPr>
        <w:t xml:space="preserve">We find that </w:t>
      </w:r>
      <w:proofErr w:type="spellStart"/>
      <w:r w:rsidR="00143674" w:rsidRPr="00143674">
        <w:rPr>
          <w:i/>
          <w:lang w:val="en-US"/>
        </w:rPr>
        <w:t>baloxavir</w:t>
      </w:r>
      <w:proofErr w:type="spellEnd"/>
      <w:r w:rsidR="00143674" w:rsidRPr="00143674">
        <w:rPr>
          <w:i/>
          <w:lang w:val="en-US"/>
        </w:rPr>
        <w:t xml:space="preserve"> </w:t>
      </w:r>
      <w:proofErr w:type="spellStart"/>
      <w:r w:rsidR="00143674" w:rsidRPr="00143674">
        <w:rPr>
          <w:i/>
          <w:lang w:val="en-US"/>
        </w:rPr>
        <w:t>marboxil</w:t>
      </w:r>
      <w:proofErr w:type="spellEnd"/>
      <w:r w:rsidR="00143674" w:rsidRPr="00143674">
        <w:rPr>
          <w:i/>
          <w:lang w:val="en-US"/>
        </w:rPr>
        <w:t xml:space="preserve"> (BXM), due to its transmission-reducing potential, could avert 37–68% of mean pandemic deaths in the first epidemic wave, approximately double the impact of oseltamivir, while requiring a mean stockpile approximately </w:t>
      </w:r>
      <w:r w:rsidR="00D119DC">
        <w:rPr>
          <w:i/>
          <w:lang w:val="en-US"/>
        </w:rPr>
        <w:t>5</w:t>
      </w:r>
      <w:r w:rsidR="00143674" w:rsidRPr="00143674">
        <w:rPr>
          <w:i/>
          <w:lang w:val="en-US"/>
        </w:rPr>
        <w:t>–</w:t>
      </w:r>
      <w:r w:rsidR="00D119DC">
        <w:rPr>
          <w:i/>
          <w:lang w:val="en-US"/>
        </w:rPr>
        <w:t>10</w:t>
      </w:r>
      <w:bookmarkStart w:id="0" w:name="_GoBack"/>
      <w:bookmarkEnd w:id="0"/>
      <w:r w:rsidR="00143674" w:rsidRPr="00143674">
        <w:rPr>
          <w:i/>
          <w:lang w:val="en-US"/>
        </w:rPr>
        <w:t xml:space="preserve">% smaller (7–34% of the population, compared to 28–36% for oseltamivir). </w:t>
      </w:r>
      <w:r w:rsidR="00143674" w:rsidRPr="00143674">
        <w:rPr>
          <w:b/>
          <w:i/>
          <w:lang w:val="en-US"/>
        </w:rPr>
        <w:t>Uncertainty in viral load dynamics and transmission reduction benefits from clinical trials means that BXM's impact could vary, but sensitivity analyses consistently suggest that BXM is likely to be more effective than oseltamivir</w:t>
      </w:r>
      <w:r w:rsidR="00143674" w:rsidRPr="00143674">
        <w:rPr>
          <w:i/>
          <w:lang w:val="en-US"/>
        </w:rPr>
        <w:t>.</w:t>
      </w:r>
      <w:r>
        <w:t>”</w:t>
      </w:r>
    </w:p>
    <w:p w14:paraId="7BE54530" w14:textId="259C36A7" w:rsidR="0057602E" w:rsidRDefault="0057602E" w:rsidP="00D648BC"/>
    <w:p w14:paraId="74E97404" w14:textId="1EFD2158" w:rsidR="0057602E" w:rsidRDefault="0057602E" w:rsidP="00D648BC">
      <w:r>
        <w:t xml:space="preserve">Discussion, line </w:t>
      </w:r>
      <w:r w:rsidR="007A3804">
        <w:t>381</w:t>
      </w:r>
      <w:r>
        <w:t>: “</w:t>
      </w:r>
      <w:r w:rsidR="002B5D43" w:rsidRPr="002B5D43">
        <w:rPr>
          <w:i/>
        </w:rPr>
        <w:t xml:space="preserve">There are limitations to our study. First, we used clinical observations on viral load dynamics, treatment effectiveness and resistance prevalence measured for seasonal influenza virus infections to parameterize our model. While a future pandemic virus can have distinct epidemiological properties, in contrast to extrapolations considered in previous studies, we sought to inform antiviral treatment demand and impact using a model that is grounded on up-to-date, high-quality empirical data. </w:t>
      </w:r>
      <w:r w:rsidR="002B5D43" w:rsidRPr="002B5D43">
        <w:rPr>
          <w:b/>
          <w:i/>
        </w:rPr>
        <w:t>Second, our deterministic estimates of mean deaths averted represent the central expected impact value for each antiviral. There is considerable variability in observed viral load dynamics and transmission reduction benefit reported in clinical trials such that the true impact of BXM could be lower than our estimates. Nonetheless, our sensitivity analyses consistently demonstrated that BXM could likely reduce more transmissions, and thereby yield greater deaths averted compared to OSL in spite of the uncertainty</w:t>
      </w:r>
      <w:r w:rsidR="002B5D43" w:rsidRPr="002B5D43">
        <w:rPr>
          <w:i/>
        </w:rPr>
        <w:t>.</w:t>
      </w:r>
      <w:r>
        <w:t>”</w:t>
      </w:r>
    </w:p>
    <w:p w14:paraId="20D8CFEA" w14:textId="38ACF8FC" w:rsidR="001F351A" w:rsidRDefault="001F351A" w:rsidP="00D648BC"/>
    <w:p w14:paraId="1AF2E63A" w14:textId="3F783EA7" w:rsidR="001F351A" w:rsidRDefault="001F351A" w:rsidP="00D648BC">
      <w:r>
        <w:t>Method</w:t>
      </w:r>
      <w:r w:rsidR="004A650E">
        <w:t xml:space="preserve">ology </w:t>
      </w:r>
      <w:r>
        <w:t xml:space="preserve">details of the new Bayesian sampling analysis can be found in the SI Appendix (line </w:t>
      </w:r>
      <w:r w:rsidR="004A650E">
        <w:t>67</w:t>
      </w:r>
      <w:r>
        <w:t xml:space="preserve">): </w:t>
      </w:r>
    </w:p>
    <w:p w14:paraId="37463F62" w14:textId="77777777" w:rsidR="001F351A" w:rsidRDefault="001F351A" w:rsidP="00D648BC"/>
    <w:p w14:paraId="0418B047" w14:textId="268E6912" w:rsidR="001F351A" w:rsidRPr="00D648BC" w:rsidRDefault="001F351A" w:rsidP="00D648BC">
      <w:r>
        <w:t>“</w:t>
      </w:r>
      <w:r w:rsidRPr="001F351A">
        <w:rPr>
          <w:i/>
        </w:rPr>
        <w:t>To characterise uncertainty in the within-host viral load dynamics, we extended the differential-evolution-fitted</w:t>
      </w:r>
      <w:r w:rsidRPr="001F351A">
        <w:rPr>
          <w:rFonts w:ascii="Segoe UI Symbol" w:hAnsi="Segoe UI Symbol" w:cs="Segoe UI Symbol"/>
          <w:i/>
        </w:rPr>
        <w:t xml:space="preserve"> </w:t>
      </w:r>
      <w:r w:rsidRPr="001F351A">
        <w:rPr>
          <w:i/>
        </w:rPr>
        <w:t xml:space="preserve">ODE model to full Bayesian inference using the affine-invariant ensemble sampler implemented in emcee </w:t>
      </w:r>
      <w:r w:rsidRPr="001F351A">
        <w:rPr>
          <w:i/>
        </w:rPr>
        <w:fldChar w:fldCharType="begin"/>
      </w:r>
      <w:r w:rsidRPr="001F351A">
        <w:rPr>
          <w:i/>
        </w:rPr>
        <w:instrText xml:space="preserve"> ADDIN ZOTERO_ITEM CSL_CITATION {"citationID":"a70d23gkp9","properties":{"formattedCitation":"(10)","plainCitation":"(10)","noteIndex":0},"citationItems":[{"id":414,"uris":["http://zotero.org/users/9596130/items/X439E2WH"],"itemData":{"id":414,"type":"article-journal","abstract":"emcee: The MCMC Hammer, Foreman-Mackey, Daniel, Hogg, David W., Lang, Dustin, Goodman, Jonathan","container-title":"Publications of the Astronomical Society of the Pacific","DOI":"10.1086/670067","ISSN":"1538-3873","issue":"925","journalAbbreviation":"PASP","language":"en","note":"publisher: IOP Publishing","page":"306","source":"iopscience.iop.org","title":"emcee: The MCMC Hammer","title-short":"emcee","volume":"125","author":[{"family":"Foreman-Mackey","given":"Daniel"},{"family":"Hogg","given":"David W."},{"family":"Lang","given":"Dustin"},{"family":"Goodman","given":"Jonathan"}],"issued":{"date-parts":[["2013",2,25]]}}}],"schema":"https://github.com/citation-style-language/schema/raw/master/csl-citation.json"} </w:instrText>
      </w:r>
      <w:r w:rsidRPr="001F351A">
        <w:rPr>
          <w:i/>
        </w:rPr>
        <w:fldChar w:fldCharType="separate"/>
      </w:r>
      <w:r w:rsidRPr="001F351A">
        <w:rPr>
          <w:rFonts w:cs="Arial"/>
          <w:i/>
          <w:lang w:val="en-US"/>
        </w:rPr>
        <w:t>(10)</w:t>
      </w:r>
      <w:r w:rsidRPr="001F351A">
        <w:rPr>
          <w:i/>
        </w:rPr>
        <w:fldChar w:fldCharType="end"/>
      </w:r>
      <w:r w:rsidRPr="001F351A">
        <w:rPr>
          <w:i/>
        </w:rPr>
        <w:t xml:space="preserve">. All within-host parameters were sampled jointly. The log-likelihood was defined as a Gaussian over the observed mean and standard deviation of viral load at each sampling timepoint across the placebo, </w:t>
      </w:r>
      <w:proofErr w:type="spellStart"/>
      <w:r w:rsidRPr="001F351A">
        <w:rPr>
          <w:i/>
        </w:rPr>
        <w:t>baloxavir</w:t>
      </w:r>
      <w:proofErr w:type="spellEnd"/>
      <w:r w:rsidRPr="001F351A">
        <w:rPr>
          <w:i/>
        </w:rPr>
        <w:t xml:space="preserve">, and oseltamivir treatment arms reported in the </w:t>
      </w:r>
      <w:r w:rsidRPr="001F351A">
        <w:rPr>
          <w:i/>
          <w:lang w:val="en-US"/>
        </w:rPr>
        <w:t xml:space="preserve">CAPSTONE-1 trial </w:t>
      </w:r>
      <w:r w:rsidRPr="001F351A">
        <w:rPr>
          <w:i/>
          <w:lang w:val="en-US"/>
        </w:rPr>
        <w:fldChar w:fldCharType="begin"/>
      </w:r>
      <w:r w:rsidRPr="001F351A">
        <w:rPr>
          <w:i/>
          <w:lang w:val="en-US"/>
        </w:rPr>
        <w:instrText xml:space="preserve"> ADDIN ZOTERO_ITEM CSL_CITATION {"citationID":"a133ic31mqv","properties":{"formattedCitation":"(2)","plainCitation":"(2)","noteIndex":0},"citationItems":[{"id":9,"uris":["http://zotero.org/users/local/0pdZPGmr/items/LU5QH5UX","http://zotero.org/users/9596130/items/LU5QH5UX"],"itemData":{"id":9,"type":"article-journal","abstract":"In phase 2 and 3 randomized, controlled trials, baloxavir — an inhibitor of influenza cap-dependent endonuclease — showed evidence of clinical symptom relief and antiviral activity against influenza. However, influenza-resistant variants appeared to develop with treatment.","container-title":"New England Journal of Medicine","DOI":"10.1056/NEJMoa1716197","issue":"10","note":"publisher: Massachusetts Medical Society\n_eprint: https://www.nejm.org/doi/pdf/10.1056/NEJMoa1716197","page":"913-923","source":"Taylor and Francis+NEJM","title":"Baloxavir Marboxil for Uncomplicated Influenza in Adults and Adolescents","volume":"379","author":[{"literal":"Hayden Frederick G."},{"literal":"Sugaya Norio"},{"literal":"Hirotsu Nobuo"},{"literal":"Lee Nelson"},{"literal":"de Jong Menno D."},{"literal":"Hurt Aeron C."},{"literal":"Ishida Tadashi"},{"literal":"Sekino Hisakuni"},{"literal":"Yamada Kota"},{"literal":"Portsmouth Simon"},{"literal":"Kawaguchi Keiko"},{"literal":"Shishido Takao"},{"literal":"Arai Masatsugu"},{"literal":"Tsuchiya Kenji"},{"literal":"Uehara Takeki"},{"literal":"Watanabe Akira"}],"issued":{"date-parts":[["2018",9,6]]}}}],"schema":"https://github.com/citation-style-language/schema/raw/master/csl-citation.json"} </w:instrText>
      </w:r>
      <w:r w:rsidRPr="001F351A">
        <w:rPr>
          <w:i/>
          <w:lang w:val="en-US"/>
        </w:rPr>
        <w:fldChar w:fldCharType="separate"/>
      </w:r>
      <w:r w:rsidRPr="001F351A">
        <w:rPr>
          <w:rFonts w:ascii="Arial" w:hAnsi="Arial" w:cs="Arial"/>
          <w:i/>
          <w:sz w:val="20"/>
          <w:lang w:val="en-US"/>
        </w:rPr>
        <w:t>(2)</w:t>
      </w:r>
      <w:r w:rsidRPr="001F351A">
        <w:rPr>
          <w:i/>
          <w:lang w:val="en-US"/>
        </w:rPr>
        <w:fldChar w:fldCharType="end"/>
      </w:r>
      <w:r w:rsidRPr="001F351A">
        <w:rPr>
          <w:i/>
        </w:rPr>
        <w:t xml:space="preserve">. An informative Beta(50, 2) prior was placed on </w:t>
      </w:r>
      <m:oMath>
        <m:sSub>
          <m:sSubPr>
            <m:ctrlPr>
              <w:rPr>
                <w:rFonts w:ascii="Cambria Math" w:hAnsi="Cambria Math"/>
                <w:i/>
                <w:lang w:val="en-US"/>
              </w:rPr>
            </m:ctrlPr>
          </m:sSubPr>
          <m:e>
            <m:r>
              <w:rPr>
                <w:rFonts w:ascii="Cambria Math" w:hAnsi="Cambria Math"/>
                <w:lang w:val="en-US"/>
              </w:rPr>
              <m:t>e</m:t>
            </m:r>
          </m:e>
          <m:sub>
            <m:r>
              <w:rPr>
                <w:rFonts w:ascii="Cambria Math" w:hAnsi="Cambria Math"/>
              </w:rPr>
              <m:t>treatment</m:t>
            </m:r>
          </m:sub>
        </m:sSub>
      </m:oMath>
      <w:r w:rsidRPr="001F351A">
        <w:rPr>
          <w:i/>
        </w:rPr>
        <w:t xml:space="preserve"> for both baloxavir and oseltamivir while and log-uniform priors were assumed for the rest. The sampler was run with 32 walkers for 5,000 steps. Convergence was</w:t>
      </w:r>
      <w:r w:rsidRPr="001F351A">
        <w:rPr>
          <w:rFonts w:ascii="Segoe UI Symbol" w:hAnsi="Segoe UI Symbol" w:cs="Segoe UI Symbol"/>
          <w:i/>
          <w:lang w:val="en-US"/>
        </w:rPr>
        <w:t xml:space="preserve"> </w:t>
      </w:r>
      <w:r w:rsidRPr="001F351A">
        <w:rPr>
          <w:i/>
        </w:rPr>
        <w:t>assessed via integrated autocorrelation time and effective sample sizes were &gt; 200 for all parameters. Five hundred draws were then randomly selected from the posterior and the resulting infectiousness profiles were propagated through the between-host transmission model to obtain the posterior distribution of epidemic outcomes.</w:t>
      </w:r>
      <w:r>
        <w:t>”</w:t>
      </w:r>
    </w:p>
    <w:sectPr w:rsidR="001F351A" w:rsidRPr="00D648BC" w:rsidSect="003103AC">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Segoe UI">
    <w:altName w:val="Arial"/>
    <w:panose1 w:val="020B0604020202020204"/>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2FF" w:usb1="420024FF"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8"/>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477A"/>
    <w:rsid w:val="00143674"/>
    <w:rsid w:val="001F351A"/>
    <w:rsid w:val="001F477A"/>
    <w:rsid w:val="002B5D43"/>
    <w:rsid w:val="003103AC"/>
    <w:rsid w:val="004A650E"/>
    <w:rsid w:val="0057602E"/>
    <w:rsid w:val="00664B26"/>
    <w:rsid w:val="00724E92"/>
    <w:rsid w:val="007A1057"/>
    <w:rsid w:val="007A3804"/>
    <w:rsid w:val="00912D4C"/>
    <w:rsid w:val="009F737C"/>
    <w:rsid w:val="00B9286E"/>
    <w:rsid w:val="00D119DC"/>
    <w:rsid w:val="00D648BC"/>
    <w:rsid w:val="00E4702F"/>
    <w:rsid w:val="00F051BF"/>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4809F76"/>
  <w15:chartTrackingRefBased/>
  <w15:docId w15:val="{A9A5CD7D-1D13-FA4D-9ED2-6C36B21B4E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SG"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79431669">
      <w:bodyDiv w:val="1"/>
      <w:marLeft w:val="0"/>
      <w:marRight w:val="0"/>
      <w:marTop w:val="0"/>
      <w:marBottom w:val="0"/>
      <w:divBdr>
        <w:top w:val="none" w:sz="0" w:space="0" w:color="auto"/>
        <w:left w:val="none" w:sz="0" w:space="0" w:color="auto"/>
        <w:bottom w:val="none" w:sz="0" w:space="0" w:color="auto"/>
        <w:right w:val="none" w:sz="0" w:space="0" w:color="auto"/>
      </w:divBdr>
    </w:div>
    <w:div w:id="736630354">
      <w:bodyDiv w:val="1"/>
      <w:marLeft w:val="0"/>
      <w:marRight w:val="0"/>
      <w:marTop w:val="0"/>
      <w:marBottom w:val="0"/>
      <w:divBdr>
        <w:top w:val="none" w:sz="0" w:space="0" w:color="auto"/>
        <w:left w:val="none" w:sz="0" w:space="0" w:color="auto"/>
        <w:bottom w:val="none" w:sz="0" w:space="0" w:color="auto"/>
        <w:right w:val="none" w:sz="0" w:space="0" w:color="auto"/>
      </w:divBdr>
    </w:div>
    <w:div w:id="17570207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945</TotalTime>
  <Pages>3</Pages>
  <Words>1656</Words>
  <Characters>9442</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Alvin Han</dc:creator>
  <cp:keywords/>
  <dc:description/>
  <cp:lastModifiedBy>Alvin Han</cp:lastModifiedBy>
  <cp:revision>16</cp:revision>
  <dcterms:created xsi:type="dcterms:W3CDTF">2026-05-03T07:36:00Z</dcterms:created>
  <dcterms:modified xsi:type="dcterms:W3CDTF">2026-05-08T16:58:00Z</dcterms:modified>
</cp:coreProperties>
</file>