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96ADAE" w14:textId="609F88B1" w:rsidR="00035613" w:rsidRPr="00CC6976" w:rsidRDefault="00035613" w:rsidP="000B7B15">
      <w:pPr>
        <w:pStyle w:val="Heading1"/>
      </w:pPr>
      <w:r w:rsidRPr="00CC6976">
        <w:t>Supplementary Information</w:t>
      </w:r>
    </w:p>
    <w:p w14:paraId="6C49B176" w14:textId="7013A465" w:rsidR="00134B19" w:rsidRPr="00CC6976" w:rsidRDefault="000B7B15" w:rsidP="000B7B15">
      <w:pPr>
        <w:pStyle w:val="Heading1"/>
      </w:pPr>
      <w:r w:rsidRPr="00CC6976">
        <w:t>The global demand and potential public health impact of oral antiviral treatment stockpile for influenza pandemics</w:t>
      </w:r>
      <w:r w:rsidR="00134B19" w:rsidRPr="00CC6976">
        <w:t xml:space="preserve"> </w:t>
      </w:r>
    </w:p>
    <w:p w14:paraId="6229E045" w14:textId="77777777" w:rsidR="00134B19" w:rsidRPr="00CC6976" w:rsidRDefault="00134B19" w:rsidP="00134B19"/>
    <w:p w14:paraId="7B8DA030" w14:textId="5A859ADD" w:rsidR="00134B19" w:rsidRPr="00CC6976" w:rsidRDefault="00134B19" w:rsidP="0055385D">
      <w:pPr>
        <w:spacing w:line="276" w:lineRule="auto"/>
      </w:pPr>
      <w:r w:rsidRPr="00CC6976">
        <w:t>Alvin X. Han</w:t>
      </w:r>
      <w:r w:rsidRPr="00CC6976">
        <w:rPr>
          <w:vertAlign w:val="superscript"/>
        </w:rPr>
        <w:t>1</w:t>
      </w:r>
      <w:r w:rsidRPr="00CC6976">
        <w:t xml:space="preserve">, </w:t>
      </w:r>
      <w:r w:rsidR="002E4231" w:rsidRPr="00CC6976">
        <w:t xml:space="preserve"> Katina Hulme</w:t>
      </w:r>
      <w:r w:rsidR="002E4231" w:rsidRPr="00CC6976">
        <w:rPr>
          <w:vertAlign w:val="superscript"/>
        </w:rPr>
        <w:t>1</w:t>
      </w:r>
      <w:r w:rsidR="005A7129" w:rsidRPr="00CC6976">
        <w:t xml:space="preserve">, </w:t>
      </w:r>
      <w:r w:rsidRPr="00CC6976">
        <w:t>Colin A. Russell</w:t>
      </w:r>
      <w:r w:rsidRPr="00CC6976">
        <w:rPr>
          <w:vertAlign w:val="superscript"/>
        </w:rPr>
        <w:t>1</w:t>
      </w:r>
    </w:p>
    <w:p w14:paraId="47458938" w14:textId="59FF6DA7" w:rsidR="0055385D" w:rsidRPr="00CC6976" w:rsidRDefault="00134B19" w:rsidP="0055385D">
      <w:pPr>
        <w:spacing w:line="276" w:lineRule="auto"/>
      </w:pPr>
      <w:r w:rsidRPr="00CC6976">
        <w:rPr>
          <w:vertAlign w:val="superscript"/>
        </w:rPr>
        <w:t>1</w:t>
      </w:r>
      <w:r w:rsidRPr="00CC6976">
        <w:t>Department of Medical Microbiology and Infection Prevention, Amsterdam University Medical Center, University of Amsterdam, Amsterdam, The Netherlands</w:t>
      </w:r>
    </w:p>
    <w:p w14:paraId="371E85A5" w14:textId="28F9ECF3" w:rsidR="00F73AF7" w:rsidRPr="00CC6976" w:rsidRDefault="00F73AF7" w:rsidP="0055385D">
      <w:pPr>
        <w:spacing w:line="276" w:lineRule="auto"/>
      </w:pPr>
    </w:p>
    <w:p w14:paraId="1703F03C" w14:textId="33B5323E" w:rsidR="00F73AF7" w:rsidRPr="00CC6976" w:rsidRDefault="00F73AF7" w:rsidP="0055385D">
      <w:pPr>
        <w:spacing w:line="276" w:lineRule="auto"/>
      </w:pPr>
      <w:r w:rsidRPr="00CC6976">
        <w:t>Corresponding author: Alvin X. Han (</w:t>
      </w:r>
      <w:hyperlink r:id="rId8" w:history="1">
        <w:r w:rsidRPr="00CC6976">
          <w:rPr>
            <w:rStyle w:val="Hyperlink"/>
          </w:rPr>
          <w:t>x.han@amsterdamumc.nl</w:t>
        </w:r>
      </w:hyperlink>
      <w:r w:rsidRPr="00CC6976">
        <w:t>)</w:t>
      </w:r>
    </w:p>
    <w:p w14:paraId="3F429C22" w14:textId="77777777" w:rsidR="0055385D" w:rsidRPr="00F04787" w:rsidRDefault="0055385D" w:rsidP="0055385D">
      <w:pPr>
        <w:spacing w:line="276" w:lineRule="auto"/>
      </w:pPr>
    </w:p>
    <w:p w14:paraId="1A378BBE" w14:textId="77777777" w:rsidR="000B7B15" w:rsidRDefault="000B7B15">
      <w:pPr>
        <w:rPr>
          <w:rFonts w:eastAsia="Times New Roman"/>
          <w:b/>
          <w:lang w:val="en-US"/>
        </w:rPr>
      </w:pPr>
      <w:bookmarkStart w:id="0" w:name="_Toc192246971"/>
      <w:r>
        <w:br w:type="page"/>
      </w:r>
    </w:p>
    <w:p w14:paraId="1331BCC9" w14:textId="79B119CB" w:rsidR="000C153F" w:rsidRDefault="00A446F7" w:rsidP="000C153F">
      <w:pPr>
        <w:pStyle w:val="Heading1"/>
      </w:pPr>
      <w:r w:rsidRPr="00F04787">
        <w:lastRenderedPageBreak/>
        <w:t>Within-host model</w:t>
      </w:r>
      <w:bookmarkEnd w:id="0"/>
    </w:p>
    <w:p w14:paraId="7D581DB4" w14:textId="7C991B49" w:rsidR="00A446F7" w:rsidRPr="00F04787" w:rsidRDefault="00A446F7" w:rsidP="00A446F7">
      <w:pPr>
        <w:rPr>
          <w:lang w:val="en-US"/>
        </w:rPr>
      </w:pPr>
      <w:r w:rsidRPr="00F04787">
        <w:rPr>
          <w:lang w:val="en-US"/>
        </w:rPr>
        <w:t xml:space="preserve">We used </w:t>
      </w:r>
      <w:r w:rsidR="00636B99">
        <w:rPr>
          <w:lang w:val="en-US"/>
        </w:rPr>
        <w:t xml:space="preserve">a </w:t>
      </w:r>
      <w:r w:rsidRPr="00F04787">
        <w:rPr>
          <w:lang w:val="en-US"/>
        </w:rPr>
        <w:t>within-host model</w:t>
      </w:r>
      <w:r w:rsidR="00AC50CE">
        <w:rPr>
          <w:lang w:val="en-US"/>
        </w:rPr>
        <w:t xml:space="preserve"> (</w:t>
      </w:r>
      <w:r w:rsidR="004F373C">
        <w:rPr>
          <w:lang w:val="en-US"/>
        </w:rPr>
        <w:t xml:space="preserve">Extended Data Fig. </w:t>
      </w:r>
      <w:r w:rsidR="00471BF0">
        <w:rPr>
          <w:lang w:val="en-US"/>
        </w:rPr>
        <w:t>8</w:t>
      </w:r>
      <w:r w:rsidR="00AC50CE">
        <w:rPr>
          <w:lang w:val="en-US"/>
        </w:rPr>
        <w:t>)</w:t>
      </w:r>
      <w:r w:rsidRPr="00F04787">
        <w:rPr>
          <w:lang w:val="en-US"/>
        </w:rPr>
        <w:t xml:space="preserve"> to estimate the replication dynamics of the inoculating treatment-susceptible virus and treatment-resistant mutant virus since infection, as well as the effectiveness of antiviral treatment to suppress treatment-susceptible virus replication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treatment</m:t>
            </m:r>
          </m:sub>
        </m:sSub>
      </m:oMath>
      <w:r w:rsidRPr="00F04787">
        <w:rPr>
          <w:lang w:val="en-US"/>
        </w:rPr>
        <w:t xml:space="preserve">): </w:t>
      </w:r>
    </w:p>
    <w:p w14:paraId="56616D2A" w14:textId="77777777" w:rsidR="00A446F7" w:rsidRPr="00F04787" w:rsidRDefault="00A446F7" w:rsidP="00A446F7">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A446F7" w:rsidRPr="00F04787" w14:paraId="4358F49C" w14:textId="77777777" w:rsidTr="001B626F">
        <w:tc>
          <w:tcPr>
            <w:tcW w:w="8075" w:type="dxa"/>
            <w:vAlign w:val="center"/>
          </w:tcPr>
          <w:p w14:paraId="38788511" w14:textId="77777777" w:rsidR="00A446F7" w:rsidRPr="00F04787" w:rsidRDefault="00071619" w:rsidP="001B626F">
            <w:pPr>
              <w:jc w:val="center"/>
              <w:rPr>
                <w:lang w:val="en-US"/>
              </w:rPr>
            </w:pPr>
            <m:oMathPara>
              <m:oMath>
                <m:f>
                  <m:fPr>
                    <m:ctrlPr>
                      <w:rPr>
                        <w:rFonts w:ascii="Cambria Math" w:hAnsi="Cambria Math"/>
                        <w:i/>
                        <w:lang w:val="en-US"/>
                      </w:rPr>
                    </m:ctrlPr>
                  </m:fPr>
                  <m:num>
                    <m:r>
                      <w:rPr>
                        <w:rFonts w:ascii="Cambria Math" w:hAnsi="Cambria Math"/>
                        <w:lang w:val="en-US"/>
                      </w:rPr>
                      <m:t>dT</m:t>
                    </m:r>
                  </m:num>
                  <m:den>
                    <m:r>
                      <w:rPr>
                        <w:rFonts w:ascii="Cambria Math" w:hAnsi="Cambria Math"/>
                        <w:lang w:val="en-US"/>
                      </w:rPr>
                      <m:t>dt</m:t>
                    </m:r>
                  </m:den>
                </m:f>
                <m:r>
                  <m:rPr>
                    <m:aln/>
                  </m:rPr>
                  <w:rPr>
                    <w:rFonts w:ascii="Cambria Math" w:hAnsi="Cambria Math"/>
                    <w:lang w:val="en-US"/>
                  </w:rPr>
                  <m:t>=-T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w</m:t>
                        </m:r>
                      </m:sub>
                    </m:s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w</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m</m:t>
                        </m:r>
                      </m:sub>
                    </m:s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m</m:t>
                        </m:r>
                      </m:sub>
                    </m:sSub>
                  </m:e>
                </m:d>
                <m:r>
                  <m:rPr>
                    <m:scr m:val="script"/>
                  </m:rPr>
                  <w:rPr>
                    <w:rFonts w:ascii="Cambria Math" w:hAnsi="Cambria Math"/>
                    <w:lang w:val="en-US"/>
                  </w:rPr>
                  <m:t>-l</m:t>
                </m:r>
                <m:r>
                  <w:rPr>
                    <w:rFonts w:ascii="Cambria Math" w:hAnsi="Cambria Math"/>
                    <w:lang w:val="en-US"/>
                  </w:rPr>
                  <m:t>TF+rR</m:t>
                </m:r>
              </m:oMath>
            </m:oMathPara>
          </w:p>
        </w:tc>
        <w:tc>
          <w:tcPr>
            <w:tcW w:w="935" w:type="dxa"/>
            <w:vAlign w:val="center"/>
          </w:tcPr>
          <w:p w14:paraId="0295AEA0" w14:textId="77777777" w:rsidR="00A446F7" w:rsidRPr="00F04787" w:rsidRDefault="00A446F7" w:rsidP="001B626F">
            <w:pPr>
              <w:jc w:val="center"/>
              <w:rPr>
                <w:lang w:val="en-US"/>
              </w:rPr>
            </w:pPr>
            <m:oMathPara>
              <m:oMath>
                <m:r>
                  <w:rPr>
                    <w:rFonts w:ascii="Cambria Math" w:hAnsi="Cambria Math"/>
                    <w:lang w:val="en-US"/>
                  </w:rPr>
                  <m:t>(1)</m:t>
                </m:r>
              </m:oMath>
            </m:oMathPara>
          </w:p>
        </w:tc>
      </w:tr>
      <w:tr w:rsidR="00A446F7" w:rsidRPr="00F04787" w14:paraId="58C593EF" w14:textId="77777777" w:rsidTr="001B62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075" w:type="dxa"/>
            <w:tcBorders>
              <w:top w:val="nil"/>
              <w:left w:val="nil"/>
              <w:bottom w:val="nil"/>
              <w:right w:val="nil"/>
            </w:tcBorders>
          </w:tcPr>
          <w:p w14:paraId="46ACDF43" w14:textId="77777777" w:rsidR="00A446F7" w:rsidRPr="00F04787" w:rsidRDefault="00071619" w:rsidP="001B626F">
            <w:pPr>
              <w:jc w:val="center"/>
              <w:rPr>
                <w:rFonts w:eastAsia="DengXian"/>
                <w:lang w:val="en-US"/>
              </w:rPr>
            </w:pPr>
            <m:oMathPara>
              <m:oMath>
                <m:f>
                  <m:fPr>
                    <m:ctrlPr>
                      <w:rPr>
                        <w:rFonts w:ascii="Cambria Math" w:hAnsi="Cambria Math"/>
                        <w:i/>
                        <w:lang w:val="en-US"/>
                      </w:rPr>
                    </m:ctrlPr>
                  </m:fPr>
                  <m:num>
                    <m:r>
                      <w:rPr>
                        <w:rFonts w:ascii="Cambria Math" w:hAnsi="Cambria Math"/>
                        <w:lang w:val="en-US"/>
                      </w:rPr>
                      <m:t>dR</m:t>
                    </m:r>
                  </m:num>
                  <m:den>
                    <m:r>
                      <w:rPr>
                        <w:rFonts w:ascii="Cambria Math" w:hAnsi="Cambria Math"/>
                        <w:lang w:val="en-US"/>
                      </w:rPr>
                      <m:t>dt</m:t>
                    </m:r>
                  </m:den>
                </m:f>
                <m:r>
                  <m:rPr>
                    <m:scr m:val="script"/>
                    <m:aln/>
                  </m:rPr>
                  <w:rPr>
                    <w:rFonts w:ascii="Cambria Math" w:hAnsi="Cambria Math"/>
                    <w:lang w:val="en-US"/>
                  </w:rPr>
                  <m:t>=l</m:t>
                </m:r>
                <m:r>
                  <w:rPr>
                    <w:rFonts w:ascii="Cambria Math" w:hAnsi="Cambria Math"/>
                    <w:lang w:val="en-US"/>
                  </w:rPr>
                  <m:t>TF-rR</m:t>
                </m:r>
              </m:oMath>
            </m:oMathPara>
          </w:p>
        </w:tc>
        <w:tc>
          <w:tcPr>
            <w:tcW w:w="935" w:type="dxa"/>
            <w:tcBorders>
              <w:top w:val="nil"/>
              <w:left w:val="nil"/>
              <w:bottom w:val="nil"/>
              <w:right w:val="nil"/>
            </w:tcBorders>
          </w:tcPr>
          <w:p w14:paraId="70FDEEF8" w14:textId="77777777" w:rsidR="00A446F7" w:rsidRPr="00F04787" w:rsidRDefault="00A446F7" w:rsidP="001B626F">
            <w:pPr>
              <w:jc w:val="center"/>
              <w:rPr>
                <w:rFonts w:eastAsia="DengXian"/>
                <w:lang w:val="en-US"/>
              </w:rPr>
            </w:pPr>
            <m:oMathPara>
              <m:oMath>
                <m:r>
                  <w:rPr>
                    <w:rFonts w:ascii="Cambria Math" w:hAnsi="Cambria Math"/>
                    <w:lang w:val="en-US"/>
                  </w:rPr>
                  <m:t>(2)</m:t>
                </m:r>
              </m:oMath>
            </m:oMathPara>
          </w:p>
        </w:tc>
      </w:tr>
      <w:tr w:rsidR="00A446F7" w:rsidRPr="00F04787" w14:paraId="6245DF68" w14:textId="77777777" w:rsidTr="001B62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075" w:type="dxa"/>
            <w:tcBorders>
              <w:top w:val="nil"/>
              <w:left w:val="nil"/>
              <w:bottom w:val="nil"/>
              <w:right w:val="nil"/>
            </w:tcBorders>
          </w:tcPr>
          <w:p w14:paraId="2EC90AC5" w14:textId="77777777" w:rsidR="00A446F7" w:rsidRPr="00F04787" w:rsidRDefault="00071619" w:rsidP="001B626F">
            <w:pPr>
              <w:jc w:val="center"/>
              <w:rPr>
                <w:lang w:val="en-US"/>
              </w:rPr>
            </w:pPr>
            <m:oMathPara>
              <m:oMath>
                <m:f>
                  <m:fPr>
                    <m:ctrlPr>
                      <w:rPr>
                        <w:rFonts w:ascii="Cambria Math" w:hAnsi="Cambria Math"/>
                        <w:i/>
                        <w:lang w:val="en-US"/>
                      </w:rPr>
                    </m:ctrlPr>
                  </m:fPr>
                  <m:num>
                    <m:r>
                      <w:rPr>
                        <w:rFonts w:ascii="Cambria Math" w:hAnsi="Cambria Math"/>
                        <w:lang w:val="en-US"/>
                      </w:rPr>
                      <m:t>d</m:t>
                    </m:r>
                    <m:sSub>
                      <m:sSubPr>
                        <m:ctrlPr>
                          <w:rPr>
                            <w:rFonts w:ascii="Cambria Math" w:hAnsi="Cambria Math"/>
                            <w:i/>
                            <w:lang w:val="en-US"/>
                          </w:rPr>
                        </m:ctrlPr>
                      </m:sSubPr>
                      <m:e>
                        <m:r>
                          <w:rPr>
                            <w:rFonts w:ascii="Cambria Math" w:hAnsi="Cambria Math"/>
                            <w:lang w:val="en-US"/>
                          </w:rPr>
                          <m:t>I</m:t>
                        </m:r>
                      </m:e>
                      <m:sub>
                        <m:r>
                          <m:rPr>
                            <m:scr m:val="script"/>
                          </m:rPr>
                          <w:rPr>
                            <w:rFonts w:ascii="Cambria Math" w:hAnsi="Cambria Math"/>
                            <w:lang w:val="en-US"/>
                          </w:rPr>
                          <m:t>V</m:t>
                        </m:r>
                      </m:sub>
                    </m:sSub>
                  </m:num>
                  <m:den>
                    <m:r>
                      <w:rPr>
                        <w:rFonts w:ascii="Cambria Math" w:hAnsi="Cambria Math"/>
                        <w:lang w:val="en-US"/>
                      </w:rPr>
                      <m:t>dt</m:t>
                    </m:r>
                  </m:den>
                </m:f>
                <m:r>
                  <m:rPr>
                    <m:aln/>
                  </m:rP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m:rPr>
                        <m:scr m:val="script"/>
                      </m:rPr>
                      <w:rPr>
                        <w:rFonts w:ascii="Cambria Math" w:hAnsi="Cambria Math"/>
                        <w:lang w:val="en-US"/>
                      </w:rPr>
                      <m:t>V</m:t>
                    </m:r>
                  </m:sub>
                </m:sSub>
                <m:r>
                  <w:rPr>
                    <w:rFonts w:ascii="Cambria Math" w:hAnsi="Cambria Math"/>
                    <w:lang w:val="en-US"/>
                  </w:rPr>
                  <m:t>T</m:t>
                </m:r>
                <m:sSub>
                  <m:sSubPr>
                    <m:ctrlPr>
                      <w:rPr>
                        <w:rFonts w:ascii="Cambria Math" w:hAnsi="Cambria Math"/>
                        <w:i/>
                        <w:lang w:val="en-US"/>
                      </w:rPr>
                    </m:ctrlPr>
                  </m:sSubPr>
                  <m:e>
                    <m:r>
                      <w:rPr>
                        <w:rFonts w:ascii="Cambria Math" w:hAnsi="Cambria Math"/>
                        <w:lang w:val="en-US"/>
                      </w:rPr>
                      <m:t>V</m:t>
                    </m:r>
                  </m:e>
                  <m:sub>
                    <m:r>
                      <m:rPr>
                        <m:scr m:val="script"/>
                      </m:rPr>
                      <w:rPr>
                        <w:rFonts w:ascii="Cambria Math" w:hAnsi="Cambria Math"/>
                        <w:lang w:val="en-US"/>
                      </w:rPr>
                      <m:t>V</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C</m:t>
                    </m:r>
                  </m:sub>
                </m:sSub>
                <m:sSub>
                  <m:sSubPr>
                    <m:ctrlPr>
                      <w:rPr>
                        <w:rFonts w:ascii="Cambria Math" w:hAnsi="Cambria Math"/>
                        <w:i/>
                        <w:lang w:val="en-US"/>
                      </w:rPr>
                    </m:ctrlPr>
                  </m:sSubPr>
                  <m:e>
                    <m:r>
                      <w:rPr>
                        <w:rFonts w:ascii="Cambria Math" w:hAnsi="Cambria Math"/>
                        <w:lang w:val="en-US"/>
                      </w:rPr>
                      <m:t>I</m:t>
                    </m:r>
                  </m:e>
                  <m:sub>
                    <m:r>
                      <m:rPr>
                        <m:scr m:val="script"/>
                      </m:rPr>
                      <w:rPr>
                        <w:rFonts w:ascii="Cambria Math" w:hAnsi="Cambria Math"/>
                        <w:lang w:val="en-US"/>
                      </w:rPr>
                      <m:t>V</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I</m:t>
                    </m:r>
                  </m:e>
                  <m:sub>
                    <m:r>
                      <m:rPr>
                        <m:scr m:val="script"/>
                      </m:rPr>
                      <w:rPr>
                        <w:rFonts w:ascii="Cambria Math" w:hAnsi="Cambria Math"/>
                        <w:lang w:val="en-US"/>
                      </w:rPr>
                      <m:t>V</m:t>
                    </m:r>
                  </m:sub>
                </m:sSub>
                <m:r>
                  <w:rPr>
                    <w:rFonts w:ascii="Cambria Math" w:hAnsi="Cambria Math"/>
                    <w:lang w:val="en-US"/>
                  </w:rPr>
                  <m:t xml:space="preserve">F             ∀ </m:t>
                </m:r>
                <m:r>
                  <m:rPr>
                    <m:scr m:val="script"/>
                  </m:rPr>
                  <w:rPr>
                    <w:rFonts w:ascii="Cambria Math" w:hAnsi="Cambria Math"/>
                    <w:lang w:val="en-US"/>
                  </w:rPr>
                  <m:t>V∈</m:t>
                </m:r>
                <m:d>
                  <m:dPr>
                    <m:begChr m:val="{"/>
                    <m:endChr m:val="}"/>
                    <m:ctrlPr>
                      <w:rPr>
                        <w:rFonts w:ascii="Cambria Math" w:hAnsi="Cambria Math"/>
                        <w:i/>
                        <w:lang w:val="en-US"/>
                      </w:rPr>
                    </m:ctrlPr>
                  </m:dPr>
                  <m:e>
                    <m:r>
                      <w:rPr>
                        <w:rFonts w:ascii="Cambria Math" w:hAnsi="Cambria Math"/>
                        <w:lang w:val="en-US"/>
                      </w:rPr>
                      <m:t>w,v</m:t>
                    </m:r>
                  </m:e>
                </m:d>
              </m:oMath>
            </m:oMathPara>
          </w:p>
        </w:tc>
        <w:tc>
          <w:tcPr>
            <w:tcW w:w="935" w:type="dxa"/>
            <w:tcBorders>
              <w:top w:val="nil"/>
              <w:left w:val="nil"/>
              <w:bottom w:val="nil"/>
              <w:right w:val="nil"/>
            </w:tcBorders>
          </w:tcPr>
          <w:p w14:paraId="71AF0453" w14:textId="77777777" w:rsidR="00A446F7" w:rsidRPr="00F04787" w:rsidRDefault="00A446F7" w:rsidP="001B626F">
            <w:pPr>
              <w:jc w:val="center"/>
              <w:rPr>
                <w:lang w:val="en-US"/>
              </w:rPr>
            </w:pPr>
            <m:oMathPara>
              <m:oMath>
                <m:r>
                  <w:rPr>
                    <w:rFonts w:ascii="Cambria Math" w:hAnsi="Cambria Math"/>
                    <w:lang w:val="en-US"/>
                  </w:rPr>
                  <m:t>(3)</m:t>
                </m:r>
              </m:oMath>
            </m:oMathPara>
          </w:p>
        </w:tc>
      </w:tr>
      <w:tr w:rsidR="00A446F7" w:rsidRPr="00F04787" w14:paraId="6B8C85E2" w14:textId="77777777" w:rsidTr="001B62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075" w:type="dxa"/>
            <w:tcBorders>
              <w:top w:val="nil"/>
              <w:left w:val="nil"/>
              <w:bottom w:val="nil"/>
              <w:right w:val="nil"/>
            </w:tcBorders>
          </w:tcPr>
          <w:p w14:paraId="2D989158" w14:textId="77777777" w:rsidR="00A446F7" w:rsidRPr="00F04787" w:rsidRDefault="00071619" w:rsidP="001B626F">
            <w:pPr>
              <w:jc w:val="center"/>
              <w:rPr>
                <w:lang w:val="en-US"/>
              </w:rPr>
            </w:pPr>
            <m:oMathPara>
              <m:oMath>
                <m:f>
                  <m:fPr>
                    <m:ctrlPr>
                      <w:rPr>
                        <w:rFonts w:ascii="Cambria Math" w:hAnsi="Cambria Math"/>
                        <w:i/>
                        <w:lang w:val="en-US"/>
                      </w:rPr>
                    </m:ctrlPr>
                  </m:fPr>
                  <m:num>
                    <m:r>
                      <w:rPr>
                        <w:rFonts w:ascii="Cambria Math" w:hAnsi="Cambria Math"/>
                        <w:lang w:val="en-US"/>
                      </w:rPr>
                      <m:t>dF</m:t>
                    </m:r>
                  </m:num>
                  <m:den>
                    <m:r>
                      <w:rPr>
                        <w:rFonts w:ascii="Cambria Math" w:hAnsi="Cambria Math"/>
                        <w:lang w:val="en-US"/>
                      </w:rPr>
                      <m:t>dt</m:t>
                    </m:r>
                  </m:den>
                </m:f>
                <m:r>
                  <m:rPr>
                    <m:aln/>
                  </m:rP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F</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w</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m</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F</m:t>
                    </m:r>
                  </m:sub>
                </m:sSub>
                <m:r>
                  <w:rPr>
                    <w:rFonts w:ascii="Cambria Math" w:hAnsi="Cambria Math"/>
                    <w:lang w:val="en-US"/>
                  </w:rPr>
                  <m:t>F</m:t>
                </m:r>
              </m:oMath>
            </m:oMathPara>
          </w:p>
        </w:tc>
        <w:tc>
          <w:tcPr>
            <w:tcW w:w="935" w:type="dxa"/>
            <w:tcBorders>
              <w:top w:val="nil"/>
              <w:left w:val="nil"/>
              <w:bottom w:val="nil"/>
              <w:right w:val="nil"/>
            </w:tcBorders>
          </w:tcPr>
          <w:p w14:paraId="510C9A69" w14:textId="77777777" w:rsidR="00A446F7" w:rsidRPr="00F04787" w:rsidRDefault="00A446F7" w:rsidP="001B626F">
            <w:pPr>
              <w:jc w:val="center"/>
              <w:rPr>
                <w:lang w:val="en-US"/>
              </w:rPr>
            </w:pPr>
            <m:oMathPara>
              <m:oMath>
                <m:r>
                  <w:rPr>
                    <w:rFonts w:ascii="Cambria Math" w:hAnsi="Cambria Math"/>
                    <w:lang w:val="en-US"/>
                  </w:rPr>
                  <m:t>(4)</m:t>
                </m:r>
              </m:oMath>
            </m:oMathPara>
          </w:p>
        </w:tc>
      </w:tr>
      <w:tr w:rsidR="00A446F7" w:rsidRPr="00F04787" w14:paraId="4289BD96" w14:textId="77777777" w:rsidTr="001B62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075" w:type="dxa"/>
            <w:tcBorders>
              <w:top w:val="nil"/>
              <w:left w:val="nil"/>
              <w:bottom w:val="nil"/>
              <w:right w:val="nil"/>
            </w:tcBorders>
          </w:tcPr>
          <w:p w14:paraId="08F923D8" w14:textId="2D205F86" w:rsidR="00A446F7" w:rsidRPr="00F04787" w:rsidRDefault="00071619" w:rsidP="001B626F">
            <w:pPr>
              <w:jc w:val="center"/>
              <w:rPr>
                <w:lang w:val="en-US"/>
              </w:rPr>
            </w:pPr>
            <m:oMathPara>
              <m:oMath>
                <m:f>
                  <m:fPr>
                    <m:ctrlPr>
                      <w:rPr>
                        <w:rFonts w:ascii="Cambria Math" w:hAnsi="Cambria Math"/>
                        <w:i/>
                        <w:lang w:val="en-US"/>
                      </w:rPr>
                    </m:ctrlPr>
                  </m:fPr>
                  <m:num>
                    <m:r>
                      <w:rPr>
                        <w:rFonts w:ascii="Cambria Math" w:hAnsi="Cambria Math"/>
                        <w:lang w:val="en-US"/>
                      </w:rPr>
                      <m:t>d</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w</m:t>
                        </m:r>
                      </m:sub>
                    </m:sSub>
                  </m:num>
                  <m:den>
                    <m:r>
                      <w:rPr>
                        <w:rFonts w:ascii="Cambria Math" w:hAnsi="Cambria Math"/>
                        <w:lang w:val="en-US"/>
                      </w:rPr>
                      <m:t>dt</m:t>
                    </m:r>
                  </m:den>
                </m:f>
                <m:r>
                  <m:rPr>
                    <m:aln/>
                  </m:rP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w</m:t>
                    </m:r>
                  </m:sub>
                </m:sSub>
                <m:d>
                  <m:dPr>
                    <m:begChr m:val="["/>
                    <m:endChr m:val="]"/>
                    <m:ctrlPr>
                      <w:rPr>
                        <w:rFonts w:ascii="Cambria Math" w:hAnsi="Cambria Math"/>
                        <w:i/>
                        <w:lang w:val="en-US"/>
                      </w:rPr>
                    </m:ctrlPr>
                  </m:dPr>
                  <m:e>
                    <m:r>
                      <w:rPr>
                        <w:rFonts w:ascii="Cambria Math" w:hAnsi="Cambria Math"/>
                        <w:lang w:val="en-US"/>
                      </w:rPr>
                      <m:t>1-μδ</m:t>
                    </m:r>
                    <m:d>
                      <m:dPr>
                        <m:ctrlPr>
                          <w:rPr>
                            <w:rFonts w:ascii="Cambria Math" w:hAnsi="Cambria Math"/>
                            <w:i/>
                            <w:lang w:val="en-US"/>
                          </w:rPr>
                        </m:ctrlPr>
                      </m:dPr>
                      <m:e>
                        <m:r>
                          <w:rPr>
                            <w:rFonts w:ascii="Cambria Math" w:hAnsi="Cambria Math"/>
                            <w:lang w:val="en-US"/>
                          </w:rPr>
                          <m:t>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treatment</m:t>
                            </m:r>
                          </m:sub>
                        </m:sSub>
                      </m:e>
                    </m:d>
                  </m:e>
                </m:d>
                <m:d>
                  <m:dPr>
                    <m:begChr m:val="["/>
                    <m:endChr m:val="]"/>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treatment</m:t>
                        </m:r>
                      </m:sub>
                    </m:sSub>
                    <m:r>
                      <w:rPr>
                        <w:rFonts w:ascii="Cambria Math" w:hAnsi="Cambria Math"/>
                        <w:lang w:val="en-US"/>
                      </w:rPr>
                      <m:t>δ</m:t>
                    </m:r>
                    <m:d>
                      <m:dPr>
                        <m:ctrlPr>
                          <w:rPr>
                            <w:rFonts w:ascii="Cambria Math" w:hAnsi="Cambria Math"/>
                            <w:i/>
                            <w:lang w:val="en-US"/>
                          </w:rPr>
                        </m:ctrlPr>
                      </m:dPr>
                      <m:e>
                        <m:r>
                          <w:rPr>
                            <w:rFonts w:ascii="Cambria Math" w:hAnsi="Cambria Math"/>
                            <w:lang w:val="en-US"/>
                          </w:rPr>
                          <m:t>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treatment</m:t>
                            </m:r>
                          </m:sub>
                        </m:sSub>
                      </m:e>
                    </m:d>
                  </m:e>
                </m:d>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w</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w</m:t>
                    </m:r>
                  </m:sub>
                </m:s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w</m:t>
                    </m:r>
                  </m:sub>
                </m:sSub>
              </m:oMath>
            </m:oMathPara>
          </w:p>
        </w:tc>
        <w:tc>
          <w:tcPr>
            <w:tcW w:w="935" w:type="dxa"/>
            <w:tcBorders>
              <w:top w:val="nil"/>
              <w:left w:val="nil"/>
              <w:bottom w:val="nil"/>
              <w:right w:val="nil"/>
            </w:tcBorders>
          </w:tcPr>
          <w:p w14:paraId="58E0C8F1" w14:textId="77777777" w:rsidR="00A446F7" w:rsidRPr="00F04787" w:rsidRDefault="00A446F7" w:rsidP="001B626F">
            <w:pPr>
              <w:jc w:val="center"/>
              <w:rPr>
                <w:lang w:val="en-US"/>
              </w:rPr>
            </w:pPr>
            <m:oMathPara>
              <m:oMath>
                <m:r>
                  <w:rPr>
                    <w:rFonts w:ascii="Cambria Math" w:hAnsi="Cambria Math"/>
                    <w:lang w:val="en-US"/>
                  </w:rPr>
                  <m:t>(5)</m:t>
                </m:r>
              </m:oMath>
            </m:oMathPara>
          </w:p>
        </w:tc>
      </w:tr>
      <w:tr w:rsidR="00A446F7" w:rsidRPr="00F04787" w14:paraId="67F1BA44" w14:textId="77777777" w:rsidTr="001B62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075" w:type="dxa"/>
            <w:tcBorders>
              <w:top w:val="nil"/>
              <w:left w:val="nil"/>
              <w:bottom w:val="nil"/>
              <w:right w:val="nil"/>
            </w:tcBorders>
          </w:tcPr>
          <w:p w14:paraId="393AFCE2" w14:textId="77777777" w:rsidR="00A446F7" w:rsidRPr="00F04787" w:rsidRDefault="00071619" w:rsidP="001B626F">
            <w:pPr>
              <w:jc w:val="center"/>
              <w:rPr>
                <w:rFonts w:eastAsia="DengXian"/>
                <w:lang w:val="en-US"/>
              </w:rPr>
            </w:pPr>
            <m:oMathPara>
              <m:oMath>
                <m:f>
                  <m:fPr>
                    <m:ctrlPr>
                      <w:rPr>
                        <w:rFonts w:ascii="Cambria Math" w:hAnsi="Cambria Math"/>
                        <w:i/>
                        <w:lang w:val="en-US"/>
                      </w:rPr>
                    </m:ctrlPr>
                  </m:fPr>
                  <m:num>
                    <m:r>
                      <w:rPr>
                        <w:rFonts w:ascii="Cambria Math" w:hAnsi="Cambria Math"/>
                        <w:lang w:val="en-US"/>
                      </w:rPr>
                      <m:t>d</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m</m:t>
                        </m:r>
                      </m:sub>
                    </m:sSub>
                  </m:num>
                  <m:den>
                    <m:r>
                      <w:rPr>
                        <w:rFonts w:ascii="Cambria Math" w:hAnsi="Cambria Math"/>
                        <w:lang w:val="en-US"/>
                      </w:rPr>
                      <m:t>dt</m:t>
                    </m:r>
                  </m:den>
                </m:f>
                <m:r>
                  <m:rPr>
                    <m:aln/>
                  </m:rP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m</m:t>
                    </m:r>
                  </m:sub>
                </m:sSub>
                <m:r>
                  <w:rPr>
                    <w:rFonts w:ascii="Cambria Math" w:hAnsi="Cambria Math"/>
                    <w:lang w:val="en-US"/>
                  </w:rPr>
                  <m:t>μδ</m:t>
                </m:r>
                <m:d>
                  <m:dPr>
                    <m:ctrlPr>
                      <w:rPr>
                        <w:rFonts w:ascii="Cambria Math" w:hAnsi="Cambria Math"/>
                        <w:i/>
                        <w:lang w:val="en-US"/>
                      </w:rPr>
                    </m:ctrlPr>
                  </m:dPr>
                  <m:e>
                    <m:r>
                      <w:rPr>
                        <w:rFonts w:ascii="Cambria Math" w:hAnsi="Cambria Math"/>
                        <w:lang w:val="en-US"/>
                      </w:rPr>
                      <m:t>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treatment</m:t>
                        </m:r>
                      </m:sub>
                    </m:sSub>
                  </m:e>
                </m:d>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m</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m</m:t>
                    </m:r>
                  </m:sub>
                </m:s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m</m:t>
                    </m:r>
                  </m:sub>
                </m:sSub>
              </m:oMath>
            </m:oMathPara>
          </w:p>
        </w:tc>
        <w:tc>
          <w:tcPr>
            <w:tcW w:w="935" w:type="dxa"/>
            <w:tcBorders>
              <w:top w:val="nil"/>
              <w:left w:val="nil"/>
              <w:bottom w:val="nil"/>
              <w:right w:val="nil"/>
            </w:tcBorders>
          </w:tcPr>
          <w:p w14:paraId="27043854" w14:textId="77777777" w:rsidR="00A446F7" w:rsidRPr="00F04787" w:rsidRDefault="00A446F7" w:rsidP="001B626F">
            <w:pPr>
              <w:jc w:val="center"/>
              <w:rPr>
                <w:rFonts w:eastAsia="DengXian"/>
                <w:lang w:val="en-US"/>
              </w:rPr>
            </w:pPr>
            <m:oMathPara>
              <m:oMath>
                <m:r>
                  <w:rPr>
                    <w:rFonts w:ascii="Cambria Math" w:hAnsi="Cambria Math"/>
                    <w:lang w:val="en-US"/>
                  </w:rPr>
                  <m:t>(6)</m:t>
                </m:r>
              </m:oMath>
            </m:oMathPara>
          </w:p>
        </w:tc>
      </w:tr>
    </w:tbl>
    <w:p w14:paraId="5F3AAB8F" w14:textId="77777777" w:rsidR="00A446F7" w:rsidRPr="00F04787" w:rsidRDefault="00A446F7" w:rsidP="00A446F7">
      <w:pPr>
        <w:rPr>
          <w:lang w:val="en-US"/>
        </w:rPr>
      </w:pPr>
    </w:p>
    <w:p w14:paraId="3E5527C2" w14:textId="140B7A2A" w:rsidR="00AB372B" w:rsidRPr="00F04787" w:rsidRDefault="00A446F7" w:rsidP="00A446F7">
      <w:pPr>
        <w:rPr>
          <w:lang w:val="en-US"/>
        </w:rPr>
      </w:pPr>
      <w:r w:rsidRPr="00F04787">
        <w:rPr>
          <w:lang w:val="en-US"/>
        </w:rPr>
        <w:t xml:space="preserve">where </w:t>
      </w:r>
      <m:oMath>
        <m:r>
          <w:rPr>
            <w:rFonts w:ascii="Cambria Math" w:hAnsi="Cambria Math"/>
            <w:lang w:val="en-US"/>
          </w:rPr>
          <m:t>T</m:t>
        </m:r>
      </m:oMath>
      <w:r w:rsidRPr="00F04787">
        <w:rPr>
          <w:lang w:val="en-US"/>
        </w:rPr>
        <w:t xml:space="preserve">, </w:t>
      </w:r>
      <m:oMath>
        <m:r>
          <w:rPr>
            <w:rFonts w:ascii="Cambria Math" w:hAnsi="Cambria Math"/>
            <w:lang w:val="en-US"/>
          </w:rPr>
          <m:t>R</m:t>
        </m:r>
      </m:oMath>
      <w:r w:rsidRPr="00F04787">
        <w:rPr>
          <w:lang w:val="en-US"/>
        </w:rPr>
        <w:t xml:space="preserve">,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w</m:t>
            </m:r>
          </m:sub>
        </m:sSub>
      </m:oMath>
      <w:r w:rsidRPr="00F04787">
        <w:rPr>
          <w:lang w:val="en-US"/>
        </w:rPr>
        <w:t xml:space="preserve">,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m</m:t>
            </m:r>
          </m:sub>
        </m:sSub>
      </m:oMath>
      <w:r w:rsidRPr="00F04787">
        <w:rPr>
          <w:lang w:val="en-US"/>
        </w:rPr>
        <w:t xml:space="preserve">, </w:t>
      </w:r>
      <m:oMath>
        <m:r>
          <w:rPr>
            <w:rFonts w:ascii="Cambria Math" w:hAnsi="Cambria Math"/>
            <w:lang w:val="en-US"/>
          </w:rPr>
          <m:t>F</m:t>
        </m:r>
      </m:oMath>
      <w:r w:rsidRPr="00F04787">
        <w:rPr>
          <w:lang w:val="en-US"/>
        </w:rPr>
        <w:t xml:space="preserv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w</m:t>
            </m:r>
          </m:sub>
        </m:sSub>
      </m:oMath>
      <w:r w:rsidRPr="00F04787">
        <w:rPr>
          <w:lang w:val="en-US"/>
        </w:rPr>
        <w:t xml:space="preserve"> and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m</m:t>
            </m:r>
          </m:sub>
        </m:sSub>
      </m:oMath>
      <w:r w:rsidRPr="00F04787">
        <w:rPr>
          <w:lang w:val="en-US"/>
        </w:rPr>
        <w:t xml:space="preserve"> are the respective number of uninfected target cells, the number of cells that enter an antiviral state in which they are refractory to infection, the number of cells infected by the wild-type virus, the number of cells infected by the antiviral-resistant mutant virus, the level of interferon response, the amount of free wild-type and mutant viruses. The parameters </w:t>
      </w:r>
      <m:oMath>
        <m:sSub>
          <m:sSubPr>
            <m:ctrlPr>
              <w:rPr>
                <w:rFonts w:ascii="Cambria Math" w:hAnsi="Cambria Math"/>
                <w:i/>
                <w:lang w:val="en-US"/>
              </w:rPr>
            </m:ctrlPr>
          </m:sSubPr>
          <m:e>
            <m:r>
              <w:rPr>
                <w:rFonts w:ascii="Cambria Math" w:hAnsi="Cambria Math"/>
                <w:lang w:val="en-US"/>
              </w:rPr>
              <m:t>β</m:t>
            </m:r>
          </m:e>
          <m:sub>
            <m:r>
              <m:rPr>
                <m:scr m:val="script"/>
              </m:rPr>
              <w:rPr>
                <w:rFonts w:ascii="Cambria Math" w:hAnsi="Cambria Math"/>
                <w:lang w:val="en-US"/>
              </w:rPr>
              <m:t>V</m:t>
            </m:r>
          </m:sub>
        </m:sSub>
      </m:oMath>
      <w:r w:rsidRPr="00F04787">
        <w:rPr>
          <w:lang w:val="en-US"/>
        </w:rPr>
        <w:t xml:space="preserve">, </w:t>
      </w:r>
      <m:oMath>
        <m:r>
          <m:rPr>
            <m:scr m:val="script"/>
          </m:rPr>
          <w:rPr>
            <w:rFonts w:ascii="Cambria Math" w:hAnsi="Cambria Math"/>
            <w:lang w:val="en-US"/>
          </w:rPr>
          <m:t>l</m:t>
        </m:r>
      </m:oMath>
      <w:r w:rsidRPr="00F04787">
        <w:rPr>
          <w:lang w:val="en-US"/>
        </w:rPr>
        <w:t xml:space="preserve">, </w:t>
      </w:r>
      <m:oMath>
        <m:r>
          <w:rPr>
            <w:rFonts w:ascii="Cambria Math" w:hAnsi="Cambria Math"/>
            <w:lang w:val="en-US"/>
          </w:rPr>
          <m:t>r</m:t>
        </m:r>
      </m:oMath>
      <w:r w:rsidRPr="00F04787">
        <w:rPr>
          <w:lang w:val="en-US"/>
        </w:rPr>
        <w:t xml:space="preserve">,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C</m:t>
            </m:r>
          </m:sub>
        </m:sSub>
      </m:oMath>
      <w:r w:rsidRPr="00F04787">
        <w:rPr>
          <w:lang w:val="en-US"/>
        </w:rPr>
        <w:t xml:space="preserve">,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oMath>
      <w:r w:rsidRPr="00F04787">
        <w:rPr>
          <w:lang w:val="en-US"/>
        </w:rPr>
        <w:t xml:space="preserve">,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F</m:t>
            </m:r>
          </m:sub>
        </m:sSub>
      </m:oMath>
      <w:r w:rsidRPr="00F04787">
        <w:rPr>
          <w:lang w:val="en-US"/>
        </w:rPr>
        <w:t xml:space="preserve">,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F</m:t>
            </m:r>
          </m:sub>
        </m:sSub>
      </m:oMath>
      <w:r w:rsidRPr="00F04787">
        <w:rPr>
          <w:lang w:val="en-US"/>
        </w:rPr>
        <w:t xml:space="preserve">, </w:t>
      </w:r>
      <m:oMath>
        <m:sSub>
          <m:sSubPr>
            <m:ctrlPr>
              <w:rPr>
                <w:rFonts w:ascii="Cambria Math" w:hAnsi="Cambria Math"/>
                <w:i/>
                <w:lang w:val="en-US"/>
              </w:rPr>
            </m:ctrlPr>
          </m:sSubPr>
          <m:e>
            <m:r>
              <w:rPr>
                <w:rFonts w:ascii="Cambria Math" w:hAnsi="Cambria Math"/>
                <w:lang w:val="en-US"/>
              </w:rPr>
              <m:t>p</m:t>
            </m:r>
          </m:e>
          <m:sub>
            <m:r>
              <m:rPr>
                <m:scr m:val="script"/>
              </m:rPr>
              <w:rPr>
                <w:rFonts w:ascii="Cambria Math" w:hAnsi="Cambria Math"/>
                <w:lang w:val="en-US"/>
              </w:rPr>
              <m:t>V</m:t>
            </m:r>
          </m:sub>
        </m:sSub>
      </m:oMath>
      <w:r w:rsidRPr="00F04787">
        <w:rPr>
          <w:lang w:val="en-US"/>
        </w:rPr>
        <w:t xml:space="preserve"> and </w:t>
      </w:r>
      <m:oMath>
        <m:sSub>
          <m:sSubPr>
            <m:ctrlPr>
              <w:rPr>
                <w:rFonts w:ascii="Cambria Math" w:hAnsi="Cambria Math"/>
                <w:i/>
                <w:lang w:val="en-US"/>
              </w:rPr>
            </m:ctrlPr>
          </m:sSubPr>
          <m:e>
            <m:r>
              <w:rPr>
                <w:rFonts w:ascii="Cambria Math" w:hAnsi="Cambria Math"/>
                <w:lang w:val="en-US"/>
              </w:rPr>
              <m:t>c</m:t>
            </m:r>
          </m:e>
          <m:sub>
            <m:r>
              <m:rPr>
                <m:scr m:val="script"/>
              </m:rPr>
              <w:rPr>
                <w:rFonts w:ascii="Cambria Math" w:hAnsi="Cambria Math"/>
                <w:lang w:val="en-US"/>
              </w:rPr>
              <m:t>V</m:t>
            </m:r>
          </m:sub>
        </m:sSub>
      </m:oMath>
      <w:r w:rsidRPr="00F04787">
        <w:rPr>
          <w:lang w:val="en-US"/>
        </w:rPr>
        <w:t xml:space="preserve"> refer to the respective target cell infection rate by variant virus </w:t>
      </w:r>
      <m:oMath>
        <m:r>
          <m:rPr>
            <m:scr m:val="script"/>
          </m:rPr>
          <w:rPr>
            <w:rFonts w:ascii="Cambria Math" w:hAnsi="Cambria Math"/>
            <w:lang w:val="en-US"/>
          </w:rPr>
          <m:t>V</m:t>
        </m:r>
      </m:oMath>
      <w:r w:rsidRPr="00F04787">
        <w:rPr>
          <w:lang w:val="en-US"/>
        </w:rPr>
        <w:t xml:space="preserve">, interferon-induced antiviral efficacy, reversion rate from antiviral state, virus-induced infected cell death rate, interferon-induced infected cell death rate, production rate of interferons, decay rate of interferons, replication rate and free virus death rate of variant virus </w:t>
      </w:r>
      <m:oMath>
        <m:r>
          <m:rPr>
            <m:scr m:val="script"/>
          </m:rPr>
          <w:rPr>
            <w:rFonts w:ascii="Cambria Math" w:hAnsi="Cambria Math"/>
            <w:lang w:val="en-US"/>
          </w:rPr>
          <m:t>V</m:t>
        </m:r>
      </m:oMath>
      <w:r w:rsidRPr="00F04787">
        <w:rPr>
          <w:lang w:val="en-US"/>
        </w:rPr>
        <w:t xml:space="preserve"> respectively. </w:t>
      </w:r>
      <m:oMath>
        <m:r>
          <w:rPr>
            <w:rFonts w:ascii="Cambria Math" w:hAnsi="Cambria Math"/>
            <w:lang w:val="en-US"/>
          </w:rPr>
          <m:t>δ</m:t>
        </m:r>
        <m:d>
          <m:dPr>
            <m:ctrlPr>
              <w:rPr>
                <w:rFonts w:ascii="Cambria Math" w:hAnsi="Cambria Math"/>
                <w:i/>
                <w:lang w:val="en-US"/>
              </w:rPr>
            </m:ctrlPr>
          </m:dPr>
          <m:e>
            <m:r>
              <w:rPr>
                <w:rFonts w:ascii="Cambria Math" w:hAnsi="Cambria Math"/>
                <w:lang w:val="en-US"/>
              </w:rPr>
              <m:t>t</m:t>
            </m:r>
          </m:e>
        </m:d>
        <m:r>
          <w:rPr>
            <w:rFonts w:ascii="Cambria Math" w:hAnsi="Cambria Math"/>
            <w:lang w:val="en-US"/>
          </w:rPr>
          <m:t>=1</m:t>
        </m:r>
      </m:oMath>
      <w:r w:rsidRPr="00F04787">
        <w:rPr>
          <w:lang w:val="en-US"/>
        </w:rPr>
        <w:t xml:space="preserve"> when and after the antiviral was administered at time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treatment</m:t>
            </m:r>
          </m:sub>
        </m:sSub>
      </m:oMath>
      <w:r w:rsidRPr="00F04787">
        <w:rPr>
          <w:lang w:val="en-US"/>
        </w:rPr>
        <w:t xml:space="preserve">, and is otherwise zero.  </w:t>
      </w:r>
    </w:p>
    <w:p w14:paraId="3AC547E1" w14:textId="77777777" w:rsidR="00A446F7" w:rsidRPr="00F04787" w:rsidRDefault="00A446F7" w:rsidP="00A446F7">
      <w:pPr>
        <w:rPr>
          <w:lang w:val="en-US"/>
        </w:rPr>
      </w:pPr>
    </w:p>
    <w:p w14:paraId="339922BD" w14:textId="5511AB39" w:rsidR="00257ABA" w:rsidRDefault="00A446F7" w:rsidP="00C86312">
      <w:pPr>
        <w:rPr>
          <w:lang w:val="en-US"/>
        </w:rPr>
      </w:pPr>
      <w:r w:rsidRPr="00F04787">
        <w:rPr>
          <w:lang w:val="en-US"/>
        </w:rPr>
        <w:t xml:space="preserve">We fitted the within-host model to viral load data measured since initiation of different treatment regimens (i.e. placebo, </w:t>
      </w:r>
      <w:r w:rsidR="00D04F44" w:rsidRPr="00F04787">
        <w:rPr>
          <w:lang w:val="en-US"/>
        </w:rPr>
        <w:t>baloxavir marboxil (BXM)</w:t>
      </w:r>
      <w:r w:rsidRPr="00F04787">
        <w:rPr>
          <w:lang w:val="en-US"/>
        </w:rPr>
        <w:t xml:space="preserve"> or oseltamivir) with</w:t>
      </w:r>
      <w:r w:rsidR="00052441">
        <w:rPr>
          <w:lang w:val="en-US"/>
        </w:rPr>
        <w:t xml:space="preserve"> </w:t>
      </w:r>
      <w:r w:rsidRPr="00F04787">
        <w:rPr>
          <w:lang w:val="en-US"/>
        </w:rPr>
        <w:t>and without the emergence of BXM-resistant viruses</w:t>
      </w:r>
      <w:r w:rsidR="00052441">
        <w:rPr>
          <w:lang w:val="en-US"/>
        </w:rPr>
        <w:t xml:space="preserve"> </w:t>
      </w:r>
      <w:r w:rsidRPr="00F04787">
        <w:rPr>
          <w:lang w:val="en-US"/>
        </w:rPr>
        <w:t xml:space="preserve">from </w:t>
      </w:r>
      <w:r w:rsidR="00636B99">
        <w:rPr>
          <w:lang w:val="en-US"/>
        </w:rPr>
        <w:t>a</w:t>
      </w:r>
      <w:r w:rsidRPr="00F04787">
        <w:rPr>
          <w:lang w:val="en-US"/>
        </w:rPr>
        <w:t xml:space="preserve"> phase 3 clinical</w:t>
      </w:r>
      <w:r w:rsidR="00E57054" w:rsidRPr="00F04787">
        <w:rPr>
          <w:lang w:val="en-US"/>
        </w:rPr>
        <w:t xml:space="preserve"> </w:t>
      </w:r>
      <w:r w:rsidRPr="00F04787">
        <w:rPr>
          <w:lang w:val="en-US"/>
        </w:rPr>
        <w:t>trial</w:t>
      </w:r>
      <w:r w:rsidR="00E57054" w:rsidRPr="00F04787">
        <w:rPr>
          <w:lang w:val="en-US"/>
        </w:rPr>
        <w:t xml:space="preserve"> (CAPSTONE-1)</w:t>
      </w:r>
      <w:r w:rsidRPr="00F04787">
        <w:rPr>
          <w:lang w:val="en-US"/>
        </w:rPr>
        <w:t>.</w:t>
      </w:r>
      <w:r w:rsidR="00052441">
        <w:rPr>
          <w:lang w:val="en-US"/>
        </w:rPr>
        <w:fldChar w:fldCharType="begin"/>
      </w:r>
      <w:r w:rsidR="000B5579">
        <w:rPr>
          <w:lang w:val="en-US"/>
        </w:rPr>
        <w:instrText xml:space="preserve"> ADDIN ZOTERO_ITEM CSL_CITATION {"citationID":"FGAdnuT4","properties":{"formattedCitation":"\\super 1,2\\nosupersub{}","plainCitation":"1,2","noteIndex":0},"citationItems":[{"id":14,"uris":["http://zotero.org/users/local/0pdZPGmr/items/Q75YUA7U","http://zotero.org/users/9596130/items/Q75YUA7U"],"itemData":{"id":14,"type":"article-journal","abstract":"Single-dose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00052441">
        <w:rPr>
          <w:lang w:val="en-US"/>
        </w:rPr>
        <w:fldChar w:fldCharType="separate"/>
      </w:r>
      <w:r w:rsidR="000B5579" w:rsidRPr="000B5579">
        <w:rPr>
          <w:vertAlign w:val="superscript"/>
          <w:lang w:val="en-US"/>
        </w:rPr>
        <w:t>1,2</w:t>
      </w:r>
      <w:r w:rsidR="00052441">
        <w:rPr>
          <w:lang w:val="en-US"/>
        </w:rPr>
        <w:fldChar w:fldCharType="end"/>
      </w:r>
      <w:r w:rsidRPr="00F04787">
        <w:rPr>
          <w:lang w:val="en-US"/>
        </w:rPr>
        <w:t xml:space="preserve"> For the </w:t>
      </w:r>
      <w:r w:rsidR="00665C8F">
        <w:rPr>
          <w:lang w:val="en-US"/>
        </w:rPr>
        <w:t>BXM-resistance</w:t>
      </w:r>
      <w:r w:rsidRPr="00F04787">
        <w:rPr>
          <w:lang w:val="en-US"/>
        </w:rPr>
        <w:t>, the rebound in viral load was dominated by BXM-resistant virions based on the estimated within-host mutation frequencies.</w:t>
      </w:r>
      <w:r w:rsidRPr="00F04787">
        <w:rPr>
          <w:lang w:val="en-US"/>
        </w:rPr>
        <w:fldChar w:fldCharType="begin"/>
      </w:r>
      <w:r w:rsidR="000B5579">
        <w:rPr>
          <w:lang w:val="en-US"/>
        </w:rPr>
        <w:instrText xml:space="preserve"> ADDIN ZOTERO_ITEM CSL_CITATION {"citationID":"nAdataXL","properties":{"formattedCitation":"\\super 1\\nosupersub{}","plainCitation":"1","noteIndex":0},"citationItems":[{"id":14,"uris":["http://zotero.org/users/local/0pdZPGmr/items/Q75YUA7U","http://zotero.org/users/9596130/items/Q75YUA7U"],"itemData":{"id":14,"type":"article-journal","abstract":"Single-dose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schema":"https://github.com/citation-style-language/schema/raw/master/csl-citation.json"} </w:instrText>
      </w:r>
      <w:r w:rsidRPr="00F04787">
        <w:rPr>
          <w:lang w:val="en-US"/>
        </w:rPr>
        <w:fldChar w:fldCharType="separate"/>
      </w:r>
      <w:r w:rsidR="000B5579" w:rsidRPr="000B5579">
        <w:rPr>
          <w:vertAlign w:val="superscript"/>
          <w:lang w:val="en-US"/>
        </w:rPr>
        <w:t>1</w:t>
      </w:r>
      <w:r w:rsidRPr="00F04787">
        <w:rPr>
          <w:lang w:val="en-US"/>
        </w:rPr>
        <w:fldChar w:fldCharType="end"/>
      </w:r>
      <w:r w:rsidRPr="00F04787">
        <w:rPr>
          <w:lang w:val="en-US"/>
        </w:rPr>
        <w:t xml:space="preserve"> </w:t>
      </w:r>
      <w:r w:rsidR="00665C8F">
        <w:rPr>
          <w:lang w:val="en-US"/>
        </w:rPr>
        <w:t>To fit the model,</w:t>
      </w:r>
      <w:r w:rsidRPr="00F04787">
        <w:rPr>
          <w:lang w:val="en-US"/>
        </w:rPr>
        <w:t xml:space="preserve"> </w:t>
      </w:r>
      <w:r w:rsidR="00636B99">
        <w:rPr>
          <w:lang w:val="en-US"/>
        </w:rPr>
        <w:t>f</w:t>
      </w:r>
      <w:r w:rsidR="00636B99" w:rsidRPr="00F04787">
        <w:rPr>
          <w:lang w:val="en-US"/>
        </w:rPr>
        <w:t>irst</w:t>
      </w:r>
      <w:r w:rsidRPr="00F04787">
        <w:rPr>
          <w:lang w:val="en-US"/>
        </w:rPr>
        <w:t xml:space="preserve">, we fitted pooled data of the time of symptom onset since influenza virus infection to a lognormal distribution (i.e. mean = 0.35, standard deviation = 0.41; </w:t>
      </w:r>
      <w:r w:rsidR="004F373C">
        <w:rPr>
          <w:lang w:val="en-US"/>
        </w:rPr>
        <w:t xml:space="preserve">Extended Data Fig. </w:t>
      </w:r>
      <w:r w:rsidR="002545B1">
        <w:rPr>
          <w:lang w:val="en-US"/>
        </w:rPr>
        <w:t>9</w:t>
      </w:r>
      <w:r w:rsidRPr="00F04787">
        <w:rPr>
          <w:lang w:val="en-US"/>
        </w:rPr>
        <w:t>A).</w:t>
      </w:r>
      <w:r w:rsidRPr="00F04787">
        <w:rPr>
          <w:lang w:val="en-US"/>
        </w:rPr>
        <w:fldChar w:fldCharType="begin"/>
      </w:r>
      <w:r w:rsidR="000B5579">
        <w:rPr>
          <w:lang w:val="en-US"/>
        </w:rPr>
        <w:instrText xml:space="preserve"> ADDIN ZOTERO_ITEM CSL_CITATION {"citationID":"Kun0eGlM","properties":{"formattedCitation":"\\super 3\\nosupersub{}","plainCitation":"3","noteIndex":0},"citationItems":[{"id":11,"uris":["http://zotero.org/users/local/0pdZPGmr/items/5IH5IJHG","http://zotero.org/users/9596130/items/5IH5IJHG"],"itemData":{"id":11,"type":"article-journal","container-title":"The Lancet Infectious Diseases","DOI":"10.1016/S1473-3099(09)70069-6","ISSN":"1473-3099, 1474-4457","issue":"5","journalAbbreviation":"The Lancet Infectious Diseases","language":"English","note":"publisher: Elsevier\nPMID: 19393959","page":"291-300","source":"www.thelancet.com","title":"Incubation periods of acute respiratory viral infections: a systematic review","title-short":"Incubation periods of acute respiratory viral infections","volume":"9","author":[{"family":"Lessler","given":"Justin"},{"family":"Reich","given":"Nicholas G."},{"family":"Brookmeyer","given":"Ron"},{"family":"Perl","given":"Trish M."},{"family":"Nelson","given":"Kenrad E."},{"family":"Cummings","given":"Derek AT"}],"issued":{"date-parts":[["2009",5,1]]}}}],"schema":"https://github.com/citation-style-language/schema/raw/master/csl-citation.json"} </w:instrText>
      </w:r>
      <w:r w:rsidRPr="00F04787">
        <w:rPr>
          <w:lang w:val="en-US"/>
        </w:rPr>
        <w:fldChar w:fldCharType="separate"/>
      </w:r>
      <w:r w:rsidR="000B5579" w:rsidRPr="000B5579">
        <w:rPr>
          <w:sz w:val="24"/>
          <w:vertAlign w:val="superscript"/>
          <w:lang w:val="en-US"/>
        </w:rPr>
        <w:t>3</w:t>
      </w:r>
      <w:r w:rsidRPr="00F04787">
        <w:rPr>
          <w:lang w:val="en-US"/>
        </w:rPr>
        <w:fldChar w:fldCharType="end"/>
      </w:r>
      <w:r w:rsidRPr="00F04787">
        <w:rPr>
          <w:lang w:val="en-US"/>
        </w:rPr>
        <w:t xml:space="preserve"> Second, we fitted the time of treatment initiation since symptom onset reported in the clinical trial to a Gamma distribution (i.e. placebo, shape = 2.91, scale = 8.31; BXM, shape = 2.40, scale = 10.12; oseltamivir, shape = 2.87, scale = 8.53; </w:t>
      </w:r>
      <w:r w:rsidR="004F373C">
        <w:rPr>
          <w:lang w:val="en-US"/>
        </w:rPr>
        <w:t xml:space="preserve">Extended Data Fig. </w:t>
      </w:r>
      <w:r w:rsidR="00E07866">
        <w:rPr>
          <w:lang w:val="en-US"/>
        </w:rPr>
        <w:t>9</w:t>
      </w:r>
      <w:r w:rsidRPr="00F04787">
        <w:rPr>
          <w:lang w:val="en-US"/>
        </w:rPr>
        <w:t>B</w:t>
      </w:r>
      <w:r w:rsidR="00804B8B" w:rsidRPr="00F04787">
        <w:rPr>
          <w:lang w:val="en-US"/>
        </w:rPr>
        <w:t>-D</w:t>
      </w:r>
      <w:r w:rsidRPr="00F04787">
        <w:rPr>
          <w:lang w:val="en-US"/>
        </w:rPr>
        <w:t xml:space="preserve">). We then simulated the number of individuals assigned to each treatment regime as per the </w:t>
      </w:r>
      <w:r w:rsidR="006B3EE9" w:rsidRPr="00F04787">
        <w:rPr>
          <w:lang w:val="en-US"/>
        </w:rPr>
        <w:t>CAPSTONE-1</w:t>
      </w:r>
      <w:r w:rsidRPr="00F04787">
        <w:rPr>
          <w:lang w:val="en-US"/>
        </w:rPr>
        <w:t xml:space="preserve"> trial (i.e. </w:t>
      </w:r>
      <m:oMath>
        <m:r>
          <w:rPr>
            <w:rFonts w:ascii="Cambria Math" w:hAnsi="Cambria Math"/>
            <w:lang w:val="en-US"/>
          </w:rPr>
          <m:t>n=</m:t>
        </m:r>
      </m:oMath>
      <w:r w:rsidRPr="00F04787">
        <w:rPr>
          <w:lang w:val="en-US"/>
        </w:rPr>
        <w:t xml:space="preserve"> 210, 427 and 377 individuals administered with a course of placebo, BXM and oseltamivir respectively;</w:t>
      </w:r>
      <w:r w:rsidRPr="00F04787">
        <w:rPr>
          <w:lang w:val="en-US"/>
        </w:rPr>
        <w:fldChar w:fldCharType="begin"/>
      </w:r>
      <w:r w:rsidR="000B5579">
        <w:rPr>
          <w:lang w:val="en-US"/>
        </w:rPr>
        <w:instrText xml:space="preserve"> ADDIN ZOTERO_ITEM CSL_CITATION {"citationID":"Q1bQRncG","properties":{"formattedCitation":"\\super 2\\nosupersub{}","plainCitation":"2","noteIndex":0},"citationItems":[{"id":9,"uris":["http://zotero.org/users/local/0pdZPGmr/items/LU5QH5UX","http://zotero.org/users/9596130/items/LU5QH5UX"],"itemData":{"id":9,"type":"article-journal","abstract":"In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Pr="00F04787">
        <w:rPr>
          <w:lang w:val="en-US"/>
        </w:rPr>
        <w:fldChar w:fldCharType="separate"/>
      </w:r>
      <w:r w:rsidR="000B5579" w:rsidRPr="000B5579">
        <w:rPr>
          <w:vertAlign w:val="superscript"/>
          <w:lang w:val="en-US"/>
        </w:rPr>
        <w:t>2</w:t>
      </w:r>
      <w:r w:rsidRPr="00F04787">
        <w:rPr>
          <w:lang w:val="en-US"/>
        </w:rPr>
        <w:fldChar w:fldCharType="end"/>
      </w:r>
      <w:r w:rsidRPr="00F04787">
        <w:rPr>
          <w:lang w:val="en-US"/>
        </w:rPr>
        <w:t xml:space="preserve"> </w:t>
      </w:r>
      <m:oMath>
        <m:r>
          <w:rPr>
            <w:rFonts w:ascii="Cambria Math" w:hAnsi="Cambria Math"/>
            <w:lang w:val="en-US"/>
          </w:rPr>
          <m:t>n=</m:t>
        </m:r>
      </m:oMath>
      <w:r w:rsidRPr="00F04787">
        <w:rPr>
          <w:lang w:val="en-US"/>
        </w:rPr>
        <w:t xml:space="preserve"> 34 individuals with treatment-emergent BXM-resistant mutant viruses),</w:t>
      </w:r>
      <w:r w:rsidRPr="00F04787">
        <w:rPr>
          <w:lang w:val="en-US"/>
        </w:rPr>
        <w:fldChar w:fldCharType="begin"/>
      </w:r>
      <w:r w:rsidR="000B5579">
        <w:rPr>
          <w:lang w:val="en-US"/>
        </w:rPr>
        <w:instrText xml:space="preserve"> ADDIN ZOTERO_ITEM CSL_CITATION {"citationID":"xMyM6X0S","properties":{"formattedCitation":"\\super 1\\nosupersub{}","plainCitation":"1","noteIndex":0},"citationItems":[{"id":14,"uris":["http://zotero.org/users/local/0pdZPGmr/items/Q75YUA7U","http://zotero.org/users/9596130/items/Q75YUA7U"],"itemData":{"id":14,"type":"article-journal","abstract":"Single-dose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schema":"https://github.com/citation-style-language/schema/raw/master/csl-citation.json"} </w:instrText>
      </w:r>
      <w:r w:rsidRPr="00F04787">
        <w:rPr>
          <w:lang w:val="en-US"/>
        </w:rPr>
        <w:fldChar w:fldCharType="separate"/>
      </w:r>
      <w:r w:rsidR="000B5579" w:rsidRPr="000B5579">
        <w:rPr>
          <w:vertAlign w:val="superscript"/>
          <w:lang w:val="en-US"/>
        </w:rPr>
        <w:t>1</w:t>
      </w:r>
      <w:r w:rsidRPr="00F04787">
        <w:rPr>
          <w:lang w:val="en-US"/>
        </w:rPr>
        <w:fldChar w:fldCharType="end"/>
      </w:r>
      <w:r w:rsidRPr="00F04787">
        <w:rPr>
          <w:lang w:val="en-US"/>
        </w:rPr>
        <w:t xml:space="preserve"> randomly drawing the time of symptom onset and treatment initiation from the aforementioned fitted distributions. The </w:t>
      </w:r>
      <w:r w:rsidR="006B3EE9" w:rsidRPr="00F04787">
        <w:rPr>
          <w:lang w:val="en-US"/>
        </w:rPr>
        <w:t>CAPSTONE-1</w:t>
      </w:r>
      <w:r w:rsidRPr="00F04787">
        <w:rPr>
          <w:lang w:val="en-US"/>
        </w:rPr>
        <w:t xml:space="preserve"> trial reported the viral load distribution of participants in different treatment regimen each day for 7 days since treatment initiation</w:t>
      </w:r>
      <w:r w:rsidR="00614232">
        <w:rPr>
          <w:lang w:val="en-US"/>
        </w:rPr>
        <w:t xml:space="preserve"> with no further information on when sample collection was performed each day</w:t>
      </w:r>
      <w:r w:rsidRPr="00F04787">
        <w:rPr>
          <w:lang w:val="en-US"/>
        </w:rPr>
        <w:t>.</w:t>
      </w:r>
      <w:r w:rsidRPr="00F04787">
        <w:rPr>
          <w:lang w:val="en-US"/>
        </w:rPr>
        <w:fldChar w:fldCharType="begin"/>
      </w:r>
      <w:r w:rsidR="000B5579">
        <w:rPr>
          <w:lang w:val="en-US"/>
        </w:rPr>
        <w:instrText xml:space="preserve"> ADDIN ZOTERO_ITEM CSL_CITATION {"citationID":"uare20Mt","properties":{"formattedCitation":"\\super 2\\nosupersub{}","plainCitation":"2","noteIndex":0},"citationItems":[{"id":9,"uris":["http://zotero.org/users/local/0pdZPGmr/items/LU5QH5UX","http://zotero.org/users/9596130/items/LU5QH5UX"],"itemData":{"id":9,"type":"article-journal","abstract":"In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Pr="00F04787">
        <w:rPr>
          <w:lang w:val="en-US"/>
        </w:rPr>
        <w:fldChar w:fldCharType="separate"/>
      </w:r>
      <w:r w:rsidR="000B5579" w:rsidRPr="000B5579">
        <w:rPr>
          <w:vertAlign w:val="superscript"/>
          <w:lang w:val="en-US"/>
        </w:rPr>
        <w:t>2</w:t>
      </w:r>
      <w:r w:rsidRPr="00F04787">
        <w:rPr>
          <w:lang w:val="en-US"/>
        </w:rPr>
        <w:fldChar w:fldCharType="end"/>
      </w:r>
      <w:r w:rsidRPr="00F04787">
        <w:rPr>
          <w:lang w:val="en-US"/>
        </w:rPr>
        <w:t xml:space="preserve"> In turn, we randomly generated the timing when viral samples were collected for each individual assuming a uniform distribution within a 12-hour collection time window each day. We then fitted the within-host model to the viral load dynamics simulated individuals, estimating all parameters except for the initial uninfected target (</w:t>
      </w:r>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0</m:t>
            </m:r>
          </m:sub>
        </m:sSub>
      </m:oMath>
      <w:r w:rsidRPr="00F04787">
        <w:rPr>
          <w:lang w:val="en-US"/>
        </w:rPr>
        <w:t>) and infected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m:t>
            </m:r>
          </m:sub>
        </m:sSub>
      </m:oMath>
      <w:r w:rsidRPr="00F04787">
        <w:rPr>
          <w:lang w:val="en-US"/>
        </w:rPr>
        <w:t xml:space="preserve">) cell populations which were assumed to be </w:t>
      </w:r>
      <m:oMath>
        <m:r>
          <w:rPr>
            <w:rFonts w:ascii="Cambria Math" w:hAnsi="Cambria Math"/>
            <w:lang w:val="en-US"/>
          </w:rPr>
          <m:t>4×</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8</m:t>
            </m:r>
          </m:sup>
        </m:sSup>
      </m:oMath>
      <w:r w:rsidRPr="00F04787">
        <w:rPr>
          <w:lang w:val="en-US"/>
        </w:rPr>
        <w:t xml:space="preserve"> and 0 cells respectively.</w:t>
      </w:r>
      <w:r w:rsidRPr="00F04787">
        <w:rPr>
          <w:lang w:val="en-US"/>
        </w:rPr>
        <w:fldChar w:fldCharType="begin"/>
      </w:r>
      <w:r w:rsidR="000B5579">
        <w:rPr>
          <w:lang w:val="en-US"/>
        </w:rPr>
        <w:instrText xml:space="preserve"> ADDIN ZOTERO_ITEM CSL_CITATION {"citationID":"viada25g","properties":{"formattedCitation":"\\super 4\\nosupersub{}","plainCitation":"4","noteIndex":0},"citationItems":[{"id":8,"uris":["http://zotero.org/users/local/0pdZPGmr/items/E92QFFH2","http://zotero.org/users/9596130/items/E92QFFH2"],"itemData":{"id":8,"type":"article-journal","abstract":"Author Summary   Neuraminidase Inhibitors (NI) are currently the most effective drugs against influenza. Recent cases of NI resistance are a cause for concern. A number of studies have reported the fraction of treated patients from which resistant virus could be isolated. While these results provide some assessment of the danger of NI resistance, a more quantitative understanding is preferable. We specifically want to know how likely it is that an infected, treated patient infects another person with the resistant strain, and how likely it is that the resistant strain subsequently spreads. Knowing these quantities is important for studies of the population-wide emergence of resistance. While these parameters can often be estimated from epidemiological data, such data is lacking for NI resistance in influenza. Here, we use an alternative approach that combines data from influenza infections of human volunteers with a mathematical framework. We find that the initial generation of resistant cases is most likely lower than the fraction of resistant cases reported. However, our study also clearly shows that the results depend strongly on the role the immune response plays, an issue that needs to be addressed in future studies.","container-title":"PLOS Computational Biology","DOI":"10.1371/journal.pcbi.0030240","issue":"12","journalAbbreviation":"PLOS Computational Biology","note":"publisher: Public Library of Science","page":"e240","title":"Neuraminidase Inhibitor Resistance in Influenza: Assessing the Danger of Its Generation and Spread","volume":"3","author":[{"family":"Handel","given":"Andreas"},{"family":"Longini","given":"Ira M","suffix":"Jr."},{"family":"Antia","given":"Rustom"}],"issued":{"date-parts":[["2007",12,7]]}}}],"schema":"https://github.com/citation-style-language/schema/raw/master/csl-citation.json"} </w:instrText>
      </w:r>
      <w:r w:rsidRPr="00F04787">
        <w:rPr>
          <w:lang w:val="en-US"/>
        </w:rPr>
        <w:fldChar w:fldCharType="separate"/>
      </w:r>
      <w:r w:rsidR="000B5579" w:rsidRPr="000B5579">
        <w:rPr>
          <w:sz w:val="24"/>
          <w:vertAlign w:val="superscript"/>
          <w:lang w:val="en-US"/>
        </w:rPr>
        <w:t>4</w:t>
      </w:r>
      <w:r w:rsidRPr="00F04787">
        <w:rPr>
          <w:lang w:val="en-US"/>
        </w:rPr>
        <w:fldChar w:fldCharType="end"/>
      </w:r>
      <w:r w:rsidRPr="00F04787">
        <w:rPr>
          <w:lang w:val="en-US"/>
        </w:rPr>
        <w:t xml:space="preserve"> We used differential evolution to iteratively search for parameter values that maxim</w:t>
      </w:r>
      <w:r w:rsidR="00665561">
        <w:rPr>
          <w:lang w:val="en-US"/>
        </w:rPr>
        <w:t>ise</w:t>
      </w:r>
      <w:r w:rsidRPr="00F04787">
        <w:rPr>
          <w:lang w:val="en-US"/>
        </w:rPr>
        <w:t xml:space="preserve"> the joint Gaussian likelihood of the viral load data reported in the </w:t>
      </w:r>
      <w:r w:rsidR="006B3EE9" w:rsidRPr="00F04787">
        <w:rPr>
          <w:lang w:val="en-US"/>
        </w:rPr>
        <w:t>CAPSTONE-1</w:t>
      </w:r>
      <w:r w:rsidRPr="00F04787">
        <w:rPr>
          <w:lang w:val="en-US"/>
        </w:rPr>
        <w:t xml:space="preserve"> trial</w:t>
      </w:r>
      <w:r w:rsidRPr="00F04787">
        <w:rPr>
          <w:lang w:val="en-US"/>
        </w:rPr>
        <w:fldChar w:fldCharType="begin"/>
      </w:r>
      <w:r w:rsidR="000B5579">
        <w:rPr>
          <w:lang w:val="en-US"/>
        </w:rPr>
        <w:instrText xml:space="preserve"> ADDIN ZOTERO_ITEM CSL_CITATION {"citationID":"G0wef8n7","properties":{"formattedCitation":"\\super 2\\nosupersub{}","plainCitation":"2","noteIndex":0},"citationItems":[{"id":9,"uris":["http://zotero.org/users/local/0pdZPGmr/items/LU5QH5UX","http://zotero.org/users/9596130/items/LU5QH5UX"],"itemData":{"id":9,"type":"article-journal","abstract":"In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Pr="00F04787">
        <w:rPr>
          <w:lang w:val="en-US"/>
        </w:rPr>
        <w:fldChar w:fldCharType="separate"/>
      </w:r>
      <w:r w:rsidR="000B5579" w:rsidRPr="000B5579">
        <w:rPr>
          <w:vertAlign w:val="superscript"/>
          <w:lang w:val="en-US"/>
        </w:rPr>
        <w:t>2</w:t>
      </w:r>
      <w:r w:rsidRPr="00F04787">
        <w:rPr>
          <w:lang w:val="en-US"/>
        </w:rPr>
        <w:fldChar w:fldCharType="end"/>
      </w:r>
      <w:r w:rsidRPr="00F04787">
        <w:rPr>
          <w:lang w:val="en-US"/>
        </w:rPr>
        <w:t xml:space="preserve"> and in Uehara et al</w:t>
      </w:r>
      <w:r w:rsidR="00A72AA3" w:rsidRPr="00F04787">
        <w:rPr>
          <w:lang w:val="en-US"/>
        </w:rPr>
        <w:t xml:space="preserve"> (</w:t>
      </w:r>
      <w:r w:rsidR="004F373C">
        <w:rPr>
          <w:lang w:val="en-US"/>
        </w:rPr>
        <w:t xml:space="preserve">Extended Data Fig. </w:t>
      </w:r>
      <w:r w:rsidR="00471BF0">
        <w:rPr>
          <w:lang w:val="en-US"/>
        </w:rPr>
        <w:t>8</w:t>
      </w:r>
      <w:r w:rsidR="00A72AA3" w:rsidRPr="00F04787">
        <w:rPr>
          <w:lang w:val="en-US"/>
        </w:rPr>
        <w:t>)</w:t>
      </w:r>
      <w:r w:rsidRPr="00F04787">
        <w:rPr>
          <w:lang w:val="en-US"/>
        </w:rPr>
        <w:t>.</w:t>
      </w:r>
      <w:r w:rsidRPr="00F04787">
        <w:rPr>
          <w:lang w:val="en-US"/>
        </w:rPr>
        <w:fldChar w:fldCharType="begin"/>
      </w:r>
      <w:r w:rsidR="000B5579">
        <w:rPr>
          <w:lang w:val="en-US"/>
        </w:rPr>
        <w:instrText xml:space="preserve"> ADDIN ZOTERO_ITEM CSL_CITATION {"citationID":"U4d9gmOd","properties":{"formattedCitation":"\\super 1\\nosupersub{}","plainCitation":"1","noteIndex":0},"citationItems":[{"id":14,"uris":["http://zotero.org/users/local/0pdZPGmr/items/Q75YUA7U","http://zotero.org/users/9596130/items/Q75YUA7U"],"itemData":{"id":14,"type":"article-journal","abstract":"Single-dose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schema":"https://github.com/citation-style-language/schema/raw/master/csl-citation.json"} </w:instrText>
      </w:r>
      <w:r w:rsidRPr="00F04787">
        <w:rPr>
          <w:lang w:val="en-US"/>
        </w:rPr>
        <w:fldChar w:fldCharType="separate"/>
      </w:r>
      <w:r w:rsidR="000B5579" w:rsidRPr="000B5579">
        <w:rPr>
          <w:vertAlign w:val="superscript"/>
          <w:lang w:val="en-US"/>
        </w:rPr>
        <w:t>1</w:t>
      </w:r>
      <w:r w:rsidRPr="00F04787">
        <w:rPr>
          <w:lang w:val="en-US"/>
        </w:rPr>
        <w:fldChar w:fldCharType="end"/>
      </w:r>
      <w:r w:rsidR="00614232">
        <w:rPr>
          <w:lang w:val="en-US"/>
        </w:rPr>
        <w:t xml:space="preserve"> Applying these maximum-likelihood parameter estimates to our within-host model, we could then simulate the infectious viral load trajectories for different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treatment</m:t>
            </m:r>
          </m:sub>
        </m:sSub>
      </m:oMath>
      <w:r w:rsidR="00614232">
        <w:rPr>
          <w:rFonts w:eastAsiaTheme="minorEastAsia"/>
          <w:lang w:val="en-US"/>
        </w:rPr>
        <w:t xml:space="preserve"> (</w:t>
      </w:r>
      <w:r w:rsidR="004F373C">
        <w:rPr>
          <w:rFonts w:eastAsiaTheme="minorEastAsia"/>
          <w:lang w:val="en-US"/>
        </w:rPr>
        <w:t xml:space="preserve">Extended Data Fig. </w:t>
      </w:r>
      <w:r w:rsidR="005D0502">
        <w:rPr>
          <w:lang w:val="en-US"/>
        </w:rPr>
        <w:t>4</w:t>
      </w:r>
      <w:r w:rsidR="00614232">
        <w:rPr>
          <w:lang w:val="en-US"/>
        </w:rPr>
        <w:t>)</w:t>
      </w:r>
      <w:r w:rsidR="008A1FC0">
        <w:rPr>
          <w:lang w:val="en-US"/>
        </w:rPr>
        <w:t xml:space="preserve">. </w:t>
      </w:r>
    </w:p>
    <w:p w14:paraId="03911E15" w14:textId="77777777" w:rsidR="00257ABA" w:rsidRPr="00F04787" w:rsidRDefault="00257ABA" w:rsidP="00C86312">
      <w:pPr>
        <w:rPr>
          <w:lang w:val="en-US"/>
        </w:rPr>
      </w:pPr>
    </w:p>
    <w:p w14:paraId="451622D7" w14:textId="4F134B58" w:rsidR="00A446F7" w:rsidRPr="00F04787" w:rsidRDefault="00A446F7" w:rsidP="0055385D">
      <w:pPr>
        <w:pStyle w:val="Heading2"/>
      </w:pPr>
      <w:bookmarkStart w:id="1" w:name="_Toc192246972"/>
      <w:r w:rsidRPr="00F04787">
        <w:t>Infectiousness estimates from within-host viral load</w:t>
      </w:r>
      <w:bookmarkEnd w:id="1"/>
      <w:r w:rsidRPr="00F04787">
        <w:t xml:space="preserve"> </w:t>
      </w:r>
    </w:p>
    <w:p w14:paraId="7D436C17" w14:textId="2826E266" w:rsidR="00A446F7" w:rsidRPr="00F04787" w:rsidRDefault="001F1788" w:rsidP="00A446F7">
      <w:pPr>
        <w:rPr>
          <w:lang w:val="en-US"/>
        </w:rPr>
      </w:pPr>
      <w:r w:rsidRPr="00F04787">
        <w:rPr>
          <w:lang w:val="en-US"/>
        </w:rPr>
        <w:t>To correlate</w:t>
      </w:r>
      <w:r w:rsidR="00A446F7" w:rsidRPr="00F04787">
        <w:rPr>
          <w:lang w:val="en-US"/>
        </w:rPr>
        <w:t xml:space="preserve"> within-host viral dynamics </w:t>
      </w:r>
      <w:r w:rsidRPr="00F04787">
        <w:rPr>
          <w:lang w:val="en-US"/>
        </w:rPr>
        <w:t>to infectiousness</w:t>
      </w:r>
      <w:r w:rsidR="00A446F7" w:rsidRPr="00F04787">
        <w:rPr>
          <w:lang w:val="en-US"/>
        </w:rPr>
        <w:t>,</w:t>
      </w:r>
      <w:r w:rsidR="00A446F7" w:rsidRPr="00F04787">
        <w:rPr>
          <w:lang w:val="en-US"/>
        </w:rPr>
        <w:fldChar w:fldCharType="begin"/>
      </w:r>
      <w:r w:rsidR="000B5579">
        <w:rPr>
          <w:lang w:val="en-US"/>
        </w:rPr>
        <w:instrText xml:space="preserve"> ADDIN ZOTERO_ITEM CSL_CITATION {"citationID":"Fc2kSy4m","properties":{"formattedCitation":"\\super 5\\nosupersub{}","plainCitation":"5","noteIndex":0},"citationItems":[{"id":62,"uris":["http://zotero.org/users/local/0pdZPGmr/items/SMLQE5RT","http://zotero.org/users/9596130/items/SMLQE5RT"],"itemData":{"id":62,"type":"article-journal","container-title":"Philosophical Transactions of the Royal Society B: Biological Sciences","DOI":"10.1098/rstb.2014.0302","issue":"1675","journalAbbreviation":"Philosophical Transactions of the Royal Society B: Biological Sciences","note":"publisher: Royal Society","page":"20140302","title":"Crossing the scale from within-host infection dynamics to between-host transmission fitness: a discussion of current assumptions and knowledge","volume":"370","author":[{"family":"Handel","given":"Andreas"},{"family":"Rohani","given":"Pejman"}],"issued":{"date-parts":[["2015",8,19]]}}}],"schema":"https://github.com/citation-style-language/schema/raw/master/csl-citation.json"} </w:instrText>
      </w:r>
      <w:r w:rsidR="00A446F7" w:rsidRPr="00F04787">
        <w:rPr>
          <w:lang w:val="en-US"/>
        </w:rPr>
        <w:fldChar w:fldCharType="separate"/>
      </w:r>
      <w:r w:rsidR="000B5579" w:rsidRPr="000B5579">
        <w:rPr>
          <w:sz w:val="24"/>
          <w:vertAlign w:val="superscript"/>
          <w:lang w:val="en-US"/>
        </w:rPr>
        <w:t>5</w:t>
      </w:r>
      <w:r w:rsidR="00A446F7" w:rsidRPr="00F04787">
        <w:rPr>
          <w:lang w:val="en-US"/>
        </w:rPr>
        <w:fldChar w:fldCharType="end"/>
      </w:r>
      <w:r w:rsidR="00A446F7" w:rsidRPr="00F04787">
        <w:rPr>
          <w:lang w:val="en-US"/>
        </w:rPr>
        <w:t xml:space="preserve"> we explored three different models that were previously applied to respiratory viral pathogens to estimate infectiousness (</w:t>
      </w:r>
      <m:oMath>
        <m:r>
          <w:rPr>
            <w:rFonts w:ascii="Cambria Math" w:hAnsi="Cambria Math"/>
            <w:lang w:val="en-US"/>
          </w:rPr>
          <m:t>ω</m:t>
        </m:r>
        <m:d>
          <m:dPr>
            <m:ctrlPr>
              <w:rPr>
                <w:rFonts w:ascii="Cambria Math" w:hAnsi="Cambria Math"/>
                <w:i/>
                <w:lang w:val="en-US"/>
              </w:rPr>
            </m:ctrlPr>
          </m:dPr>
          <m:e>
            <m:r>
              <w:rPr>
                <w:rFonts w:ascii="Cambria Math" w:hAnsi="Cambria Math"/>
                <w:lang w:val="en-US"/>
              </w:rPr>
              <m:t>t</m:t>
            </m:r>
          </m:e>
        </m:d>
      </m:oMath>
      <w:r w:rsidR="00A446F7" w:rsidRPr="00F04787">
        <w:rPr>
          <w:lang w:val="en-US"/>
        </w:rPr>
        <w:t>) from the simulated viral load (</w:t>
      </w:r>
      <m:oMath>
        <m:r>
          <w:rPr>
            <w:rFonts w:ascii="Cambria Math" w:hAnsi="Cambria Math"/>
            <w:lang w:val="en-US"/>
          </w:rPr>
          <m:t>V</m:t>
        </m:r>
        <m:d>
          <m:dPr>
            <m:ctrlPr>
              <w:rPr>
                <w:rFonts w:ascii="Cambria Math" w:hAnsi="Cambria Math"/>
                <w:i/>
                <w:lang w:val="en-US"/>
              </w:rPr>
            </m:ctrlPr>
          </m:dPr>
          <m:e>
            <m:r>
              <w:rPr>
                <w:rFonts w:ascii="Cambria Math" w:hAnsi="Cambria Math"/>
                <w:lang w:val="en-US"/>
              </w:rPr>
              <m:t>t</m:t>
            </m:r>
          </m:e>
        </m:d>
      </m:oMath>
      <w:r w:rsidR="00A446F7" w:rsidRPr="00F04787">
        <w:rPr>
          <w:lang w:val="en-US"/>
        </w:rPr>
        <w:t xml:space="preserve">) at time </w:t>
      </w:r>
      <m:oMath>
        <m:r>
          <w:rPr>
            <w:rFonts w:ascii="Cambria Math" w:hAnsi="Cambria Math"/>
            <w:lang w:val="en-US"/>
          </w:rPr>
          <m:t>t</m:t>
        </m:r>
      </m:oMath>
      <w:r w:rsidR="00A446F7" w:rsidRPr="00F04787">
        <w:rPr>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521"/>
        <w:gridCol w:w="793"/>
      </w:tblGrid>
      <w:tr w:rsidR="00A446F7" w:rsidRPr="00F04787" w14:paraId="1200B331" w14:textId="77777777" w:rsidTr="001B626F">
        <w:trPr>
          <w:trHeight w:val="1644"/>
        </w:trPr>
        <w:tc>
          <w:tcPr>
            <w:tcW w:w="1696" w:type="dxa"/>
            <w:vAlign w:val="center"/>
          </w:tcPr>
          <w:p w14:paraId="1E96B454" w14:textId="6FFA4C93" w:rsidR="00A446F7" w:rsidRPr="00F04787" w:rsidRDefault="00A446F7" w:rsidP="001B626F">
            <w:pPr>
              <w:spacing w:line="276" w:lineRule="auto"/>
              <w:jc w:val="center"/>
              <w:rPr>
                <w:lang w:val="en-US"/>
              </w:rPr>
            </w:pPr>
            <w:r w:rsidRPr="00F04787">
              <w:rPr>
                <w:lang w:val="en-US"/>
              </w:rPr>
              <w:lastRenderedPageBreak/>
              <w:t>Hill equation</w:t>
            </w:r>
            <w:r w:rsidRPr="00F04787">
              <w:rPr>
                <w:lang w:val="en-US"/>
              </w:rPr>
              <w:fldChar w:fldCharType="begin"/>
            </w:r>
            <w:r w:rsidR="000B5579">
              <w:rPr>
                <w:lang w:val="en-US"/>
              </w:rPr>
              <w:instrText xml:space="preserve"> ADDIN ZOTERO_ITEM CSL_CITATION {"citationID":"XMYUWUYr","properties":{"formattedCitation":"\\super 4,6\\nosupersub{}","plainCitation":"4,6","noteIndex":0},"citationItems":[{"id":8,"uris":["http://zotero.org/users/local/0pdZPGmr/items/E92QFFH2","http://zotero.org/users/9596130/items/E92QFFH2"],"itemData":{"id":8,"type":"article-journal","abstract":"Author Summary   Neuraminidase Inhibitors (NI) are currently the most effective drugs against influenza. Recent cases of NI resistance are a cause for concern. A number of studies have reported the fraction of treated patients from which resistant virus could be isolated. While these results provide some assessment of the danger of NI resistance, a more quantitative understanding is preferable. We specifically want to know how likely it is that an infected, treated patient infects another person with the resistant strain, and how likely it is that the resistant strain subsequently spreads. Knowing these quantities is important for studies of the population-wide emergence of resistance. While these parameters can often be estimated from epidemiological data, such data is lacking for NI resistance in influenza. Here, we use an alternative approach that combines data from influenza infections of human volunteers with a mathematical framework. We find that the initial generation of resistant cases is most likely lower than the fraction of resistant cases reported. However, our study also clearly shows that the results depend strongly on the role the immune response plays, an issue that needs to be addressed in future studies.","container-title":"PLOS Computational Biology","DOI":"10.1371/journal.pcbi.0030240","issue":"12","journalAbbreviation":"PLOS Computational Biology","note":"publisher: Public Library of Science","page":"e240","title":"Neuraminidase Inhibitor Resistance in Influenza: Assessing the Danger of Its Generation and Spread","volume":"3","author":[{"family":"Handel","given":"Andreas"},{"family":"Longini","given":"Ira M","suffix":"Jr."},{"family":"Antia","given":"Rustom"}],"issued":{"date-parts":[["2007",12,7]]}}},{"id":57,"uris":["http://zotero.org/users/local/0pdZPGmr/items/WPNZDR5S","http://zotero.org/users/9596130/items/WPNZDR5S"],"itemData":{"id":57,"type":"article-journal","abstract":"SARS-CoV-2 is difficult to contain because many transmissions occur during pre-symptomatic infection. Unlike influenza, most SARS-CoV-2-infected people do not transmit while a small percentage infect large numbers of people. We designed mathematical models which link observed viral loads with epidemiologic features of each virus, including distribution of transmissions attributed to each infected person and duration between symptom onset in the transmitter and secondarily infected person. We identify that people infected with SARS-CoV-2 or influenza can be highly contagious for less than 1 day, congruent with peak viral load. SARS-CoV-2 super-spreader events occur when an infected person is shedding at a very high viral load and has a high number of exposed contacts. The higher predisposition of SARS-CoV-2 toward super-spreading events cannot be attributed to additional weeks of shedding relative to influenza. Rather, a person infected with SARS-CoV-2 exposes more people within equivalent physical contact networks, likely due to aerosolization.","container-title":"eLife","DOI":"10.7554/eLife.63537","ISSN":"2050-084X","note":"publisher: eLife Sciences Publications, Ltd","page":"e63537","title":"Viral load and contact heterogeneity predict SARS-CoV-2 transmission and super-spreading events","volume":"10","author":[{"family":"Goyal","given":"Ashish"},{"family":"Reeves","given":"Daniel B"},{"family":"Cardozo-Ojeda","given":"E Fabian"},{"family":"Schiffer","given":"Joshua T"},{"family":"Mayer","given":"Bryan T"}],"editor":[{"family":"Walczak","given":"Aleksandra M"},{"family":"Childs","given":"Lauren"},{"family":"Forde","given":"Jonathan"}],"issued":{"date-parts":[["2021",2,23]]}}}],"schema":"https://github.com/citation-style-language/schema/raw/master/csl-citation.json"} </w:instrText>
            </w:r>
            <w:r w:rsidRPr="00F04787">
              <w:rPr>
                <w:lang w:val="en-US"/>
              </w:rPr>
              <w:fldChar w:fldCharType="separate"/>
            </w:r>
            <w:r w:rsidR="000B5579" w:rsidRPr="000B5579">
              <w:rPr>
                <w:sz w:val="24"/>
                <w:vertAlign w:val="superscript"/>
                <w:lang w:val="en-US"/>
              </w:rPr>
              <w:t>4,6</w:t>
            </w:r>
            <w:r w:rsidRPr="00F04787">
              <w:rPr>
                <w:lang w:val="en-US"/>
              </w:rPr>
              <w:fldChar w:fldCharType="end"/>
            </w:r>
          </w:p>
        </w:tc>
        <w:tc>
          <w:tcPr>
            <w:tcW w:w="6521" w:type="dxa"/>
            <w:vAlign w:val="center"/>
          </w:tcPr>
          <w:p w14:paraId="1690CBAA" w14:textId="77777777" w:rsidR="00A446F7" w:rsidRPr="00F04787" w:rsidRDefault="00A446F7" w:rsidP="001B626F">
            <w:pPr>
              <w:spacing w:line="276" w:lineRule="auto"/>
              <w:jc w:val="center"/>
              <w:rPr>
                <w:lang w:val="en-US"/>
              </w:rPr>
            </w:pPr>
            <m:oMathPara>
              <m:oMath>
                <m:r>
                  <w:rPr>
                    <w:rFonts w:ascii="Cambria Math" w:hAnsi="Cambria Math"/>
                    <w:lang w:val="en-US"/>
                  </w:rPr>
                  <m:t>ω</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m:t>
                    </m:r>
                    <m:sSup>
                      <m:sSupPr>
                        <m:ctrlPr>
                          <w:rPr>
                            <w:rFonts w:ascii="Cambria Math" w:hAnsi="Cambria Math"/>
                            <w:i/>
                            <w:lang w:val="en-US"/>
                          </w:rPr>
                        </m:ctrlPr>
                      </m:sSupPr>
                      <m:e>
                        <m:d>
                          <m:dPr>
                            <m:begChr m:val="["/>
                            <m:endChr m:val="]"/>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1</m:t>
                                    </m:r>
                                  </m:sub>
                                </m:sSub>
                              </m:num>
                              <m:den>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ctrlPr>
                                          <w:rPr>
                                            <w:rFonts w:ascii="Cambria Math" w:hAnsi="Cambria Math"/>
                                            <w:lang w:val="en-US"/>
                                          </w:rPr>
                                        </m:ctrlPr>
                                      </m:e>
                                      <m:sub>
                                        <m:r>
                                          <w:rPr>
                                            <w:rFonts w:ascii="Cambria Math" w:hAnsi="Cambria Math"/>
                                            <w:lang w:val="en-US"/>
                                          </w:rPr>
                                          <m:t>10</m:t>
                                        </m:r>
                                        <m:ctrlPr>
                                          <w:rPr>
                                            <w:rFonts w:ascii="Cambria Math" w:hAnsi="Cambria Math"/>
                                            <w:lang w:val="en-US"/>
                                          </w:rPr>
                                        </m:ctrlPr>
                                      </m:sub>
                                    </m:sSub>
                                  </m:fName>
                                  <m:e>
                                    <m:d>
                                      <m:dPr>
                                        <m:begChr m:val="{"/>
                                        <m:endChr m:val="}"/>
                                        <m:ctrlPr>
                                          <w:rPr>
                                            <w:rFonts w:ascii="Cambria Math" w:hAnsi="Cambria Math"/>
                                            <w:i/>
                                            <w:lang w:val="en-US"/>
                                          </w:rPr>
                                        </m:ctrlPr>
                                      </m:dPr>
                                      <m:e>
                                        <m:r>
                                          <w:rPr>
                                            <w:rFonts w:ascii="Cambria Math" w:hAnsi="Cambria Math"/>
                                            <w:lang w:val="en-US"/>
                                          </w:rPr>
                                          <m:t>V</m:t>
                                        </m:r>
                                        <m:d>
                                          <m:dPr>
                                            <m:ctrlPr>
                                              <w:rPr>
                                                <w:rFonts w:ascii="Cambria Math" w:hAnsi="Cambria Math"/>
                                                <w:i/>
                                                <w:lang w:val="en-US"/>
                                              </w:rPr>
                                            </m:ctrlPr>
                                          </m:dPr>
                                          <m:e>
                                            <m:r>
                                              <w:rPr>
                                                <w:rFonts w:ascii="Cambria Math" w:hAnsi="Cambria Math"/>
                                                <w:lang w:val="en-US"/>
                                              </w:rPr>
                                              <m:t>t</m:t>
                                            </m:r>
                                          </m:e>
                                        </m:d>
                                      </m:e>
                                    </m:d>
                                  </m:e>
                                </m:func>
                              </m:den>
                            </m:f>
                          </m:e>
                        </m:d>
                      </m:e>
                      <m:sup>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2</m:t>
                            </m:r>
                          </m:sub>
                        </m:sSub>
                      </m:sup>
                    </m:sSup>
                  </m:den>
                </m:f>
              </m:oMath>
            </m:oMathPara>
          </w:p>
          <w:p w14:paraId="1DD9334F" w14:textId="77777777" w:rsidR="00803464" w:rsidRPr="00F04787" w:rsidRDefault="00803464" w:rsidP="002A34EA">
            <w:pPr>
              <w:spacing w:line="276" w:lineRule="auto"/>
              <w:rPr>
                <w:lang w:val="en-US"/>
              </w:rPr>
            </w:pPr>
          </w:p>
          <w:p w14:paraId="4BE207BB" w14:textId="78C7A386" w:rsidR="00A446F7" w:rsidRPr="00F04787" w:rsidRDefault="00A446F7" w:rsidP="001B626F">
            <w:pPr>
              <w:spacing w:line="276" w:lineRule="auto"/>
              <w:jc w:val="center"/>
              <w:rPr>
                <w:lang w:val="en-US"/>
              </w:rPr>
            </w:pPr>
            <w:r w:rsidRPr="00F04787">
              <w:rPr>
                <w:lang w:val="en-US"/>
              </w:rPr>
              <w:t xml:space="preserve">where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1</m:t>
                  </m:r>
                </m:sub>
              </m:sSub>
            </m:oMath>
            <w:r w:rsidRPr="00F04787">
              <w:rPr>
                <w:lang w:val="en-US"/>
              </w:rPr>
              <w:t xml:space="preserve"> is the viral load value leading to 50% infectiousness and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2</m:t>
                  </m:r>
                </m:sub>
              </m:sSub>
            </m:oMath>
            <w:r w:rsidRPr="00F04787">
              <w:rPr>
                <w:lang w:val="en-US"/>
              </w:rPr>
              <w:t xml:space="preserve"> is the Hill coefficient.</w:t>
            </w:r>
          </w:p>
          <w:p w14:paraId="394F7C02" w14:textId="77777777" w:rsidR="00A446F7" w:rsidRPr="00F04787" w:rsidRDefault="00A446F7" w:rsidP="001B626F">
            <w:pPr>
              <w:spacing w:line="276" w:lineRule="auto"/>
              <w:jc w:val="center"/>
              <w:rPr>
                <w:lang w:val="en-US"/>
              </w:rPr>
            </w:pPr>
          </w:p>
        </w:tc>
        <w:tc>
          <w:tcPr>
            <w:tcW w:w="793" w:type="dxa"/>
            <w:vAlign w:val="center"/>
          </w:tcPr>
          <w:p w14:paraId="395521DB" w14:textId="77777777" w:rsidR="00A446F7" w:rsidRPr="00F04787" w:rsidRDefault="00A446F7" w:rsidP="001B626F">
            <w:pPr>
              <w:jc w:val="center"/>
              <w:rPr>
                <w:lang w:val="en-US"/>
              </w:rPr>
            </w:pPr>
            <m:oMathPara>
              <m:oMath>
                <m:r>
                  <w:rPr>
                    <w:rFonts w:ascii="Cambria Math" w:hAnsi="Cambria Math"/>
                    <w:lang w:val="en-US"/>
                  </w:rPr>
                  <m:t>(7)</m:t>
                </m:r>
              </m:oMath>
            </m:oMathPara>
          </w:p>
        </w:tc>
      </w:tr>
      <w:tr w:rsidR="00A446F7" w:rsidRPr="00F04787" w14:paraId="77607072" w14:textId="77777777" w:rsidTr="001B626F">
        <w:trPr>
          <w:trHeight w:val="1644"/>
        </w:trPr>
        <w:tc>
          <w:tcPr>
            <w:tcW w:w="1696" w:type="dxa"/>
            <w:vAlign w:val="center"/>
          </w:tcPr>
          <w:p w14:paraId="3FE7101B" w14:textId="1F1D626C" w:rsidR="00A446F7" w:rsidRPr="00F04787" w:rsidRDefault="00A446F7" w:rsidP="001B626F">
            <w:pPr>
              <w:spacing w:line="276" w:lineRule="auto"/>
              <w:jc w:val="center"/>
              <w:rPr>
                <w:lang w:val="en-US"/>
              </w:rPr>
            </w:pPr>
            <w:r w:rsidRPr="00F04787">
              <w:rPr>
                <w:lang w:val="en-US"/>
              </w:rPr>
              <w:t>Logit function</w:t>
            </w:r>
            <w:r w:rsidRPr="00F04787">
              <w:rPr>
                <w:lang w:val="en-US"/>
              </w:rPr>
              <w:fldChar w:fldCharType="begin"/>
            </w:r>
            <w:r w:rsidR="000B5579">
              <w:rPr>
                <w:lang w:val="en-US"/>
              </w:rPr>
              <w:instrText xml:space="preserve"> ADDIN ZOTERO_ITEM CSL_CITATION {"citationID":"prcGK9LX","properties":{"formattedCitation":"\\super 7\\nosupersub{}","plainCitation":"7","noteIndex":0},"citationItems":[{"id":58,"uris":["http://zotero.org/users/local/0pdZPGmr/items/5LK3SCWQ","http://zotero.org/users/9596130/items/5LK3SCWQ"],"itemData":{"id":58,"type":"article-journal","abstract":"The relationship between SARS-CoV-2 viral load and infectiousness is poorly known. Using data from a cohort of cases and high-risk contacts, we reconstructed viral load at the time of contact and inferred the probability of infection. The effect of viral load was larger in household contacts than in non-household contacts, with a transmission probability as large as 48% when the viral load was greater than 1010 copies per mL. The transmission probability peaked at symptom onset, with a mean probability of transmission of 29%, with large individual variations. The model also projects the effects of variants on disease transmission. Based on the current knowledge that viral load is increased by two- to eightfold with variants of concern and assuming no changes in the pattern of contacts across variants, the model predicts that larger viral load levels could lead to a relative increase in the probability of transmission of 24% to 58% in household contacts, and of 15% to 39% in non-household contacts.","container-title":"eLife","DOI":"10.7554/eLife.69302","ISSN":"2050-084X","note":"publisher: eLife Sciences Publications, Ltd","page":"e69302","title":"Quantifying the relationship between SARS-CoV-2 viral load and infectiousness","volume":"10","author":[{"family":"Marc","given":"Aurélien"},{"family":"Kerioui","given":"Marion"},{"family":"Blanquart","given":"François"},{"family":"Bertrand","given":"Julie"},{"family":"Mitjà","given":"Oriol"},{"family":"Corbacho-Monné","given":"Marc"},{"family":"Marks","given":"Michael"},{"family":"Guedj","given":"Jeremie"}],"editor":[{"family":"Cobey","given":"Sarah E"},{"family":"Van der Meer","given":"Jos W"}],"issued":{"date-parts":[["2021",9,27]]}}}],"schema":"https://github.com/citation-style-language/schema/raw/master/csl-citation.json"} </w:instrText>
            </w:r>
            <w:r w:rsidRPr="00F04787">
              <w:rPr>
                <w:lang w:val="en-US"/>
              </w:rPr>
              <w:fldChar w:fldCharType="separate"/>
            </w:r>
            <w:r w:rsidR="000B5579" w:rsidRPr="000B5579">
              <w:rPr>
                <w:sz w:val="24"/>
                <w:vertAlign w:val="superscript"/>
                <w:lang w:val="en-US"/>
              </w:rPr>
              <w:t>7</w:t>
            </w:r>
            <w:r w:rsidRPr="00F04787">
              <w:rPr>
                <w:lang w:val="en-US"/>
              </w:rPr>
              <w:fldChar w:fldCharType="end"/>
            </w:r>
          </w:p>
        </w:tc>
        <w:tc>
          <w:tcPr>
            <w:tcW w:w="6521" w:type="dxa"/>
            <w:vAlign w:val="center"/>
          </w:tcPr>
          <w:p w14:paraId="1E61A338" w14:textId="77777777" w:rsidR="00A446F7" w:rsidRPr="00052441" w:rsidRDefault="00A446F7" w:rsidP="001B626F">
            <w:pPr>
              <w:spacing w:line="276" w:lineRule="auto"/>
              <w:jc w:val="center"/>
              <w:rPr>
                <w:rFonts w:eastAsia="DengXian"/>
                <w:lang w:val="en-US"/>
              </w:rPr>
            </w:pPr>
            <m:oMathPara>
              <m:oMath>
                <m:r>
                  <m:rPr>
                    <m:nor/>
                  </m:rPr>
                  <w:rPr>
                    <w:rFonts w:ascii="Cambria Math" w:hAnsi="Cambria Math"/>
                    <w:lang w:val="en-US"/>
                  </w:rPr>
                  <m:t>logit</m:t>
                </m:r>
                <m:d>
                  <m:dPr>
                    <m:begChr m:val="["/>
                    <m:endChr m:val="]"/>
                    <m:ctrlPr>
                      <w:rPr>
                        <w:rFonts w:ascii="Cambria Math" w:hAnsi="Cambria Math"/>
                        <w:i/>
                        <w:lang w:val="en-US"/>
                      </w:rPr>
                    </m:ctrlPr>
                  </m:dPr>
                  <m:e>
                    <m:r>
                      <w:rPr>
                        <w:rFonts w:ascii="Cambria Math" w:hAnsi="Cambria Math"/>
                        <w:lang w:val="en-US"/>
                      </w:rPr>
                      <m:t>ω</m:t>
                    </m:r>
                    <m:d>
                      <m:dPr>
                        <m:ctrlPr>
                          <w:rPr>
                            <w:rFonts w:ascii="Cambria Math" w:hAnsi="Cambria Math"/>
                            <w:i/>
                            <w:lang w:val="en-US"/>
                          </w:rPr>
                        </m:ctrlPr>
                      </m:dPr>
                      <m:e>
                        <m:r>
                          <w:rPr>
                            <w:rFonts w:ascii="Cambria Math" w:hAnsi="Cambria Math"/>
                            <w:lang w:val="en-US"/>
                          </w:rPr>
                          <m:t>t</m:t>
                        </m:r>
                      </m:e>
                    </m:d>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1</m:t>
                    </m:r>
                  </m:sub>
                </m:sSub>
                <m:d>
                  <m:dPr>
                    <m:begChr m:val="["/>
                    <m:endChr m:val="]"/>
                    <m:ctrlPr>
                      <w:rPr>
                        <w:rFonts w:ascii="Cambria Math" w:hAnsi="Cambria Math"/>
                        <w:i/>
                        <w:lang w:val="en-US"/>
                      </w:rPr>
                    </m:ctrlPr>
                  </m:dPr>
                  <m:e>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ctrlPr>
                              <w:rPr>
                                <w:rFonts w:ascii="Cambria Math" w:hAnsi="Cambria Math"/>
                                <w:lang w:val="en-US"/>
                              </w:rPr>
                            </m:ctrlPr>
                          </m:e>
                          <m:sub>
                            <m:r>
                              <w:rPr>
                                <w:rFonts w:ascii="Cambria Math" w:hAnsi="Cambria Math"/>
                                <w:lang w:val="en-US"/>
                              </w:rPr>
                              <m:t>10</m:t>
                            </m:r>
                            <m:ctrlPr>
                              <w:rPr>
                                <w:rFonts w:ascii="Cambria Math" w:hAnsi="Cambria Math"/>
                                <w:lang w:val="en-US"/>
                              </w:rPr>
                            </m:ctrlPr>
                          </m:sub>
                        </m:sSub>
                      </m:fName>
                      <m:e>
                        <m:d>
                          <m:dPr>
                            <m:begChr m:val="{"/>
                            <m:endChr m:val="}"/>
                            <m:ctrlPr>
                              <w:rPr>
                                <w:rFonts w:ascii="Cambria Math" w:hAnsi="Cambria Math"/>
                                <w:i/>
                                <w:lang w:val="en-US"/>
                              </w:rPr>
                            </m:ctrlPr>
                          </m:dPr>
                          <m:e>
                            <m:r>
                              <w:rPr>
                                <w:rFonts w:ascii="Cambria Math" w:hAnsi="Cambria Math"/>
                                <w:lang w:val="en-US"/>
                              </w:rPr>
                              <m:t>V</m:t>
                            </m:r>
                            <m:d>
                              <m:dPr>
                                <m:ctrlPr>
                                  <w:rPr>
                                    <w:rFonts w:ascii="Cambria Math" w:hAnsi="Cambria Math"/>
                                    <w:i/>
                                    <w:lang w:val="en-US"/>
                                  </w:rPr>
                                </m:ctrlPr>
                              </m:dPr>
                              <m:e>
                                <m:r>
                                  <w:rPr>
                                    <w:rFonts w:ascii="Cambria Math" w:hAnsi="Cambria Math"/>
                                    <w:lang w:val="en-US"/>
                                  </w:rPr>
                                  <m:t>t</m:t>
                                </m:r>
                              </m:e>
                            </m:d>
                          </m:e>
                        </m:d>
                      </m:e>
                    </m:func>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2</m:t>
                        </m:r>
                      </m:sub>
                    </m:sSub>
                  </m:e>
                </m:d>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3</m:t>
                    </m:r>
                  </m:sub>
                </m:sSub>
                <m:r>
                  <w:rPr>
                    <w:rFonts w:ascii="Cambria Math" w:hAnsi="Cambria Math"/>
                    <w:lang w:val="en-US"/>
                  </w:rPr>
                  <m:t xml:space="preserve">    ∀</m:t>
                </m:r>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ctrlPr>
                          <w:rPr>
                            <w:rFonts w:ascii="Cambria Math" w:hAnsi="Cambria Math"/>
                            <w:lang w:val="en-US"/>
                          </w:rPr>
                        </m:ctrlPr>
                      </m:e>
                      <m:sub>
                        <m:r>
                          <w:rPr>
                            <w:rFonts w:ascii="Cambria Math" w:hAnsi="Cambria Math"/>
                            <w:lang w:val="en-US"/>
                          </w:rPr>
                          <m:t>10</m:t>
                        </m:r>
                        <m:ctrlPr>
                          <w:rPr>
                            <w:rFonts w:ascii="Cambria Math" w:hAnsi="Cambria Math"/>
                            <w:lang w:val="en-US"/>
                          </w:rPr>
                        </m:ctrlPr>
                      </m:sub>
                    </m:sSub>
                  </m:fName>
                  <m:e>
                    <m:d>
                      <m:dPr>
                        <m:begChr m:val="{"/>
                        <m:endChr m:val="}"/>
                        <m:ctrlPr>
                          <w:rPr>
                            <w:rFonts w:ascii="Cambria Math" w:hAnsi="Cambria Math"/>
                            <w:i/>
                            <w:lang w:val="en-US"/>
                          </w:rPr>
                        </m:ctrlPr>
                      </m:dPr>
                      <m:e>
                        <m:r>
                          <w:rPr>
                            <w:rFonts w:ascii="Cambria Math" w:hAnsi="Cambria Math"/>
                            <w:lang w:val="en-US"/>
                          </w:rPr>
                          <m:t>V</m:t>
                        </m:r>
                        <m:d>
                          <m:dPr>
                            <m:ctrlPr>
                              <w:rPr>
                                <w:rFonts w:ascii="Cambria Math" w:hAnsi="Cambria Math"/>
                                <w:i/>
                                <w:lang w:val="en-US"/>
                              </w:rPr>
                            </m:ctrlPr>
                          </m:dPr>
                          <m:e>
                            <m:r>
                              <w:rPr>
                                <w:rFonts w:ascii="Cambria Math" w:hAnsi="Cambria Math"/>
                                <w:lang w:val="en-US"/>
                              </w:rPr>
                              <m:t>t</m:t>
                            </m:r>
                          </m:e>
                        </m:d>
                      </m:e>
                    </m:d>
                  </m:e>
                </m:func>
                <m:r>
                  <w:rPr>
                    <w:rFonts w:ascii="Cambria Math" w:hAnsi="Cambria Math"/>
                    <w:lang w:val="en-US"/>
                  </w:rPr>
                  <m:t>&gt;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2</m:t>
                    </m:r>
                  </m:sub>
                </m:sSub>
              </m:oMath>
            </m:oMathPara>
          </w:p>
          <w:p w14:paraId="22BF52CB" w14:textId="77777777" w:rsidR="00A446F7" w:rsidRPr="00052441" w:rsidRDefault="00A446F7" w:rsidP="001B626F">
            <w:pPr>
              <w:spacing w:line="276" w:lineRule="auto"/>
              <w:jc w:val="center"/>
              <w:rPr>
                <w:rFonts w:eastAsia="DengXian"/>
                <w:lang w:val="en-US"/>
              </w:rPr>
            </w:pPr>
            <m:oMathPara>
              <m:oMath>
                <m:r>
                  <m:rPr>
                    <m:nor/>
                  </m:rPr>
                  <w:rPr>
                    <w:rFonts w:ascii="Cambria Math" w:hAnsi="Cambria Math"/>
                    <w:lang w:val="en-US"/>
                  </w:rPr>
                  <m:t>logit</m:t>
                </m:r>
                <m:d>
                  <m:dPr>
                    <m:begChr m:val="["/>
                    <m:endChr m:val="]"/>
                    <m:ctrlPr>
                      <w:rPr>
                        <w:rFonts w:ascii="Cambria Math" w:hAnsi="Cambria Math"/>
                        <w:i/>
                        <w:lang w:val="en-US"/>
                      </w:rPr>
                    </m:ctrlPr>
                  </m:dPr>
                  <m:e>
                    <m:r>
                      <w:rPr>
                        <w:rFonts w:ascii="Cambria Math" w:hAnsi="Cambria Math"/>
                        <w:lang w:val="en-US"/>
                      </w:rPr>
                      <m:t>ω</m:t>
                    </m:r>
                    <m:d>
                      <m:dPr>
                        <m:ctrlPr>
                          <w:rPr>
                            <w:rFonts w:ascii="Cambria Math" w:hAnsi="Cambria Math"/>
                            <w:i/>
                            <w:lang w:val="en-US"/>
                          </w:rPr>
                        </m:ctrlPr>
                      </m:dPr>
                      <m:e>
                        <m:r>
                          <w:rPr>
                            <w:rFonts w:ascii="Cambria Math" w:hAnsi="Cambria Math"/>
                            <w:lang w:val="en-US"/>
                          </w:rPr>
                          <m:t>t</m:t>
                        </m:r>
                      </m:e>
                    </m:d>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3</m:t>
                    </m:r>
                  </m:sub>
                </m:sSub>
                <m:r>
                  <w:rPr>
                    <w:rFonts w:ascii="Cambria Math" w:hAnsi="Cambria Math"/>
                    <w:lang w:val="en-US"/>
                  </w:rPr>
                  <m:t xml:space="preserve">   ∀</m:t>
                </m:r>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ctrlPr>
                          <w:rPr>
                            <w:rFonts w:ascii="Cambria Math" w:hAnsi="Cambria Math"/>
                            <w:lang w:val="en-US"/>
                          </w:rPr>
                        </m:ctrlPr>
                      </m:e>
                      <m:sub>
                        <m:r>
                          <w:rPr>
                            <w:rFonts w:ascii="Cambria Math" w:hAnsi="Cambria Math"/>
                            <w:lang w:val="en-US"/>
                          </w:rPr>
                          <m:t>10</m:t>
                        </m:r>
                        <m:ctrlPr>
                          <w:rPr>
                            <w:rFonts w:ascii="Cambria Math" w:hAnsi="Cambria Math"/>
                            <w:lang w:val="en-US"/>
                          </w:rPr>
                        </m:ctrlPr>
                      </m:sub>
                    </m:sSub>
                  </m:fName>
                  <m:e>
                    <m:d>
                      <m:dPr>
                        <m:begChr m:val="{"/>
                        <m:endChr m:val="}"/>
                        <m:ctrlPr>
                          <w:rPr>
                            <w:rFonts w:ascii="Cambria Math" w:hAnsi="Cambria Math"/>
                            <w:i/>
                            <w:lang w:val="en-US"/>
                          </w:rPr>
                        </m:ctrlPr>
                      </m:dPr>
                      <m:e>
                        <m:r>
                          <w:rPr>
                            <w:rFonts w:ascii="Cambria Math" w:hAnsi="Cambria Math"/>
                            <w:lang w:val="en-US"/>
                          </w:rPr>
                          <m:t>V</m:t>
                        </m:r>
                        <m:d>
                          <m:dPr>
                            <m:ctrlPr>
                              <w:rPr>
                                <w:rFonts w:ascii="Cambria Math" w:hAnsi="Cambria Math"/>
                                <w:i/>
                                <w:lang w:val="en-US"/>
                              </w:rPr>
                            </m:ctrlPr>
                          </m:dPr>
                          <m:e>
                            <m:r>
                              <w:rPr>
                                <w:rFonts w:ascii="Cambria Math" w:hAnsi="Cambria Math"/>
                                <w:lang w:val="en-US"/>
                              </w:rPr>
                              <m:t>t</m:t>
                            </m:r>
                          </m:e>
                        </m:d>
                      </m:e>
                    </m:d>
                  </m:e>
                </m:func>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2</m:t>
                    </m:r>
                  </m:sub>
                </m:sSub>
              </m:oMath>
            </m:oMathPara>
          </w:p>
          <w:p w14:paraId="6FE02F0D" w14:textId="77777777" w:rsidR="00803464" w:rsidRPr="00052441" w:rsidRDefault="00803464" w:rsidP="001B626F">
            <w:pPr>
              <w:spacing w:line="276" w:lineRule="auto"/>
              <w:jc w:val="center"/>
              <w:rPr>
                <w:lang w:val="en-US"/>
              </w:rPr>
            </w:pPr>
          </w:p>
          <w:p w14:paraId="20D7F91C" w14:textId="30921945" w:rsidR="00A446F7" w:rsidRPr="00F04787" w:rsidRDefault="00A446F7" w:rsidP="001B626F">
            <w:pPr>
              <w:spacing w:line="276" w:lineRule="auto"/>
              <w:jc w:val="center"/>
              <w:rPr>
                <w:rFonts w:eastAsia="DengXian"/>
                <w:lang w:val="en-US"/>
              </w:rPr>
            </w:pPr>
            <w:r w:rsidRPr="00F04787">
              <w:rPr>
                <w:lang w:val="en-US"/>
              </w:rPr>
              <w:t xml:space="preserve">where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1</m:t>
                  </m:r>
                </m:sub>
              </m:sSub>
            </m:oMath>
            <w:r w:rsidRPr="00F04787">
              <w:rPr>
                <w:lang w:val="en-US"/>
              </w:rPr>
              <w:t xml:space="preserve"> and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3</m:t>
                  </m:r>
                </m:sub>
              </m:sSub>
            </m:oMath>
            <w:r w:rsidRPr="00F04787">
              <w:rPr>
                <w:lang w:val="en-US"/>
              </w:rPr>
              <w:t xml:space="preserve"> are the transmission coefficient and baseline log-odds respectively.</w:t>
            </w:r>
          </w:p>
        </w:tc>
        <w:tc>
          <w:tcPr>
            <w:tcW w:w="793" w:type="dxa"/>
            <w:vAlign w:val="center"/>
          </w:tcPr>
          <w:p w14:paraId="187C65F7" w14:textId="77777777" w:rsidR="00A446F7" w:rsidRPr="00F04787" w:rsidRDefault="00A446F7" w:rsidP="001B626F">
            <w:pPr>
              <w:jc w:val="center"/>
              <w:rPr>
                <w:rFonts w:eastAsia="DengXian"/>
                <w:lang w:val="en-US"/>
              </w:rPr>
            </w:pPr>
            <m:oMathPara>
              <m:oMath>
                <m:r>
                  <w:rPr>
                    <w:rFonts w:ascii="Cambria Math" w:hAnsi="Cambria Math"/>
                    <w:lang w:val="en-US"/>
                  </w:rPr>
                  <m:t>(8)</m:t>
                </m:r>
              </m:oMath>
            </m:oMathPara>
          </w:p>
        </w:tc>
      </w:tr>
      <w:tr w:rsidR="00A446F7" w:rsidRPr="00F04787" w14:paraId="131A19C8" w14:textId="77777777" w:rsidTr="001B626F">
        <w:trPr>
          <w:trHeight w:val="1644"/>
        </w:trPr>
        <w:tc>
          <w:tcPr>
            <w:tcW w:w="1696" w:type="dxa"/>
            <w:vAlign w:val="center"/>
          </w:tcPr>
          <w:p w14:paraId="49C6BCB3" w14:textId="31751194" w:rsidR="00A446F7" w:rsidRPr="00F04787" w:rsidRDefault="00A446F7" w:rsidP="001B626F">
            <w:pPr>
              <w:spacing w:line="276" w:lineRule="auto"/>
              <w:jc w:val="center"/>
              <w:rPr>
                <w:lang w:val="en-US"/>
              </w:rPr>
            </w:pPr>
            <w:r w:rsidRPr="00F04787">
              <w:rPr>
                <w:lang w:val="en-US"/>
              </w:rPr>
              <w:t>Logarithmic function</w:t>
            </w:r>
            <w:r w:rsidRPr="00F04787">
              <w:rPr>
                <w:lang w:val="en-US"/>
              </w:rPr>
              <w:fldChar w:fldCharType="begin"/>
            </w:r>
            <w:r w:rsidR="000B5579">
              <w:rPr>
                <w:lang w:val="en-US"/>
              </w:rPr>
              <w:instrText xml:space="preserve"> ADDIN ZOTERO_ITEM CSL_CITATION {"citationID":"1S0zHKAY","properties":{"formattedCitation":"\\super 8\\nosupersub{}","plainCitation":"8","noteIndex":0},"citationItems":[{"id":64,"uris":["http://zotero.org/users/local/0pdZPGmr/items/SXF4GCBA","http://zotero.org/users/9596130/items/SXF4GCBA"],"itemData":{"id":64,"type":"article-journal","abstract":"Author Summary Infectious diseases vary widely in how they affect those who get infected and how they are transmitted. As an example, the duration of a single infection can range from days to years, while transmission can occur via the respiratory route, water or sexual contact. Measles and HIV are contrasting examples—both are caused by RNA viruses, but one is a genetically diverse, lethal sexually transmitted infection (STI) while the other is a relatively mild respiratory childhood disease with low antigenic diversity. We investigate why the most transmissible respiratory diseases such as measles and rubella are antigenically static, meaning immunity is lifelong, while other diseases—such as influenza, or the sexually transmitted diseases—seem to trade transmissibility for the ability to generate multiple diverse strains so as to evade host immunity. We use mathematical models of disease progression and evolution within the infected host coupled with models of transmission between hosts to explore how transmission modes, host contact rates and network structure determine antigenic diversity, infectiousness and duration of infection. In doing so, we classify infections into three types—measles-like (high transmissibility, but antigenically static), flu-like (lower transmissibility, but more antigenically diverse), and STI-like (very antigenically diverse, long lived infection, but low overall transmissibility).","container-title":"PLOS Computational Biology","DOI":"10.1371/journal.pcbi.1000536","issue":"10","journalAbbreviation":"PLOS Computational Biology","note":"publisher: Public Library of Science","page":"e1000536","title":"Antigenic Diversity, Transmission Mechanisms, and the Evolution of Pathogens","volume":"5","author":[{"family":"Lange","given":"Alexander"},{"family":"Ferguson","given":"Neil M."}],"issued":{"date-parts":[["2009",10,16]]}}}],"schema":"https://github.com/citation-style-language/schema/raw/master/csl-citation.json"} </w:instrText>
            </w:r>
            <w:r w:rsidRPr="00F04787">
              <w:rPr>
                <w:lang w:val="en-US"/>
              </w:rPr>
              <w:fldChar w:fldCharType="separate"/>
            </w:r>
            <w:r w:rsidR="000B5579" w:rsidRPr="000B5579">
              <w:rPr>
                <w:sz w:val="24"/>
                <w:vertAlign w:val="superscript"/>
                <w:lang w:val="en-US"/>
              </w:rPr>
              <w:t>8</w:t>
            </w:r>
            <w:r w:rsidRPr="00F04787">
              <w:rPr>
                <w:lang w:val="en-US"/>
              </w:rPr>
              <w:fldChar w:fldCharType="end"/>
            </w:r>
          </w:p>
        </w:tc>
        <w:tc>
          <w:tcPr>
            <w:tcW w:w="6521" w:type="dxa"/>
            <w:vAlign w:val="center"/>
          </w:tcPr>
          <w:p w14:paraId="6841FF75" w14:textId="6A14B808" w:rsidR="00A446F7" w:rsidRPr="00F04787" w:rsidRDefault="00A446F7" w:rsidP="001B626F">
            <w:pPr>
              <w:spacing w:line="276" w:lineRule="auto"/>
              <w:jc w:val="center"/>
              <w:rPr>
                <w:rFonts w:eastAsia="DengXian"/>
                <w:lang w:val="en-US"/>
              </w:rPr>
            </w:pPr>
            <m:oMathPara>
              <m:oMath>
                <m:r>
                  <w:rPr>
                    <w:rFonts w:ascii="Cambria Math" w:hAnsi="Cambria Math"/>
                    <w:lang w:val="en-US"/>
                  </w:rPr>
                  <m:t>ω</m:t>
                </m:r>
                <m:d>
                  <m:dPr>
                    <m:ctrlPr>
                      <w:rPr>
                        <w:rFonts w:ascii="Cambria Math" w:hAnsi="Cambria Math"/>
                        <w:i/>
                        <w:lang w:val="en-US"/>
                      </w:rPr>
                    </m:ctrlPr>
                  </m:dPr>
                  <m:e>
                    <m:r>
                      <w:rPr>
                        <w:rFonts w:ascii="Cambria Math" w:hAnsi="Cambria Math"/>
                        <w:lang w:val="en-US"/>
                      </w:rPr>
                      <m:t>t</m:t>
                    </m:r>
                  </m:e>
                </m:d>
                <m:r>
                  <w:rPr>
                    <w:rFonts w:ascii="Cambria Math" w:hAnsi="Cambria Math"/>
                    <w:lang w:val="en-US"/>
                  </w:rPr>
                  <m:t>=1-</m:t>
                </m:r>
                <m:func>
                  <m:funcPr>
                    <m:ctrlPr>
                      <w:rPr>
                        <w:rFonts w:ascii="Cambria Math" w:hAnsi="Cambria Math"/>
                        <w:i/>
                        <w:lang w:val="en-US"/>
                      </w:rPr>
                    </m:ctrlPr>
                  </m:funcPr>
                  <m:fName>
                    <m:r>
                      <m:rPr>
                        <m:sty m:val="p"/>
                      </m:rPr>
                      <w:rPr>
                        <w:rFonts w:ascii="Cambria Math" w:hAnsi="Cambria Math"/>
                        <w:lang w:val="en-US"/>
                      </w:rPr>
                      <m:t>exp</m:t>
                    </m:r>
                  </m:fName>
                  <m:e>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t>
                            </m:r>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ctrlPr>
                                      <w:rPr>
                                        <w:rFonts w:ascii="Cambria Math" w:hAnsi="Cambria Math"/>
                                        <w:lang w:val="en-US"/>
                                      </w:rPr>
                                    </m:ctrlPr>
                                  </m:e>
                                  <m:sub>
                                    <m:r>
                                      <w:rPr>
                                        <w:rFonts w:ascii="Cambria Math" w:hAnsi="Cambria Math"/>
                                        <w:lang w:val="en-US"/>
                                      </w:rPr>
                                      <m:t>10</m:t>
                                    </m:r>
                                    <m:ctrlPr>
                                      <w:rPr>
                                        <w:rFonts w:ascii="Cambria Math" w:hAnsi="Cambria Math"/>
                                        <w:lang w:val="en-US"/>
                                      </w:rPr>
                                    </m:ctrlPr>
                                  </m:sub>
                                </m:sSub>
                              </m:fName>
                              <m:e>
                                <m:d>
                                  <m:dPr>
                                    <m:begChr m:val="["/>
                                    <m:endChr m:val="]"/>
                                    <m:ctrlPr>
                                      <w:rPr>
                                        <w:rFonts w:ascii="Cambria Math" w:hAnsi="Cambria Math"/>
                                        <w:i/>
                                        <w:lang w:val="en-US"/>
                                      </w:rPr>
                                    </m:ctrlPr>
                                  </m:dPr>
                                  <m:e>
                                    <m:r>
                                      <w:rPr>
                                        <w:rFonts w:ascii="Cambria Math" w:hAnsi="Cambria Math"/>
                                        <w:lang w:val="en-US"/>
                                      </w:rPr>
                                      <m:t>V</m:t>
                                    </m:r>
                                    <m:d>
                                      <m:dPr>
                                        <m:ctrlPr>
                                          <w:rPr>
                                            <w:rFonts w:ascii="Cambria Math" w:hAnsi="Cambria Math"/>
                                            <w:i/>
                                            <w:lang w:val="en-US"/>
                                          </w:rPr>
                                        </m:ctrlPr>
                                      </m:dPr>
                                      <m:e>
                                        <m:r>
                                          <w:rPr>
                                            <w:rFonts w:ascii="Cambria Math" w:hAnsi="Cambria Math"/>
                                            <w:lang w:val="en-US"/>
                                          </w:rPr>
                                          <m:t>t</m:t>
                                        </m:r>
                                      </m:e>
                                    </m:d>
                                  </m:e>
                                </m:d>
                              </m:e>
                            </m:func>
                          </m:num>
                          <m:den>
                            <m:r>
                              <w:rPr>
                                <w:rFonts w:ascii="Cambria Math" w:hAnsi="Cambria Math"/>
                                <w:lang w:val="en-US"/>
                              </w:rPr>
                              <m:t>k</m:t>
                            </m:r>
                          </m:den>
                        </m:f>
                      </m:e>
                    </m:d>
                  </m:e>
                </m:func>
              </m:oMath>
            </m:oMathPara>
          </w:p>
          <w:p w14:paraId="56E85097" w14:textId="77777777" w:rsidR="00803464" w:rsidRPr="00F04787" w:rsidRDefault="00803464" w:rsidP="001B626F">
            <w:pPr>
              <w:spacing w:line="276" w:lineRule="auto"/>
              <w:jc w:val="center"/>
              <w:rPr>
                <w:lang w:val="en-US"/>
              </w:rPr>
            </w:pPr>
          </w:p>
          <w:p w14:paraId="46F222F1" w14:textId="5FEB09EA" w:rsidR="00A446F7" w:rsidRPr="00F04787" w:rsidRDefault="00A446F7" w:rsidP="001B626F">
            <w:pPr>
              <w:spacing w:line="276" w:lineRule="auto"/>
              <w:jc w:val="center"/>
              <w:rPr>
                <w:rFonts w:eastAsia="DengXian"/>
                <w:lang w:val="en-US"/>
              </w:rPr>
            </w:pPr>
            <w:r w:rsidRPr="00F04787">
              <w:rPr>
                <w:lang w:val="en-US"/>
              </w:rPr>
              <w:t xml:space="preserve">where </w:t>
            </w:r>
            <m:oMath>
              <m:r>
                <w:rPr>
                  <w:rFonts w:ascii="Cambria Math" w:hAnsi="Cambria Math"/>
                  <w:lang w:val="en-US"/>
                </w:rPr>
                <m:t>k</m:t>
              </m:r>
            </m:oMath>
            <w:r w:rsidRPr="00F04787">
              <w:rPr>
                <w:lang w:val="en-US"/>
              </w:rPr>
              <w:t xml:space="preserve"> is the scaling factor.</w:t>
            </w:r>
          </w:p>
        </w:tc>
        <w:tc>
          <w:tcPr>
            <w:tcW w:w="793" w:type="dxa"/>
            <w:vAlign w:val="center"/>
          </w:tcPr>
          <w:p w14:paraId="52333F8E" w14:textId="77777777" w:rsidR="00A446F7" w:rsidRPr="00F04787" w:rsidRDefault="00A446F7" w:rsidP="001B626F">
            <w:pPr>
              <w:jc w:val="center"/>
              <w:rPr>
                <w:rFonts w:eastAsia="DengXian"/>
                <w:lang w:val="en-US"/>
              </w:rPr>
            </w:pPr>
            <m:oMathPara>
              <m:oMath>
                <m:r>
                  <w:rPr>
                    <w:rFonts w:ascii="Cambria Math" w:hAnsi="Cambria Math"/>
                    <w:lang w:val="en-US"/>
                  </w:rPr>
                  <m:t>(9)</m:t>
                </m:r>
              </m:oMath>
            </m:oMathPara>
          </w:p>
        </w:tc>
      </w:tr>
    </w:tbl>
    <w:p w14:paraId="1EA8FAFE" w14:textId="621D2758" w:rsidR="00367494" w:rsidRDefault="00312DA6" w:rsidP="00A446F7">
      <w:pPr>
        <w:rPr>
          <w:lang w:val="en-US"/>
        </w:rPr>
      </w:pPr>
      <w:r w:rsidRPr="00F04787">
        <w:rPr>
          <w:lang w:val="en-US"/>
        </w:rPr>
        <w:t>Assuming</w:t>
      </w:r>
      <w:r w:rsidR="008D20B0" w:rsidRPr="00F04787">
        <w:rPr>
          <w:lang w:val="en-US"/>
        </w:rPr>
        <w:t xml:space="preserve"> that</w:t>
      </w:r>
      <w:r w:rsidR="00757807" w:rsidRPr="00F04787">
        <w:rPr>
          <w:lang w:val="en-US"/>
        </w:rPr>
        <w:t xml:space="preserve"> treatment with</w:t>
      </w:r>
      <w:r w:rsidR="008D20B0" w:rsidRPr="00F04787">
        <w:rPr>
          <w:lang w:val="en-US"/>
        </w:rPr>
        <w:t xml:space="preserve"> BXM within two days of symptom onset leads to </w:t>
      </w:r>
      <w:r w:rsidR="006B39C0" w:rsidRPr="00F04787">
        <w:rPr>
          <w:lang w:val="en-US"/>
        </w:rPr>
        <w:t>29% reduction in infectiousness</w:t>
      </w:r>
      <w:r w:rsidR="008D20B0" w:rsidRPr="00F04787">
        <w:rPr>
          <w:lang w:val="en-US"/>
        </w:rPr>
        <w:t xml:space="preserve"> </w:t>
      </w:r>
      <w:r w:rsidR="00757807" w:rsidRPr="00F04787">
        <w:rPr>
          <w:lang w:val="en-US"/>
        </w:rPr>
        <w:t>by five days post-treatment</w:t>
      </w:r>
      <w:r w:rsidR="006B39C0" w:rsidRPr="00F04787">
        <w:rPr>
          <w:lang w:val="en-US"/>
        </w:rPr>
        <w:t xml:space="preserve"> </w:t>
      </w:r>
      <w:r w:rsidR="008D20B0" w:rsidRPr="00F04787">
        <w:rPr>
          <w:lang w:val="en-US"/>
        </w:rPr>
        <w:t>as</w:t>
      </w:r>
      <w:r w:rsidR="00D07702" w:rsidRPr="00F04787">
        <w:rPr>
          <w:lang w:val="en-US"/>
        </w:rPr>
        <w:t xml:space="preserve"> reported in</w:t>
      </w:r>
      <w:r w:rsidR="00FC4C97" w:rsidRPr="00F04787">
        <w:rPr>
          <w:lang w:val="en-US"/>
        </w:rPr>
        <w:t xml:space="preserve"> the</w:t>
      </w:r>
      <w:r w:rsidR="00D07702" w:rsidRPr="00F04787">
        <w:rPr>
          <w:lang w:val="en-US"/>
        </w:rPr>
        <w:t xml:space="preserve"> phase 3 CENTERSTONE trial</w:t>
      </w:r>
      <w:r w:rsidRPr="00F04787">
        <w:rPr>
          <w:lang w:val="en-US"/>
        </w:rPr>
        <w:t>,</w:t>
      </w:r>
      <w:r w:rsidR="00FC4C97" w:rsidRPr="00F04787">
        <w:rPr>
          <w:lang w:val="en-US"/>
        </w:rPr>
        <w:fldChar w:fldCharType="begin"/>
      </w:r>
      <w:r w:rsidR="000B5579">
        <w:rPr>
          <w:lang w:val="en-US"/>
        </w:rPr>
        <w:instrText xml:space="preserve"> ADDIN ZOTERO_ITEM CSL_CITATION {"citationID":"PaNKfBTo","properties":{"formattedCitation":"\\super 9\\nosupersub{}","plainCitation":"9","noteIndex":0},"citationItems":[{"id":138,"uris":["http://zotero.org/users/local/0pdZPGmr/items/4NZB8IH8","http://zotero.org/users/9596130/items/4NZB8IH8"],"itemData":{"id":138,"type":"speech","event-place":"Brisbane, Australia","event-title":"OPTIONS XII for the Control of Influenza","publisher-place":"Brisbane, Australia","title":"Phase III CENTERSTONE trial of single-dose baloxavir marboxil for the reduction of transmission of influenza in households","URL":"https://medically.roche.com/content/dam/pdmahub/restricted/infectious-disease/options-xii-2024/Options-XII-2024-presentation-monto-phase-III-CENTERSTONE-study-of-single-dose.pdf","author":[{"family":"Cowling","given":"Benjamin J"}],"issued":{"date-parts":[["2024",9,29]]}}}],"schema":"https://github.com/citation-style-language/schema/raw/master/csl-citation.json"} </w:instrText>
      </w:r>
      <w:r w:rsidR="00FC4C97" w:rsidRPr="00F04787">
        <w:rPr>
          <w:lang w:val="en-US"/>
        </w:rPr>
        <w:fldChar w:fldCharType="separate"/>
      </w:r>
      <w:r w:rsidR="000B5579" w:rsidRPr="000B5579">
        <w:rPr>
          <w:vertAlign w:val="superscript"/>
          <w:lang w:val="en-US"/>
        </w:rPr>
        <w:t>9</w:t>
      </w:r>
      <w:r w:rsidR="00FC4C97" w:rsidRPr="00F04787">
        <w:rPr>
          <w:lang w:val="en-US"/>
        </w:rPr>
        <w:fldChar w:fldCharType="end"/>
      </w:r>
      <w:r w:rsidRPr="00F04787">
        <w:rPr>
          <w:lang w:val="en-US"/>
        </w:rPr>
        <w:t xml:space="preserve"> we applied </w:t>
      </w:r>
      <w:r w:rsidR="00A446F7" w:rsidRPr="00F04787">
        <w:rPr>
          <w:lang w:val="en-US"/>
        </w:rPr>
        <w:t xml:space="preserve">each </w:t>
      </w:r>
      <w:r w:rsidR="006B39C0" w:rsidRPr="00F04787">
        <w:rPr>
          <w:lang w:val="en-US"/>
        </w:rPr>
        <w:t xml:space="preserve">infectiousness </w:t>
      </w:r>
      <w:r w:rsidR="00A446F7" w:rsidRPr="00F04787">
        <w:rPr>
          <w:lang w:val="en-US"/>
        </w:rPr>
        <w:t>model</w:t>
      </w:r>
      <w:r w:rsidR="006810A3" w:rsidRPr="00F04787">
        <w:rPr>
          <w:lang w:val="en-US"/>
        </w:rPr>
        <w:t xml:space="preserve"> to the</w:t>
      </w:r>
      <w:r w:rsidRPr="00F04787">
        <w:rPr>
          <w:lang w:val="en-US"/>
        </w:rPr>
        <w:t xml:space="preserve"> </w:t>
      </w:r>
      <w:r w:rsidR="006810A3" w:rsidRPr="00F04787">
        <w:rPr>
          <w:lang w:val="en-US"/>
        </w:rPr>
        <w:t>infectious viral load trajector</w:t>
      </w:r>
      <w:r w:rsidRPr="00F04787">
        <w:rPr>
          <w:lang w:val="en-US"/>
        </w:rPr>
        <w:t>y of BXM treatment as</w:t>
      </w:r>
      <w:r w:rsidR="006810A3" w:rsidRPr="00F04787">
        <w:rPr>
          <w:lang w:val="en-US"/>
        </w:rPr>
        <w:t xml:space="preserve"> estimated by </w:t>
      </w:r>
      <w:r w:rsidRPr="00F04787">
        <w:rPr>
          <w:lang w:val="en-US"/>
        </w:rPr>
        <w:t>our</w:t>
      </w:r>
      <w:r w:rsidR="006810A3" w:rsidRPr="00F04787">
        <w:rPr>
          <w:lang w:val="en-US"/>
        </w:rPr>
        <w:t xml:space="preserve"> within-host model</w:t>
      </w:r>
      <w:r w:rsidR="00B12788" w:rsidRPr="00F04787">
        <w:rPr>
          <w:lang w:val="en-US"/>
        </w:rPr>
        <w:t xml:space="preserve"> (</w:t>
      </w:r>
      <w:r w:rsidR="004F373C">
        <w:rPr>
          <w:lang w:val="en-US"/>
        </w:rPr>
        <w:t xml:space="preserve">Extended Data Fig. </w:t>
      </w:r>
      <w:r w:rsidR="008A5212">
        <w:rPr>
          <w:lang w:val="en-US"/>
        </w:rPr>
        <w:t>10</w:t>
      </w:r>
      <w:r w:rsidR="00B12788" w:rsidRPr="00F04787">
        <w:rPr>
          <w:lang w:val="en-US"/>
        </w:rPr>
        <w:t>)</w:t>
      </w:r>
      <w:r w:rsidRPr="00F04787">
        <w:rPr>
          <w:lang w:val="en-US"/>
        </w:rPr>
        <w:t xml:space="preserve"> and</w:t>
      </w:r>
      <w:r w:rsidR="001F1788" w:rsidRPr="00F04787">
        <w:rPr>
          <w:lang w:val="en-US"/>
        </w:rPr>
        <w:t xml:space="preserve"> fitted</w:t>
      </w:r>
      <w:r w:rsidRPr="00F04787">
        <w:rPr>
          <w:lang w:val="en-US"/>
        </w:rPr>
        <w:t xml:space="preserve"> the </w:t>
      </w:r>
      <m:oMath>
        <m:r>
          <w:rPr>
            <w:rFonts w:ascii="Cambria Math" w:hAnsi="Cambria Math"/>
            <w:lang w:val="en-US"/>
          </w:rPr>
          <m:t>k</m:t>
        </m:r>
      </m:oMath>
      <w:r w:rsidRPr="00F04787">
        <w:rPr>
          <w:lang w:val="en-US"/>
        </w:rPr>
        <w:t xml:space="preserve"> parameters</w:t>
      </w:r>
      <w:r w:rsidR="001F1788" w:rsidRPr="00F04787">
        <w:rPr>
          <w:lang w:val="en-US"/>
        </w:rPr>
        <w:t xml:space="preserve"> by differential evolution</w:t>
      </w:r>
      <w:r w:rsidR="00757807" w:rsidRPr="00F04787">
        <w:rPr>
          <w:lang w:val="en-US"/>
        </w:rPr>
        <w:t>.</w:t>
      </w:r>
      <w:r w:rsidR="000221BB" w:rsidRPr="00F04787">
        <w:rPr>
          <w:lang w:val="en-US"/>
        </w:rPr>
        <w:t xml:space="preserve"> </w:t>
      </w:r>
      <w:r w:rsidR="00BA1C34" w:rsidRPr="00F04787">
        <w:rPr>
          <w:lang w:val="en-US"/>
        </w:rPr>
        <w:t>We then appl</w:t>
      </w:r>
      <w:r w:rsidR="00321444" w:rsidRPr="00F04787">
        <w:rPr>
          <w:lang w:val="en-US"/>
        </w:rPr>
        <w:t>ied</w:t>
      </w:r>
      <w:r w:rsidR="00BA1C34" w:rsidRPr="00F04787">
        <w:rPr>
          <w:lang w:val="en-US"/>
        </w:rPr>
        <w:t xml:space="preserve"> the best-fit parameters to the within-host and infectiousness models to estimate the </w:t>
      </w:r>
      <w:r w:rsidR="00A16EA8" w:rsidRPr="00F04787">
        <w:rPr>
          <w:lang w:val="en-US"/>
        </w:rPr>
        <w:t xml:space="preserve">infectiousness </w:t>
      </w:r>
      <m:oMath>
        <m:r>
          <w:rPr>
            <w:rFonts w:ascii="Cambria Math" w:hAnsi="Cambria Math"/>
            <w:lang w:val="en-US"/>
          </w:rPr>
          <m:t>ω</m:t>
        </m:r>
      </m:oMath>
      <w:r w:rsidR="00A16EA8" w:rsidRPr="00F04787">
        <w:rPr>
          <w:lang w:val="en-US"/>
        </w:rPr>
        <w:t xml:space="preserve"> of</w:t>
      </w:r>
      <w:r w:rsidR="00BA1C34" w:rsidRPr="00F04787">
        <w:rPr>
          <w:lang w:val="en-US"/>
        </w:rPr>
        <w:t xml:space="preserve"> infected individuals who </w:t>
      </w:r>
      <w:r w:rsidR="0061685F" w:rsidRPr="00F04787">
        <w:rPr>
          <w:lang w:val="en-US"/>
        </w:rPr>
        <w:t>were</w:t>
      </w:r>
      <w:r w:rsidR="00BA1C34" w:rsidRPr="00F04787">
        <w:rPr>
          <w:lang w:val="en-US"/>
        </w:rPr>
        <w:t xml:space="preserve"> treated at different times during the course of their infection as a result of differences in time to symptom onset since infection, delays in treatment since symptom onset and whether or not resistant mutant viruses emerge after treatment. </w:t>
      </w:r>
    </w:p>
    <w:p w14:paraId="6203B34E" w14:textId="77777777" w:rsidR="00367494" w:rsidRDefault="00367494" w:rsidP="00A446F7">
      <w:pPr>
        <w:rPr>
          <w:lang w:val="en-US"/>
        </w:rPr>
      </w:pPr>
    </w:p>
    <w:p w14:paraId="0E53BC47" w14:textId="7C463118" w:rsidR="000C153F" w:rsidRPr="00F04787" w:rsidRDefault="00E6195E" w:rsidP="00A446F7">
      <w:pPr>
        <w:rPr>
          <w:lang w:val="en-US"/>
        </w:rPr>
      </w:pPr>
      <w:r>
        <w:rPr>
          <w:lang w:val="en-US"/>
        </w:rPr>
        <w:t>We find negligible difference</w:t>
      </w:r>
      <w:r w:rsidR="00373438">
        <w:rPr>
          <w:lang w:val="en-US"/>
        </w:rPr>
        <w:t xml:space="preserve"> (&lt;10% in total incidence)</w:t>
      </w:r>
      <w:r>
        <w:rPr>
          <w:lang w:val="en-US"/>
        </w:rPr>
        <w:t xml:space="preserve"> between all three infectiousness models when combined with the between-host </w:t>
      </w:r>
      <w:r w:rsidR="003A3CFC">
        <w:rPr>
          <w:lang w:val="en-US"/>
        </w:rPr>
        <w:t xml:space="preserve">transmission </w:t>
      </w:r>
      <w:r>
        <w:rPr>
          <w:lang w:val="en-US"/>
        </w:rPr>
        <w:t>model</w:t>
      </w:r>
      <w:r w:rsidR="003A3CFC">
        <w:rPr>
          <w:lang w:val="en-US"/>
        </w:rPr>
        <w:t xml:space="preserve"> (see below</w:t>
      </w:r>
      <w:r w:rsidR="009C68AF">
        <w:rPr>
          <w:lang w:val="en-US"/>
        </w:rPr>
        <w:t>)</w:t>
      </w:r>
      <w:r>
        <w:rPr>
          <w:lang w:val="en-US"/>
        </w:rPr>
        <w:t xml:space="preserve"> to estimate population transmission dynamics (</w:t>
      </w:r>
      <w:r w:rsidR="004F373C">
        <w:rPr>
          <w:lang w:val="en-US"/>
        </w:rPr>
        <w:t xml:space="preserve">Extended Data Fig. </w:t>
      </w:r>
      <w:r w:rsidR="00B02EE8">
        <w:rPr>
          <w:lang w:val="en-US"/>
        </w:rPr>
        <w:t>1</w:t>
      </w:r>
      <w:r w:rsidR="007E2D5B">
        <w:rPr>
          <w:lang w:val="en-US"/>
        </w:rPr>
        <w:t>1</w:t>
      </w:r>
      <w:r>
        <w:rPr>
          <w:lang w:val="en-US"/>
        </w:rPr>
        <w:t>).</w:t>
      </w:r>
    </w:p>
    <w:p w14:paraId="1644C4E4" w14:textId="77777777" w:rsidR="00AB372B" w:rsidRPr="00F04787" w:rsidRDefault="00AB372B" w:rsidP="00A446F7">
      <w:pPr>
        <w:rPr>
          <w:lang w:val="en-US"/>
        </w:rPr>
      </w:pPr>
    </w:p>
    <w:p w14:paraId="0D8F4A98" w14:textId="3064C3CD" w:rsidR="00A446F7" w:rsidRPr="00F04787" w:rsidRDefault="00AE66B8" w:rsidP="00AE66B8">
      <w:pPr>
        <w:pStyle w:val="Heading1"/>
      </w:pPr>
      <w:bookmarkStart w:id="2" w:name="_Toc192246973"/>
      <w:r w:rsidRPr="00F04787">
        <w:t>Between-host transmission</w:t>
      </w:r>
      <w:r w:rsidR="00A446F7" w:rsidRPr="00F04787">
        <w:t xml:space="preserve"> model</w:t>
      </w:r>
      <w:bookmarkEnd w:id="2"/>
    </w:p>
    <w:p w14:paraId="4D2D6A2E" w14:textId="63C48B26" w:rsidR="00A446F7" w:rsidRPr="00F04787" w:rsidRDefault="00A446F7" w:rsidP="00A446F7">
      <w:pPr>
        <w:rPr>
          <w:lang w:val="en-US"/>
        </w:rPr>
      </w:pPr>
      <w:r w:rsidRPr="00F04787">
        <w:rPr>
          <w:lang w:val="en-US"/>
        </w:rPr>
        <w:t>We developed a discrete</w:t>
      </w:r>
      <w:r w:rsidR="0014604F" w:rsidRPr="00F04787">
        <w:rPr>
          <w:lang w:val="en-US"/>
        </w:rPr>
        <w:t>-time</w:t>
      </w:r>
      <w:r w:rsidR="002D69C7" w:rsidRPr="00F04787">
        <w:rPr>
          <w:lang w:val="en-US"/>
        </w:rPr>
        <w:t xml:space="preserve"> (i.e. timestep of one day)</w:t>
      </w:r>
      <w:r w:rsidRPr="00F04787">
        <w:rPr>
          <w:lang w:val="en-US"/>
        </w:rPr>
        <w:t>, multi-type renewal process equation model to compute</w:t>
      </w:r>
      <w:r w:rsidR="00DE746A" w:rsidRPr="00F04787">
        <w:rPr>
          <w:lang w:val="en-US"/>
        </w:rPr>
        <w:t xml:space="preserve"> between-hosts</w:t>
      </w:r>
      <w:r w:rsidR="00B77EFA" w:rsidRPr="00F04787">
        <w:rPr>
          <w:lang w:val="en-US"/>
        </w:rPr>
        <w:t xml:space="preserve"> </w:t>
      </w:r>
      <w:r w:rsidRPr="00F04787">
        <w:rPr>
          <w:lang w:val="en-US"/>
        </w:rPr>
        <w:t xml:space="preserve">transmissions over time </w:t>
      </w:r>
      <w:r w:rsidR="00B77EFA" w:rsidRPr="00F04787">
        <w:rPr>
          <w:lang w:val="en-US"/>
        </w:rPr>
        <w:t>to</w:t>
      </w:r>
      <w:r w:rsidRPr="00F04787">
        <w:rPr>
          <w:lang w:val="en-US"/>
        </w:rPr>
        <w:t xml:space="preserve"> individuals with different susceptibility, contact rates and infectiousness</w:t>
      </w:r>
      <w:r w:rsidR="00ED7E05" w:rsidRPr="00F04787">
        <w:rPr>
          <w:lang w:val="en-US"/>
        </w:rPr>
        <w:t xml:space="preserve"> profile</w:t>
      </w:r>
      <w:r w:rsidRPr="00F04787">
        <w:rPr>
          <w:lang w:val="en-US"/>
        </w:rPr>
        <w:t xml:space="preserve">. Assuming that the population is stratified into </w:t>
      </w:r>
      <m:oMath>
        <m:r>
          <w:rPr>
            <w:rFonts w:ascii="Cambria Math" w:hAnsi="Cambria Math"/>
            <w:lang w:val="en-US"/>
          </w:rPr>
          <m:t>n</m:t>
        </m:r>
      </m:oMath>
      <w:r w:rsidRPr="00F04787">
        <w:rPr>
          <w:lang w:val="en-US"/>
        </w:rPr>
        <w:t xml:space="preserve"> age groups and that </w:t>
      </w:r>
      <w:r w:rsidRPr="00F04787">
        <w:rPr>
          <w:i/>
          <w:lang w:val="en-US"/>
        </w:rPr>
        <w:t>infected</w:t>
      </w:r>
      <w:r w:rsidRPr="00F04787">
        <w:rPr>
          <w:lang w:val="en-US"/>
        </w:rPr>
        <w:t xml:space="preserve"> individuals </w:t>
      </w:r>
      <w:r w:rsidR="00194561" w:rsidRPr="00F04787">
        <w:rPr>
          <w:lang w:val="en-US"/>
        </w:rPr>
        <w:t>are</w:t>
      </w:r>
      <w:r w:rsidRPr="00F04787">
        <w:rPr>
          <w:lang w:val="en-US"/>
        </w:rPr>
        <w:t xml:space="preserve"> further distinguished by their</w:t>
      </w:r>
      <w:r w:rsidR="00194561" w:rsidRPr="00F04787">
        <w:rPr>
          <w:lang w:val="en-US"/>
        </w:rPr>
        <w:t xml:space="preserve"> diagnosis status and</w:t>
      </w:r>
      <w:r w:rsidRPr="00F04787">
        <w:rPr>
          <w:lang w:val="en-US"/>
        </w:rPr>
        <w:t xml:space="preserve"> infectiousness profile </w:t>
      </w:r>
      <m:oMath>
        <m:r>
          <w:rPr>
            <w:rFonts w:ascii="Cambria Math" w:hAnsi="Cambria Math"/>
            <w:lang w:val="en-US"/>
          </w:rPr>
          <m:t>y</m:t>
        </m:r>
      </m:oMath>
      <w:r w:rsidRPr="00F04787">
        <w:rPr>
          <w:lang w:val="en-US"/>
        </w:rPr>
        <w:t xml:space="preserve">, the mean incidence for individuals in group </w:t>
      </w:r>
      <m:oMath>
        <m:r>
          <w:rPr>
            <w:rFonts w:ascii="Cambria Math" w:hAnsi="Cambria Math"/>
            <w:lang w:val="en-US"/>
          </w:rPr>
          <m:t>a</m:t>
        </m:r>
      </m:oMath>
      <w:r w:rsidRPr="00F04787">
        <w:rPr>
          <w:lang w:val="en-US"/>
        </w:rPr>
        <w:t xml:space="preserve"> on day </w:t>
      </w:r>
      <m:oMath>
        <m:r>
          <w:rPr>
            <w:rFonts w:ascii="Cambria Math" w:hAnsi="Cambria Math"/>
            <w:lang w:val="en-US"/>
          </w:rPr>
          <m:t>t</m:t>
        </m:r>
      </m:oMath>
      <w:r w:rsidRPr="00F04787">
        <w:rPr>
          <w:lang w:val="en-US"/>
        </w:rPr>
        <w:t xml:space="preserve"> is modelled as:</w:t>
      </w:r>
    </w:p>
    <w:p w14:paraId="2770D6D0" w14:textId="77777777" w:rsidR="00861C80" w:rsidRPr="00F04787" w:rsidRDefault="00861C80" w:rsidP="00A446F7">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A446F7" w:rsidRPr="00F04787" w14:paraId="58D97F93" w14:textId="77777777" w:rsidTr="001B626F">
        <w:tc>
          <w:tcPr>
            <w:tcW w:w="8075" w:type="dxa"/>
            <w:vAlign w:val="center"/>
          </w:tcPr>
          <w:p w14:paraId="624F530E" w14:textId="381268AA" w:rsidR="00A446F7" w:rsidRPr="00F04787" w:rsidRDefault="00071619" w:rsidP="001B626F">
            <w:pPr>
              <w:jc w:val="center"/>
              <w:rPr>
                <w:lang w:val="en-US"/>
              </w:rPr>
            </w:pPr>
            <m:oMathPara>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t,a</m:t>
                    </m:r>
                  </m:sub>
                </m:sSub>
                <m:r>
                  <m:rPr>
                    <m:sty m:val="p"/>
                  </m:rPr>
                  <w:rPr>
                    <w:rFonts w:ascii="Cambria Math" w:hAnsi="Cambria Math"/>
                    <w:lang w:val="en-US"/>
                  </w:rPr>
                  <m:t>=</m:t>
                </m:r>
                <m:nary>
                  <m:naryPr>
                    <m:chr m:val="∑"/>
                    <m:limLoc m:val="undOvr"/>
                    <m:ctrlPr>
                      <w:rPr>
                        <w:rFonts w:ascii="Cambria Math" w:hAnsi="Cambria Math"/>
                        <w:lang w:val="en-US"/>
                      </w:rPr>
                    </m:ctrlPr>
                  </m:naryPr>
                  <m:sub>
                    <m:r>
                      <w:rPr>
                        <w:rFonts w:ascii="Cambria Math" w:hAnsi="Cambria Math"/>
                        <w:lang w:val="en-US"/>
                      </w:rPr>
                      <m:t>d=0</m:t>
                    </m:r>
                  </m:sub>
                  <m:sup>
                    <m:r>
                      <w:rPr>
                        <w:rFonts w:ascii="Cambria Math" w:hAnsi="Cambria Math"/>
                        <w:lang w:val="en-US"/>
                      </w:rPr>
                      <m:t>1</m:t>
                    </m:r>
                  </m:sup>
                  <m:e>
                    <m:nary>
                      <m:naryPr>
                        <m:chr m:val="∑"/>
                        <m:limLoc m:val="undOvr"/>
                        <m:ctrlPr>
                          <w:rPr>
                            <w:rFonts w:ascii="Cambria Math" w:hAnsi="Cambria Math"/>
                            <w:lang w:val="en-US"/>
                          </w:rPr>
                        </m:ctrlPr>
                      </m:naryPr>
                      <m:sub>
                        <m:r>
                          <w:rPr>
                            <w:rFonts w:ascii="Cambria Math" w:hAnsi="Cambria Math"/>
                            <w:lang w:val="en-US"/>
                          </w:rPr>
                          <m:t>α=1</m:t>
                        </m:r>
                      </m:sub>
                      <m:sup>
                        <m:r>
                          <w:rPr>
                            <w:rFonts w:ascii="Cambria Math" w:hAnsi="Cambria Math"/>
                            <w:lang w:val="en-US"/>
                          </w:rPr>
                          <m:t>n</m:t>
                        </m:r>
                      </m:sup>
                      <m:e>
                        <m:nary>
                          <m:naryPr>
                            <m:chr m:val="∑"/>
                            <m:limLoc m:val="undOvr"/>
                            <m:ctrlPr>
                              <w:rPr>
                                <w:rFonts w:ascii="Cambria Math" w:hAnsi="Cambria Math"/>
                                <w:i/>
                                <w:lang w:val="en-US"/>
                              </w:rPr>
                            </m:ctrlPr>
                          </m:naryPr>
                          <m:sub>
                            <m:r>
                              <w:rPr>
                                <w:rFonts w:ascii="Cambria Math" w:hAnsi="Cambria Math"/>
                                <w:lang w:val="en-US"/>
                              </w:rPr>
                              <m:t>y=0</m:t>
                            </m:r>
                          </m:sub>
                          <m:sup>
                            <m:r>
                              <w:rPr>
                                <w:rFonts w:ascii="Cambria Math" w:hAnsi="Cambria Math"/>
                                <w:lang w:val="en-US"/>
                              </w:rPr>
                              <m:t>Y</m:t>
                            </m:r>
                          </m:sup>
                          <m:e>
                            <m:nary>
                              <m:naryPr>
                                <m:chr m:val="∑"/>
                                <m:limLoc m:val="undOvr"/>
                                <m:ctrlPr>
                                  <w:rPr>
                                    <w:rFonts w:ascii="Cambria Math" w:hAnsi="Cambria Math"/>
                                    <w:lang w:val="en-US"/>
                                  </w:rPr>
                                </m:ctrlPr>
                              </m:naryPr>
                              <m:sub>
                                <m:r>
                                  <w:rPr>
                                    <w:rFonts w:ascii="Cambria Math" w:hAnsi="Cambria Math"/>
                                    <w:lang w:val="en-US"/>
                                  </w:rPr>
                                  <m:t>τ</m:t>
                                </m:r>
                                <m:r>
                                  <m:rPr>
                                    <m:sty m:val="p"/>
                                  </m:rPr>
                                  <w:rPr>
                                    <w:rFonts w:ascii="Cambria Math" w:hAnsi="Cambria Math"/>
                                    <w:lang w:val="en-US"/>
                                  </w:rPr>
                                  <m:t>=0</m:t>
                                </m:r>
                              </m:sub>
                              <m:sup>
                                <m:r>
                                  <w:rPr>
                                    <w:rFonts w:ascii="Cambria Math" w:hAnsi="Cambria Math"/>
                                    <w:lang w:val="en-US"/>
                                  </w:rPr>
                                  <m:t>t-1</m:t>
                                </m:r>
                              </m:sup>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t,y,α→a,d</m:t>
                                    </m:r>
                                  </m:sub>
                                </m:sSub>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t</m:t>
                                    </m:r>
                                    <m:r>
                                      <m:rPr>
                                        <m:sty m:val="p"/>
                                      </m:rPr>
                                      <w:rPr>
                                        <w:rFonts w:ascii="Cambria Math" w:hAnsi="Cambria Math"/>
                                        <w:lang w:val="en-US"/>
                                      </w:rPr>
                                      <m:t>-</m:t>
                                    </m:r>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ub>
                                </m:sSub>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τ</m:t>
                                    </m:r>
                                    <m:r>
                                      <m:rPr>
                                        <m:sty m:val="p"/>
                                      </m:rPr>
                                      <w:rPr>
                                        <w:rFonts w:ascii="Cambria Math" w:hAnsi="Cambria Math"/>
                                        <w:lang w:val="en-US"/>
                                      </w:rPr>
                                      <m:t>,</m:t>
                                    </m:r>
                                    <m:r>
                                      <w:rPr>
                                        <w:rFonts w:ascii="Cambria Math" w:hAnsi="Cambria Math"/>
                                        <w:lang w:val="en-US"/>
                                      </w:rPr>
                                      <m:t>y,α,d</m:t>
                                    </m:r>
                                  </m:sub>
                                </m:sSub>
                              </m:e>
                            </m:nary>
                          </m:e>
                        </m:nary>
                      </m:e>
                    </m:nary>
                  </m:e>
                </m:nary>
              </m:oMath>
            </m:oMathPara>
          </w:p>
        </w:tc>
        <w:tc>
          <w:tcPr>
            <w:tcW w:w="935" w:type="dxa"/>
            <w:vAlign w:val="center"/>
          </w:tcPr>
          <w:p w14:paraId="183232F4" w14:textId="77777777" w:rsidR="00A446F7" w:rsidRPr="00F04787" w:rsidRDefault="00A446F7" w:rsidP="001B626F">
            <w:pPr>
              <w:jc w:val="center"/>
              <w:rPr>
                <w:lang w:val="en-US"/>
              </w:rPr>
            </w:pPr>
            <m:oMathPara>
              <m:oMath>
                <m:r>
                  <w:rPr>
                    <w:rFonts w:ascii="Cambria Math" w:hAnsi="Cambria Math"/>
                    <w:lang w:val="en-US"/>
                  </w:rPr>
                  <m:t>(10)</m:t>
                </m:r>
              </m:oMath>
            </m:oMathPara>
          </w:p>
        </w:tc>
      </w:tr>
    </w:tbl>
    <w:p w14:paraId="6E4967CF" w14:textId="77777777" w:rsidR="00861C80" w:rsidRPr="00F04787" w:rsidRDefault="00861C80" w:rsidP="00A446F7">
      <w:pPr>
        <w:rPr>
          <w:lang w:val="en-US"/>
        </w:rPr>
      </w:pPr>
    </w:p>
    <w:p w14:paraId="2B000870" w14:textId="0A675D54" w:rsidR="00A446F7" w:rsidRPr="00F04787" w:rsidRDefault="00A446F7" w:rsidP="00A446F7">
      <w:pPr>
        <w:rPr>
          <w:lang w:val="en-US"/>
        </w:rPr>
      </w:pPr>
      <w:r w:rsidRPr="00F04787">
        <w:rPr>
          <w:lang w:val="en-US"/>
        </w:rPr>
        <w:t xml:space="preserve">where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t,y,α→a,d</m:t>
            </m:r>
          </m:sub>
        </m:sSub>
      </m:oMath>
      <w:r w:rsidRPr="00F04787">
        <w:rPr>
          <w:lang w:val="en-US"/>
        </w:rPr>
        <w:t xml:space="preserve"> is </w:t>
      </w:r>
      <w:r w:rsidR="00F6282C">
        <w:rPr>
          <w:lang w:val="en-US"/>
        </w:rPr>
        <w:t>mean</w:t>
      </w:r>
      <w:r w:rsidRPr="00F04787">
        <w:rPr>
          <w:lang w:val="en-US"/>
        </w:rPr>
        <w:t xml:space="preserve"> number of secondary infections in</w:t>
      </w:r>
      <w:r w:rsidR="000E4E2D" w:rsidRPr="00F04787">
        <w:rPr>
          <w:lang w:val="en-US"/>
        </w:rPr>
        <w:t xml:space="preserve"> age</w:t>
      </w:r>
      <w:r w:rsidRPr="00F04787">
        <w:rPr>
          <w:lang w:val="en-US"/>
        </w:rPr>
        <w:t xml:space="preserve"> group </w:t>
      </w:r>
      <m:oMath>
        <m:r>
          <w:rPr>
            <w:rFonts w:ascii="Cambria Math" w:hAnsi="Cambria Math"/>
            <w:lang w:val="en-US"/>
          </w:rPr>
          <m:t>a</m:t>
        </m:r>
      </m:oMath>
      <w:r w:rsidRPr="00F04787">
        <w:rPr>
          <w:lang w:val="en-US"/>
        </w:rPr>
        <w:t xml:space="preserve"> caused by an infector in</w:t>
      </w:r>
      <w:r w:rsidR="000E4E2D" w:rsidRPr="00F04787">
        <w:rPr>
          <w:lang w:val="en-US"/>
        </w:rPr>
        <w:t xml:space="preserve"> age</w:t>
      </w:r>
      <w:r w:rsidRPr="00F04787">
        <w:rPr>
          <w:lang w:val="en-US"/>
        </w:rPr>
        <w:t xml:space="preserve"> group </w:t>
      </w:r>
      <m:oMath>
        <m:r>
          <w:rPr>
            <w:rFonts w:ascii="Cambria Math" w:hAnsi="Cambria Math"/>
            <w:lang w:val="en-US"/>
          </w:rPr>
          <m:t>α</m:t>
        </m:r>
      </m:oMath>
      <w:r w:rsidRPr="00F04787">
        <w:rPr>
          <w:lang w:val="en-US"/>
        </w:rPr>
        <w:t xml:space="preserve"> with infectiousness profile </w:t>
      </w:r>
      <m:oMath>
        <m:r>
          <w:rPr>
            <w:rFonts w:ascii="Cambria Math" w:hAnsi="Cambria Math"/>
            <w:lang w:val="en-US"/>
          </w:rPr>
          <m:t>y</m:t>
        </m:r>
      </m:oMath>
      <w:r w:rsidRPr="00F04787">
        <w:rPr>
          <w:lang w:val="en-US"/>
        </w:rPr>
        <w:t xml:space="preserve"> on day </w:t>
      </w:r>
      <m:oMath>
        <m:r>
          <w:rPr>
            <w:rFonts w:ascii="Cambria Math" w:hAnsi="Cambria Math"/>
            <w:lang w:val="en-US"/>
          </w:rPr>
          <m:t>t</m:t>
        </m:r>
      </m:oMath>
      <w:r w:rsidRPr="00F04787">
        <w:rPr>
          <w:iCs/>
          <w:lang w:val="en-US"/>
        </w:rPr>
        <w:t xml:space="preserve"> with the</w:t>
      </w:r>
      <w:r w:rsidR="00D1096A" w:rsidRPr="00F04787">
        <w:rPr>
          <w:iCs/>
          <w:lang w:val="en-US"/>
        </w:rPr>
        <w:t xml:space="preserve"> boolean</w:t>
      </w:r>
      <w:r w:rsidRPr="00F04787">
        <w:rPr>
          <w:iCs/>
          <w:lang w:val="en-US"/>
        </w:rPr>
        <w:t xml:space="preserve"> status </w:t>
      </w:r>
      <m:oMath>
        <m:r>
          <w:rPr>
            <w:rFonts w:ascii="Cambria Math" w:hAnsi="Cambria Math"/>
            <w:lang w:val="en-US"/>
          </w:rPr>
          <m:t>d</m:t>
        </m:r>
      </m:oMath>
      <w:r w:rsidRPr="00F04787">
        <w:rPr>
          <w:iCs/>
          <w:lang w:val="en-US"/>
        </w:rPr>
        <w:t xml:space="preserve"> </w:t>
      </w:r>
      <w:r w:rsidR="00D1096A" w:rsidRPr="00F04787">
        <w:rPr>
          <w:iCs/>
          <w:lang w:val="en-US"/>
        </w:rPr>
        <w:t xml:space="preserve">indicating if their infection </w:t>
      </w:r>
      <w:r w:rsidR="002D69C7" w:rsidRPr="00F04787">
        <w:rPr>
          <w:iCs/>
          <w:lang w:val="en-US"/>
        </w:rPr>
        <w:t>is</w:t>
      </w:r>
      <w:r w:rsidR="00D1096A" w:rsidRPr="00F04787">
        <w:rPr>
          <w:iCs/>
          <w:lang w:val="en-US"/>
        </w:rPr>
        <w:t xml:space="preserve"> identified </w:t>
      </w:r>
      <w:r w:rsidR="002D69C7" w:rsidRPr="00F04787">
        <w:rPr>
          <w:iCs/>
          <w:lang w:val="en-US"/>
        </w:rPr>
        <w:t>either by</w:t>
      </w:r>
      <w:r w:rsidR="00D1096A" w:rsidRPr="00F04787">
        <w:rPr>
          <w:iCs/>
          <w:lang w:val="en-US"/>
        </w:rPr>
        <w:t xml:space="preserve"> testing or contact tracing</w:t>
      </w:r>
      <w:r w:rsidR="00D1096A" w:rsidRPr="00F04787">
        <w:rPr>
          <w:lang w:val="en-US"/>
        </w:rPr>
        <w:t xml:space="preserve">; </w:t>
      </w: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r>
              <m:rPr>
                <m:sty m:val="p"/>
              </m:rPr>
              <w:rPr>
                <w:rFonts w:ascii="Cambria Math" w:hAnsi="Cambria Math"/>
                <w:lang w:val="en-US"/>
              </w:rPr>
              <m:t>,</m:t>
            </m:r>
            <m:r>
              <w:rPr>
                <w:rFonts w:ascii="Cambria Math" w:hAnsi="Cambria Math"/>
                <w:lang w:val="en-US"/>
              </w:rPr>
              <m:t>y,α,d</m:t>
            </m:r>
          </m:sub>
        </m:sSub>
      </m:oMath>
      <w:r w:rsidRPr="00F04787">
        <w:rPr>
          <w:lang w:val="en-US"/>
        </w:rPr>
        <w:t xml:space="preserve"> is the number of infected individuals in </w:t>
      </w:r>
      <w:r w:rsidR="000E4E2D" w:rsidRPr="00F04787">
        <w:rPr>
          <w:lang w:val="en-US"/>
        </w:rPr>
        <w:t xml:space="preserve">age </w:t>
      </w:r>
      <w:r w:rsidRPr="00F04787">
        <w:rPr>
          <w:lang w:val="en-US"/>
        </w:rPr>
        <w:t xml:space="preserve">group </w:t>
      </w:r>
      <m:oMath>
        <m:r>
          <w:rPr>
            <w:rFonts w:ascii="Cambria Math" w:hAnsi="Cambria Math"/>
            <w:lang w:val="en-US"/>
          </w:rPr>
          <m:t>α</m:t>
        </m:r>
      </m:oMath>
      <w:r w:rsidRPr="00F04787">
        <w:rPr>
          <w:lang w:val="en-US"/>
        </w:rPr>
        <w:t xml:space="preserve"> with infectiousness profile </w:t>
      </w:r>
      <m:oMath>
        <m:r>
          <w:rPr>
            <w:rFonts w:ascii="Cambria Math" w:hAnsi="Cambria Math"/>
            <w:lang w:val="en-US"/>
          </w:rPr>
          <m:t>y</m:t>
        </m:r>
      </m:oMath>
      <w:r w:rsidRPr="00F04787">
        <w:rPr>
          <w:lang w:val="en-US"/>
        </w:rPr>
        <w:t xml:space="preserve"> on day </w:t>
      </w:r>
      <m:oMath>
        <m:r>
          <w:rPr>
            <w:rFonts w:ascii="Cambria Math" w:hAnsi="Cambria Math"/>
            <w:lang w:val="en-US"/>
          </w:rPr>
          <m:t>t</m:t>
        </m:r>
      </m:oMath>
      <w:r w:rsidRPr="00F04787">
        <w:rPr>
          <w:iCs/>
          <w:lang w:val="en-US"/>
        </w:rPr>
        <w:t xml:space="preserve"> with status </w:t>
      </w:r>
      <m:oMath>
        <m:r>
          <w:rPr>
            <w:rFonts w:ascii="Cambria Math" w:hAnsi="Cambria Math"/>
            <w:lang w:val="en-US"/>
          </w:rPr>
          <m:t>d</m:t>
        </m:r>
      </m:oMath>
      <w:r w:rsidR="00D1096A" w:rsidRPr="00F04787">
        <w:rPr>
          <w:lang w:val="en-US"/>
        </w:rPr>
        <w:t>; and</w:t>
      </w:r>
      <w:r w:rsidRPr="00F04787">
        <w:rPr>
          <w:lang w:val="en-US"/>
        </w:rPr>
        <w:t xml:space="preserve"> </w:t>
      </w:r>
      <m:oMath>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ub>
        </m:sSub>
      </m:oMath>
      <w:r w:rsidRPr="00F04787">
        <w:rPr>
          <w:lang w:val="en-US"/>
        </w:rPr>
        <w:t xml:space="preserve"> is the discret</w:t>
      </w:r>
      <w:r w:rsidR="00665561">
        <w:rPr>
          <w:lang w:val="en-US"/>
        </w:rPr>
        <w:t>ise</w:t>
      </w:r>
      <w:r w:rsidRPr="00F04787">
        <w:rPr>
          <w:lang w:val="en-US"/>
        </w:rPr>
        <w:t>d, normali</w:t>
      </w:r>
      <w:r w:rsidR="00D74976" w:rsidRPr="00F04787">
        <w:rPr>
          <w:lang w:val="en-US"/>
        </w:rPr>
        <w:t>s</w:t>
      </w:r>
      <w:r w:rsidRPr="00F04787">
        <w:rPr>
          <w:lang w:val="en-US"/>
        </w:rPr>
        <w:t xml:space="preserve">ed infectiousness profile and only depends on profile </w:t>
      </w:r>
      <m:oMath>
        <m:r>
          <w:rPr>
            <w:rFonts w:ascii="Cambria Math" w:hAnsi="Cambria Math"/>
            <w:lang w:val="en-US"/>
          </w:rPr>
          <m:t>y</m:t>
        </m:r>
      </m:oMath>
      <w:r w:rsidRPr="00F04787">
        <w:rPr>
          <w:lang w:val="en-US"/>
        </w:rPr>
        <w:t>, given by:</w:t>
      </w:r>
    </w:p>
    <w:p w14:paraId="225FE9CB" w14:textId="77777777" w:rsidR="00861C80" w:rsidRPr="00F04787" w:rsidRDefault="00861C80" w:rsidP="00A446F7">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A446F7" w:rsidRPr="00F04787" w14:paraId="50494C2A" w14:textId="77777777" w:rsidTr="001B626F">
        <w:tc>
          <w:tcPr>
            <w:tcW w:w="8075" w:type="dxa"/>
            <w:vAlign w:val="center"/>
          </w:tcPr>
          <w:p w14:paraId="3B5088F4" w14:textId="097927DE" w:rsidR="00A446F7" w:rsidRPr="00F04787" w:rsidRDefault="00071619" w:rsidP="001B626F">
            <w:pPr>
              <w:jc w:val="center"/>
              <w:rPr>
                <w:lang w:val="en-US"/>
              </w:rPr>
            </w:pPr>
            <m:oMathPara>
              <m:oMath>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ub>
                </m:sSub>
                <m:r>
                  <w:rPr>
                    <w:rFonts w:ascii="Cambria Math" w:hAnsi="Cambria Math"/>
                    <w:lang w:val="en-US"/>
                  </w:rPr>
                  <m:t>=</m:t>
                </m:r>
                <m:d>
                  <m:dPr>
                    <m:begChr m:val="{"/>
                    <m:endChr m:val=""/>
                    <m:ctrlPr>
                      <w:rPr>
                        <w:rFonts w:ascii="Cambria Math" w:hAnsi="Cambria Math"/>
                        <w:i/>
                        <w:lang w:val="en-US"/>
                      </w:rPr>
                    </m:ctrlPr>
                  </m:dPr>
                  <m:e>
                    <m:eqArr>
                      <m:eqArrPr>
                        <m:ctrlPr>
                          <w:rPr>
                            <w:rFonts w:ascii="Cambria Math" w:hAnsi="Cambria Math"/>
                            <w:i/>
                            <w:lang w:val="en-US"/>
                          </w:rPr>
                        </m:ctrlPr>
                      </m:eqArrPr>
                      <m:e>
                        <m:nary>
                          <m:naryPr>
                            <m:limLoc m:val="subSup"/>
                            <m:ctrlPr>
                              <w:rPr>
                                <w:rFonts w:ascii="Cambria Math" w:hAnsi="Cambria Math"/>
                                <w:i/>
                                <w:lang w:val="en-US"/>
                              </w:rPr>
                            </m:ctrlPr>
                          </m:naryPr>
                          <m:sub>
                            <m:r>
                              <w:rPr>
                                <w:rFonts w:ascii="Cambria Math" w:hAnsi="Cambria Math"/>
                                <w:lang w:val="en-US"/>
                              </w:rPr>
                              <m:t>τ-0.5</m:t>
                            </m:r>
                          </m:sub>
                          <m:sup>
                            <m:r>
                              <w:rPr>
                                <w:rFonts w:ascii="Cambria Math" w:hAnsi="Cambria Math"/>
                                <w:lang w:val="en-US"/>
                              </w:rPr>
                              <m:t>τ+0.5</m:t>
                            </m:r>
                          </m:sup>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d>
                              <m:dPr>
                                <m:ctrlPr>
                                  <w:rPr>
                                    <w:rFonts w:ascii="Cambria Math" w:hAnsi="Cambria Math"/>
                                    <w:i/>
                                    <w:lang w:val="en-US"/>
                                  </w:rPr>
                                </m:ctrlPr>
                              </m:dPr>
                              <m:e>
                                <m:r>
                                  <w:rPr>
                                    <w:rFonts w:ascii="Cambria Math" w:hAnsi="Cambria Math"/>
                                    <w:lang w:val="en-US"/>
                                  </w:rPr>
                                  <m:t>τ</m:t>
                                </m:r>
                              </m:e>
                            </m:d>
                            <m:r>
                              <w:rPr>
                                <w:rFonts w:ascii="Cambria Math" w:hAnsi="Cambria Math"/>
                                <w:lang w:val="en-US"/>
                              </w:rPr>
                              <m:t>dτ</m:t>
                            </m:r>
                          </m:e>
                        </m:nary>
                        <m:r>
                          <w:rPr>
                            <w:rFonts w:ascii="Cambria Math" w:hAnsi="Cambria Math"/>
                            <w:lang w:val="en-US"/>
                          </w:rPr>
                          <m:t xml:space="preserve">     ∀ τ≥2</m:t>
                        </m:r>
                      </m:e>
                      <m:e>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1.5</m:t>
                            </m:r>
                          </m:sup>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d>
                              <m:dPr>
                                <m:ctrlPr>
                                  <w:rPr>
                                    <w:rFonts w:ascii="Cambria Math" w:hAnsi="Cambria Math"/>
                                    <w:i/>
                                    <w:lang w:val="en-US"/>
                                  </w:rPr>
                                </m:ctrlPr>
                              </m:dPr>
                              <m:e>
                                <m:r>
                                  <w:rPr>
                                    <w:rFonts w:ascii="Cambria Math" w:hAnsi="Cambria Math"/>
                                    <w:lang w:val="en-US"/>
                                  </w:rPr>
                                  <m:t>τ</m:t>
                                </m:r>
                              </m:e>
                            </m:d>
                            <m:r>
                              <w:rPr>
                                <w:rFonts w:ascii="Cambria Math" w:hAnsi="Cambria Math"/>
                                <w:lang w:val="en-US"/>
                              </w:rPr>
                              <m:t>dτ</m:t>
                            </m:r>
                          </m:e>
                        </m:nary>
                        <m:r>
                          <w:rPr>
                            <w:rFonts w:ascii="Cambria Math" w:hAnsi="Cambria Math"/>
                            <w:lang w:val="en-US"/>
                          </w:rPr>
                          <m:t xml:space="preserve">         ∀ τ=1</m:t>
                        </m:r>
                      </m:e>
                    </m:eqArr>
                  </m:e>
                </m:d>
              </m:oMath>
            </m:oMathPara>
          </w:p>
        </w:tc>
        <w:tc>
          <w:tcPr>
            <w:tcW w:w="935" w:type="dxa"/>
            <w:vAlign w:val="center"/>
          </w:tcPr>
          <w:p w14:paraId="1BA2D16F" w14:textId="77777777" w:rsidR="00A446F7" w:rsidRPr="00F04787" w:rsidRDefault="00A446F7" w:rsidP="001B626F">
            <w:pPr>
              <w:jc w:val="center"/>
              <w:rPr>
                <w:lang w:val="en-US"/>
              </w:rPr>
            </w:pPr>
            <m:oMathPara>
              <m:oMath>
                <m:r>
                  <w:rPr>
                    <w:rFonts w:ascii="Cambria Math" w:hAnsi="Cambria Math"/>
                    <w:lang w:val="en-US"/>
                  </w:rPr>
                  <m:t>(11)</m:t>
                </m:r>
              </m:oMath>
            </m:oMathPara>
          </w:p>
        </w:tc>
      </w:tr>
    </w:tbl>
    <w:p w14:paraId="06950EE3" w14:textId="77777777" w:rsidR="00861C80" w:rsidRPr="00F04787" w:rsidRDefault="00861C80" w:rsidP="00A446F7">
      <w:pPr>
        <w:rPr>
          <w:lang w:val="en-US"/>
        </w:rPr>
      </w:pPr>
    </w:p>
    <w:p w14:paraId="4294CE1C" w14:textId="77777777" w:rsidR="00A61A20" w:rsidRPr="00F04787" w:rsidRDefault="00A446F7" w:rsidP="00A61A20">
      <w:pPr>
        <w:rPr>
          <w:rFonts w:eastAsiaTheme="minorEastAsia"/>
          <w:lang w:val="en-US"/>
        </w:rPr>
      </w:pPr>
      <w:r w:rsidRPr="00F04787">
        <w:rPr>
          <w:lang w:val="en-US"/>
        </w:rPr>
        <w:lastRenderedPageBreak/>
        <w:t xml:space="preserve">where  </w:t>
      </w:r>
      <m:oMath>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y</m:t>
                </m:r>
              </m:sub>
            </m:sSub>
            <m:d>
              <m:dPr>
                <m:ctrlPr>
                  <w:rPr>
                    <w:rFonts w:ascii="Cambria Math" w:hAnsi="Cambria Math"/>
                    <w:i/>
                    <w:lang w:val="en-US"/>
                  </w:rPr>
                </m:ctrlPr>
              </m:dPr>
              <m:e>
                <m:r>
                  <w:rPr>
                    <w:rFonts w:ascii="Cambria Math" w:hAnsi="Cambria Math"/>
                    <w:lang w:val="en-US"/>
                  </w:rPr>
                  <m:t>τ</m:t>
                </m:r>
              </m:e>
            </m:d>
            <m:r>
              <w:rPr>
                <w:rFonts w:ascii="Cambria Math" w:hAnsi="Cambria Math"/>
                <w:lang w:val="en-US"/>
              </w:rPr>
              <m:t>dτ</m:t>
            </m:r>
          </m:e>
        </m:nary>
        <m:r>
          <w:rPr>
            <w:rFonts w:ascii="Cambria Math" w:hAnsi="Cambria Math"/>
            <w:lang w:val="en-US"/>
          </w:rPr>
          <m:t>=1</m:t>
        </m:r>
      </m:oMath>
      <w:r w:rsidRPr="00F04787">
        <w:rPr>
          <w:lang w:val="en-US"/>
        </w:rPr>
        <w:t>.</w:t>
      </w:r>
      <w:r w:rsidR="006810C3" w:rsidRPr="00F04787">
        <w:rPr>
          <w:lang w:val="en-US"/>
        </w:rPr>
        <w:t xml:space="preserve"> Note that </w:t>
      </w:r>
      <m:oMath>
        <m:r>
          <w:rPr>
            <w:rFonts w:ascii="Cambria Math" w:hAnsi="Cambria Math"/>
            <w:lang w:val="en-US"/>
          </w:rPr>
          <m:t>y=0</m:t>
        </m:r>
      </m:oMath>
      <w:r w:rsidR="006810C3" w:rsidRPr="00F04787">
        <w:rPr>
          <w:rFonts w:eastAsiaTheme="minorEastAsia"/>
          <w:lang w:val="en-US"/>
        </w:rPr>
        <w:t xml:space="preserve"> denotes</w:t>
      </w:r>
      <w:r w:rsidR="006E43E6" w:rsidRPr="00F04787">
        <w:rPr>
          <w:rFonts w:eastAsiaTheme="minorEastAsia"/>
          <w:lang w:val="en-US"/>
        </w:rPr>
        <w:t xml:space="preserve"> the</w:t>
      </w:r>
      <w:r w:rsidR="006810C3" w:rsidRPr="00F04787">
        <w:rPr>
          <w:rFonts w:eastAsiaTheme="minorEastAsia"/>
          <w:lang w:val="en-US"/>
        </w:rPr>
        <w:t xml:space="preserve"> untreated infectiousness profile. </w:t>
      </w:r>
    </w:p>
    <w:p w14:paraId="4A9999CA" w14:textId="77777777" w:rsidR="00A61A20" w:rsidRPr="00F04787" w:rsidRDefault="00A61A20" w:rsidP="00A61A20">
      <w:pPr>
        <w:rPr>
          <w:lang w:val="en-US"/>
        </w:rPr>
      </w:pPr>
    </w:p>
    <w:p w14:paraId="7DD47CED" w14:textId="2BDF01A8" w:rsidR="00521E7B" w:rsidRPr="00F04787" w:rsidRDefault="005938DB" w:rsidP="00A61A20">
      <w:pPr>
        <w:rPr>
          <w:lang w:val="en-US"/>
        </w:rPr>
      </w:pPr>
      <w:r w:rsidRPr="00F04787">
        <w:rPr>
          <w:lang w:val="en-US"/>
        </w:rPr>
        <w:t xml:space="preserve">Given the limited evidence that BXM resistant mutations may be fitter </w:t>
      </w:r>
      <w:r w:rsidR="00797095">
        <w:rPr>
          <w:lang w:val="en-US"/>
        </w:rPr>
        <w:t xml:space="preserve">or less fit </w:t>
      </w:r>
      <w:r w:rsidRPr="00F04787">
        <w:rPr>
          <w:lang w:val="en-US"/>
        </w:rPr>
        <w:t>tha</w:t>
      </w:r>
      <w:r w:rsidR="00797095">
        <w:rPr>
          <w:lang w:val="en-US"/>
        </w:rPr>
        <w:t>n</w:t>
      </w:r>
      <w:r w:rsidRPr="00F04787">
        <w:rPr>
          <w:lang w:val="en-US"/>
        </w:rPr>
        <w:t xml:space="preserve"> their wild-type BXM</w:t>
      </w:r>
      <w:r w:rsidR="00460BA9" w:rsidRPr="00F04787">
        <w:rPr>
          <w:lang w:val="en-US"/>
        </w:rPr>
        <w:t>-</w:t>
      </w:r>
      <w:r w:rsidRPr="00F04787">
        <w:rPr>
          <w:lang w:val="en-US"/>
        </w:rPr>
        <w:t>sensitive counterparts,</w:t>
      </w:r>
      <w:r w:rsidRPr="00F04787">
        <w:rPr>
          <w:lang w:val="en-US"/>
        </w:rPr>
        <w:fldChar w:fldCharType="begin"/>
      </w:r>
      <w:r w:rsidR="000B5579">
        <w:rPr>
          <w:lang w:val="en-US"/>
        </w:rPr>
        <w:instrText xml:space="preserve"> ADDIN ZOTERO_ITEM CSL_CITATION {"citationID":"PFIpqTRC","properties":{"formattedCitation":"\\super 10\\uc0\\u8211{}12\\nosupersub{}","plainCitation":"10–12","noteIndex":0},"citationItems":[{"id":80,"uris":["http://zotero.org/users/local/0pdZPGmr/items/I99EQBP6","http://zotero.org/users/9596130/items/I99EQBP6"],"itemData":{"id":80,"type":"article-journal","abstract":"Baloxavir is a cap-dependent inhibitor of the polymerase acid (PA) protein of influenza viruses. While appearing virologically superior to oseltamivir, baloxavir exhibits a low barrier of resistance. We sought to assess the impact of the common baloxavir-resistant I38T PA substitution on in vitro properties and virulence.Influenza A/Quebec/144147/2009 (H1N1)pdm09 and A/Switzerland/9715293/2013 (H3N2) recombinant viruses and their I38T PA mutants were compared in single and competitive infection experiments in ST6GalI-MDCK cells and C57/BL6 mice. Virus titers in cell culture supernatants and lung homogenates were determined by virus yield assays. Ratios of wild-type (WT) and I38T mutant were assessed by digital RT-PCR.I38T substitution did not alter the replication kinetics of A(H1N1)pdm09 and A(H3N2) viruses. In competition experiments, a 50%:50% mixture evolved to 70%:30% (WT/mutant) for A(H1N1) and 88%:12% for A(H3N2) viruses after a single cell passage. The I38T substitution remained stable after 4 passages in vitro. In mice, the WT and its I38T mutant induced similar weight loss with comparable lung titers in both viral subtypes. The mutant virus tended to predominate over the WT in mouse competition experiments.The fitness of baloxavir-resistant I38T PA mutants appears relatively unaltered in seasonal subtypes warranting surveillance for its dissemination.","container-title":"The Journal of Infectious Diseases","DOI":"10.1093/infdis/jiz418","ISSN":"0022-1899","issue":"1","journalAbbreviation":"The Journal of Infectious Diseases","page":"63-70","title":"Impact of the Baloxavir-Resistant Polymerase Acid I38T Substitution on the Fitness of Contemporary Influenza A(H1N1)pdm09 and A(H3N2) Strains","volume":"221","author":[{"family":"Checkmahomed","given":"Liva"},{"family":"M’hamdi","given":"Zeineb"},{"family":"Carbonneau","given":"Julie"},{"family":"Venable","given":"Marie-Christine"},{"family":"Baz","given":"Mariana"},{"family":"Abed","given":"Yacine"},{"family":"Boivin","given":"Guy"}],"issued":{"date-parts":[["2020",1,1]]}}},{"id":81,"uris":["http://zotero.org/users/local/0pdZPGmr/items/NLSUHSZQ","http://zotero.org/users/9596130/items/NLSUHSZQ"],"itemData":{"id":81,"type":"article-journal","abstract":"Author summary Baloxavir is a new and potent anti-influenza drug targeting essential functions of viral replication. Currently, the I38T polymerase acidic protein (PA) substitution is the major marker of reduced susceptibility and potential resistance to baloxavir, but the full baloxavir resistance profile remains unclear. Here, we demonstrated that PA E23G/K substitutions alone weaken baloxavir efficacy, but they also synergize with I38T to impair drug activity further. E23G/K substitutions are located close to the binding site of baloxavir and indirectly weaken key drug-binding interactions. This effect has some negative consequences for virus replication, but E23G/K viruses possess the capacity for airborne spread between naïve ferrets, the gold-standard model of human influenza transmission. Therefore, E23G/K viruses have the potential for community spread, which would adversely affect baloxavir clinical implementation. Our study supports ongoing surveillance for circulating human E23G/K viruses, and it may inform design of enhanced baloxavir-like drugs less susceptible to emergence of viral resistance.","container-title":"PLOS Pathogens","DOI":"10.1371/journal.ppat.1010698","issue":"7","journalAbbreviation":"PLOS Pathogens","note":"publisher: Public Library of Science","page":"e1010698","title":"Influenza A virus polymerase acidic protein E23G/K substitutions weaken key baloxavir drug-binding contacts with minimal impact on replication and transmission","volume":"18","author":[{"family":"Jones","given":"Jeremy C."},{"family":"Zagribelnyy","given":"Bogdan"},{"family":"Pascua","given":"Philippe Noriel Q."},{"family":"Bezrukov","given":"Dmitry S."},{"family":"Barman","given":"Subrata"},{"family":"Okda","given":"Faten"},{"family":"Webby","given":"Richard J."},{"family":"Ivanenkov","given":"Yan A."},{"family":"Govorkova","given":"Elena A."}],"issued":{"date-parts":[["2022",7,13]]}}},{"id":82,"uris":["http://zotero.org/users/local/0pdZPGmr/items/UZ2YKP77","http://zotero.org/users/9596130/items/UZ2YKP77"],"itemData":{"id":82,"type":"article-journal","container-title":"Journal of Virology","DOI":"10.1128/jvi.00154-23","issue":"7","journalAbbreviation":"Journal of Virology","note":"publisher: American Society for Microbiology","page":"e00154-23","title":"Impact of Baloxavir Resistance-Associated Substitutions on Influenza Virus Growth and Drug Susceptibility","volume":"97","author":[{"literal":"Hickerson Brady T."},{"literal":"Petrovskaya Svetlana N."},{"literal":"Dickensheets Harold"},{"literal":"Donnelly Raymond P."},{"literal":"Ince William L."},{"literal":"Ilyushina Natalia A."}],"issued":{"date-parts":[["2023",7,5]]}}}],"schema":"https://github.com/citation-style-language/schema/raw/master/csl-citation.json"} </w:instrText>
      </w:r>
      <w:r w:rsidRPr="00F04787">
        <w:rPr>
          <w:lang w:val="en-US"/>
        </w:rPr>
        <w:fldChar w:fldCharType="separate"/>
      </w:r>
      <w:r w:rsidR="000B5579" w:rsidRPr="000B5579">
        <w:rPr>
          <w:vertAlign w:val="superscript"/>
          <w:lang w:val="en-US"/>
        </w:rPr>
        <w:t>10–12</w:t>
      </w:r>
      <w:r w:rsidRPr="00F04787">
        <w:rPr>
          <w:lang w:val="en-US"/>
        </w:rPr>
        <w:fldChar w:fldCharType="end"/>
      </w:r>
      <w:r w:rsidRPr="00F04787">
        <w:rPr>
          <w:lang w:val="en-US"/>
        </w:rPr>
        <w:t xml:space="preserve"> </w:t>
      </w:r>
      <w:r w:rsidR="002A34EA" w:rsidRPr="00F04787">
        <w:rPr>
          <w:lang w:val="en-US"/>
        </w:rPr>
        <w:t>we assumed that there is no difference in either within-host viral replication fitness or between-host transmission advantage between the drug-sensitive and resistant</w:t>
      </w:r>
      <w:r w:rsidR="00130EC9" w:rsidRPr="00F04787">
        <w:rPr>
          <w:lang w:val="en-US"/>
        </w:rPr>
        <w:t xml:space="preserve"> </w:t>
      </w:r>
      <w:r w:rsidR="002A34EA" w:rsidRPr="00F04787">
        <w:rPr>
          <w:lang w:val="en-US"/>
        </w:rPr>
        <w:t>virus. In turn, f</w:t>
      </w:r>
      <w:r w:rsidR="00A61A20" w:rsidRPr="00F04787">
        <w:rPr>
          <w:lang w:val="en-US"/>
        </w:rPr>
        <w:t xml:space="preserve">or individuals who </w:t>
      </w:r>
      <w:r w:rsidR="002A34EA" w:rsidRPr="00F04787">
        <w:rPr>
          <w:lang w:val="en-US"/>
        </w:rPr>
        <w:t>are</w:t>
      </w:r>
      <w:r w:rsidR="00A61A20" w:rsidRPr="00F04787">
        <w:rPr>
          <w:lang w:val="en-US"/>
        </w:rPr>
        <w:t xml:space="preserve"> infected by the drug-resistant variant virus, their infectiousness profiles </w:t>
      </w:r>
      <w:r w:rsidR="002A34EA" w:rsidRPr="00F04787">
        <w:rPr>
          <w:lang w:val="en-US"/>
        </w:rPr>
        <w:t>are similar computed by</w:t>
      </w:r>
      <w:r w:rsidR="00A61A20" w:rsidRPr="00F04787">
        <w:rPr>
          <w:lang w:val="en-US"/>
        </w:rPr>
        <w:t xml:space="preserve"> equation 11</w:t>
      </w:r>
      <w:r w:rsidR="002A34EA" w:rsidRPr="00F04787">
        <w:rPr>
          <w:lang w:val="en-US"/>
        </w:rPr>
        <w:t xml:space="preserve"> for the untreated infectiousness profile</w:t>
      </w:r>
      <w:r w:rsidR="00A61A20" w:rsidRPr="00F04787">
        <w:rPr>
          <w:lang w:val="en-US"/>
        </w:rPr>
        <w:t xml:space="preserve">. </w:t>
      </w:r>
      <w:r w:rsidR="002A34EA" w:rsidRPr="00F04787">
        <w:rPr>
          <w:lang w:val="en-US"/>
        </w:rPr>
        <w:t>F</w:t>
      </w:r>
      <w:r w:rsidR="003112BE" w:rsidRPr="00F04787">
        <w:rPr>
          <w:lang w:val="en-US"/>
        </w:rPr>
        <w:t xml:space="preserve">or individuals who </w:t>
      </w:r>
      <w:r w:rsidR="002A34EA" w:rsidRPr="00F04787">
        <w:rPr>
          <w:lang w:val="en-US"/>
        </w:rPr>
        <w:t>are</w:t>
      </w:r>
      <w:r w:rsidR="003112BE" w:rsidRPr="00F04787">
        <w:rPr>
          <w:lang w:val="en-US"/>
        </w:rPr>
        <w:t xml:space="preserve"> infected by the drug-sensitive virus but later develop</w:t>
      </w:r>
      <w:r w:rsidR="002A34EA" w:rsidRPr="00F04787">
        <w:rPr>
          <w:lang w:val="en-US"/>
        </w:rPr>
        <w:t>ed</w:t>
      </w:r>
      <w:r w:rsidR="003112BE" w:rsidRPr="00F04787">
        <w:rPr>
          <w:lang w:val="en-US"/>
        </w:rPr>
        <w:t xml:space="preserve"> treatment-emergent resistance</w:t>
      </w:r>
      <w:r w:rsidR="009D7F52" w:rsidRPr="00F04787">
        <w:rPr>
          <w:lang w:val="en-US"/>
        </w:rPr>
        <w:t>,</w:t>
      </w:r>
      <w:r w:rsidR="00952D9E" w:rsidRPr="00F04787">
        <w:rPr>
          <w:lang w:val="en-US"/>
        </w:rPr>
        <w:t xml:space="preserve"> given that influenza virus transmission bottleneck is likely tight such that either one variant </w:t>
      </w:r>
      <w:r w:rsidR="000B0833" w:rsidRPr="00F04787">
        <w:rPr>
          <w:lang w:val="en-US"/>
        </w:rPr>
        <w:t>is</w:t>
      </w:r>
      <w:r w:rsidR="00952D9E" w:rsidRPr="00F04787">
        <w:rPr>
          <w:lang w:val="en-US"/>
        </w:rPr>
        <w:t xml:space="preserve"> transmitted upon an infectious contact,</w:t>
      </w:r>
      <w:r w:rsidR="00B52477" w:rsidRPr="00F04787">
        <w:rPr>
          <w:lang w:val="en-US"/>
        </w:rPr>
        <w:fldChar w:fldCharType="begin"/>
      </w:r>
      <w:r w:rsidR="000B5579">
        <w:rPr>
          <w:lang w:val="en-US"/>
        </w:rPr>
        <w:instrText xml:space="preserve"> ADDIN ZOTERO_ITEM CSL_CITATION {"citationID":"MSIjw8Ea","properties":{"formattedCitation":"\\super 13\\nosupersub{}","plainCitation":"13","noteIndex":0},"citationItems":[{"id":54,"uris":["http://zotero.org/users/local/0pdZPGmr/items/ES3B3MLF","http://zotero.org/users/9596130/items/ES3B3MLF"],"itemData":{"id":54,"type":"article-journal","abstract":"Seasonal influenza viruses create a persistent global disease burden by evolving to escape immunity induced by prior infections and vaccinations. New antigenic variants have a substantial selective advantage at the population level, but these variants are rarely selected within-host, even in previously immune individuals. Using a mathematical model, we show that the temporal asynchrony between within-host virus exponential growth and antibody-mediated selection could limit within-host antigenic evolution. If selection for new antigenic variants acts principally at the point of initial virus inoculation, where small virus populations encounter well-matched mucosal antibodies in previously-infected individuals, there can exist protection against reinfection that does not regularly produce observable new antigenic variants within individual infected hosts. Our results provide a theoretical explanation for how virus antigenic evolution can be highly selective at the global level but nearly neutral within-host. They also suggest new avenues for improving influenza control.","container-title":"eLife","DOI":"10.7554/eLife.62105","ISSN":"2050-084X","note":"publisher: eLife Sciences Publications, Ltd","page":"e62105","title":"Asynchrony between virus diversity and antibody selection limits influenza virus evolution","volume":"9","author":[{"family":"Morris","given":"Dylan H"},{"family":"Petrova","given":"Velislava N"},{"family":"Rossine","given":"Fernando W"},{"family":"Parker","given":"Edyth"},{"family":"Grenfell","given":"Bryan T"},{"family":"Neher","given":"Richard A"},{"family":"Levin","given":"Simon A"},{"family":"Russell","given":"Colin A"}],"editor":[{"family":"Walczak","given":"Aleksandra M"},{"family":"Nourmohammad","given":"Armita"},{"family":"Weissman","given":"Daniel B"},{"family":"Illingworth","given":"Christopher JR"}],"issued":{"date-parts":[["2020",11,11]]}}}],"schema":"https://github.com/citation-style-language/schema/raw/master/csl-citation.json"} </w:instrText>
      </w:r>
      <w:r w:rsidR="00B52477" w:rsidRPr="00F04787">
        <w:rPr>
          <w:lang w:val="en-US"/>
        </w:rPr>
        <w:fldChar w:fldCharType="separate"/>
      </w:r>
      <w:r w:rsidR="000B5579" w:rsidRPr="000B5579">
        <w:rPr>
          <w:vertAlign w:val="superscript"/>
          <w:lang w:val="en-US"/>
        </w:rPr>
        <w:t>13</w:t>
      </w:r>
      <w:r w:rsidR="00B52477" w:rsidRPr="00F04787">
        <w:rPr>
          <w:lang w:val="en-US"/>
        </w:rPr>
        <w:fldChar w:fldCharType="end"/>
      </w:r>
      <w:r w:rsidR="00952D9E" w:rsidRPr="00F04787">
        <w:rPr>
          <w:lang w:val="en-US"/>
        </w:rPr>
        <w:t xml:space="preserve"> </w:t>
      </w:r>
      <w:r w:rsidR="00887650" w:rsidRPr="00F04787">
        <w:rPr>
          <w:lang w:val="en-US"/>
        </w:rPr>
        <w:t xml:space="preserve">we adjusted </w:t>
      </w:r>
      <w:r w:rsidR="000B0833" w:rsidRPr="00F04787">
        <w:rPr>
          <w:lang w:val="en-US"/>
        </w:rPr>
        <w:t>the</w:t>
      </w:r>
      <w:r w:rsidR="00887650" w:rsidRPr="00F04787">
        <w:rPr>
          <w:lang w:val="en-US"/>
        </w:rPr>
        <w:t xml:space="preserve"> infectiousness profile</w:t>
      </w:r>
      <w:r w:rsidR="00130EC9" w:rsidRPr="00F04787">
        <w:rPr>
          <w:lang w:val="en-US"/>
        </w:rPr>
        <w:t>s of the drug-sensitive (</w:t>
      </w:r>
      <m:oMath>
        <m:sSub>
          <m:sSubPr>
            <m:ctrlPr>
              <w:rPr>
                <w:rFonts w:ascii="Cambria Math" w:eastAsiaTheme="minorEastAsia" w:hAnsi="Cambria Math"/>
                <w:i/>
                <w:lang w:val="en-US" w:eastAsia="zh-CN"/>
              </w:rPr>
            </m:ctrlPr>
          </m:sSubPr>
          <m:e>
            <m:r>
              <m:rPr>
                <m:scr m:val="script"/>
              </m:rPr>
              <w:rPr>
                <w:rFonts w:ascii="Cambria Math" w:hAnsi="Cambria Math"/>
                <w:lang w:val="en-US"/>
              </w:rPr>
              <m:t>V</m:t>
            </m:r>
          </m:e>
          <m:sub>
            <m:r>
              <w:rPr>
                <w:rFonts w:ascii="Cambria Math" w:hAnsi="Cambria Math"/>
                <w:lang w:val="en-US"/>
              </w:rPr>
              <m:t>1</m:t>
            </m:r>
          </m:sub>
        </m:sSub>
      </m:oMath>
      <w:r w:rsidR="00130EC9" w:rsidRPr="00F04787">
        <w:rPr>
          <w:rFonts w:eastAsiaTheme="minorEastAsia"/>
          <w:lang w:val="en-US" w:eastAsia="zh-CN"/>
        </w:rPr>
        <w:t>)</w:t>
      </w:r>
      <w:r w:rsidR="00130EC9" w:rsidRPr="00F04787">
        <w:rPr>
          <w:lang w:val="en-US"/>
        </w:rPr>
        <w:t xml:space="preserve"> and resistant (</w:t>
      </w:r>
      <m:oMath>
        <m:sSub>
          <m:sSubPr>
            <m:ctrlPr>
              <w:rPr>
                <w:rFonts w:ascii="Cambria Math" w:eastAsiaTheme="minorEastAsia" w:hAnsi="Cambria Math"/>
                <w:i/>
                <w:lang w:val="en-US" w:eastAsia="zh-CN"/>
              </w:rPr>
            </m:ctrlPr>
          </m:sSubPr>
          <m:e>
            <m:r>
              <m:rPr>
                <m:scr m:val="script"/>
              </m:rPr>
              <w:rPr>
                <w:rFonts w:ascii="Cambria Math" w:hAnsi="Cambria Math"/>
                <w:lang w:val="en-US"/>
              </w:rPr>
              <m:t>V</m:t>
            </m:r>
          </m:e>
          <m:sub>
            <m:r>
              <w:rPr>
                <w:rFonts w:ascii="Cambria Math" w:hAnsi="Cambria Math"/>
                <w:lang w:val="en-US"/>
              </w:rPr>
              <m:t>2</m:t>
            </m:r>
          </m:sub>
        </m:sSub>
      </m:oMath>
      <w:r w:rsidR="00130EC9" w:rsidRPr="00F04787">
        <w:rPr>
          <w:rFonts w:eastAsiaTheme="minorEastAsia"/>
          <w:lang w:val="en-US" w:eastAsia="zh-CN"/>
        </w:rPr>
        <w:t>)</w:t>
      </w:r>
      <w:r w:rsidR="00130EC9" w:rsidRPr="00F04787">
        <w:rPr>
          <w:lang w:val="en-US"/>
        </w:rPr>
        <w:t xml:space="preserve"> viruses</w:t>
      </w:r>
      <w:r w:rsidR="00887650" w:rsidRPr="00F04787">
        <w:rPr>
          <w:lang w:val="en-US"/>
        </w:rPr>
        <w:t xml:space="preserve"> such that</w:t>
      </w:r>
      <w:r w:rsidR="00521E7B" w:rsidRPr="00F04787">
        <w:rPr>
          <w:lang w:val="en-US"/>
        </w:rPr>
        <w:t xml:space="preserve">: </w:t>
      </w:r>
    </w:p>
    <w:p w14:paraId="421A4E6B" w14:textId="27302A53" w:rsidR="00A61A20" w:rsidRPr="00F04787" w:rsidRDefault="00A61A20" w:rsidP="00A61A20">
      <w:pPr>
        <w:rPr>
          <w:lang w:val="en-US"/>
        </w:rPr>
      </w:pPr>
      <w:r w:rsidRPr="00F04787">
        <w:rPr>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952D9E" w:rsidRPr="00F04787" w14:paraId="4DF1898A" w14:textId="77777777" w:rsidTr="007508CC">
        <w:tc>
          <w:tcPr>
            <w:tcW w:w="8075" w:type="dxa"/>
            <w:vAlign w:val="center"/>
          </w:tcPr>
          <w:p w14:paraId="6EBB9EAB" w14:textId="39891F40" w:rsidR="00952D9E" w:rsidRPr="00F04787" w:rsidRDefault="00071619" w:rsidP="00F2338F">
            <w:pPr>
              <w:jc w:val="center"/>
              <w:rPr>
                <w:lang w:val="en-US"/>
              </w:rPr>
            </w:pPr>
            <m:oMathPara>
              <m:oMath>
                <m:sSubSup>
                  <m:sSubSupPr>
                    <m:ctrlPr>
                      <w:rPr>
                        <w:rFonts w:ascii="Cambria Math" w:hAnsi="Cambria Math"/>
                        <w:i/>
                        <w:lang w:val="en-US"/>
                      </w:rPr>
                    </m:ctrlPr>
                  </m:sSubSup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Sub>
                      <m:sSubPr>
                        <m:ctrlPr>
                          <w:rPr>
                            <w:rFonts w:ascii="Cambria Math" w:hAnsi="Cambria Math"/>
                            <w:i/>
                            <w:lang w:val="en-US"/>
                          </w:rPr>
                        </m:ctrlPr>
                      </m:sSubPr>
                      <m:e>
                        <m:r>
                          <m:rPr>
                            <m:scr m:val="script"/>
                          </m:rPr>
                          <w:rPr>
                            <w:rFonts w:ascii="Cambria Math" w:hAnsi="Cambria Math"/>
                            <w:lang w:val="en-US"/>
                          </w:rPr>
                          <m:t>V</m:t>
                        </m:r>
                      </m:e>
                      <m:sub>
                        <m:r>
                          <w:rPr>
                            <w:rFonts w:ascii="Cambria Math" w:hAnsi="Cambria Math"/>
                            <w:lang w:val="en-US"/>
                          </w:rPr>
                          <m:t>1</m:t>
                        </m:r>
                      </m:sub>
                    </m:sSub>
                  </m:sub>
                  <m:sup>
                    <m:r>
                      <w:rPr>
                        <w:rFonts w:ascii="Cambria Math" w:hAnsi="Cambria Math"/>
                        <w:lang w:val="en-US"/>
                      </w:rPr>
                      <m:t>'</m:t>
                    </m:r>
                  </m:sup>
                </m:sSubSup>
                <m:r>
                  <w:rPr>
                    <w:rFonts w:ascii="Cambria Math" w:hAnsi="Cambria Math"/>
                    <w:lang w:val="en-US"/>
                  </w:rPr>
                  <m:t>=</m:t>
                </m:r>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Sub>
                      <m:sSubPr>
                        <m:ctrlPr>
                          <w:rPr>
                            <w:rFonts w:ascii="Cambria Math" w:hAnsi="Cambria Math"/>
                            <w:i/>
                            <w:lang w:val="en-US"/>
                          </w:rPr>
                        </m:ctrlPr>
                      </m:sSubPr>
                      <m:e>
                        <m:r>
                          <m:rPr>
                            <m:scr m:val="script"/>
                          </m:rPr>
                          <w:rPr>
                            <w:rFonts w:ascii="Cambria Math" w:hAnsi="Cambria Math"/>
                            <w:lang w:val="en-US"/>
                          </w:rPr>
                          <m:t>V</m:t>
                        </m:r>
                      </m:e>
                      <m:sub>
                        <m:r>
                          <w:rPr>
                            <w:rFonts w:ascii="Cambria Math" w:hAnsi="Cambria Math"/>
                            <w:lang w:val="en-US"/>
                          </w:rPr>
                          <m:t>1</m:t>
                        </m:r>
                      </m:sub>
                    </m:sSub>
                  </m:sub>
                </m:sSub>
                <m:d>
                  <m:dPr>
                    <m:ctrlPr>
                      <w:rPr>
                        <w:rFonts w:ascii="Cambria Math" w:hAnsi="Cambria Math"/>
                        <w:i/>
                        <w:lang w:val="en-US"/>
                      </w:rPr>
                    </m:ctrlPr>
                  </m:dPr>
                  <m:e>
                    <m:r>
                      <w:rPr>
                        <w:rFonts w:ascii="Cambria Math" w:hAnsi="Cambria Math"/>
                        <w:lang w:val="en-US"/>
                      </w:rPr>
                      <m:t>1-</m:t>
                    </m:r>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Sub>
                          <m:sSubPr>
                            <m:ctrlPr>
                              <w:rPr>
                                <w:rFonts w:ascii="Cambria Math" w:hAnsi="Cambria Math"/>
                                <w:i/>
                                <w:lang w:val="en-US"/>
                              </w:rPr>
                            </m:ctrlPr>
                          </m:sSubPr>
                          <m:e>
                            <m:r>
                              <m:rPr>
                                <m:scr m:val="script"/>
                              </m:rPr>
                              <w:rPr>
                                <w:rFonts w:ascii="Cambria Math" w:hAnsi="Cambria Math"/>
                                <w:lang w:val="en-US"/>
                              </w:rPr>
                              <m:t>V</m:t>
                            </m:r>
                          </m:e>
                          <m:sub>
                            <m:r>
                              <w:rPr>
                                <w:rFonts w:ascii="Cambria Math" w:hAnsi="Cambria Math"/>
                                <w:lang w:val="en-US"/>
                              </w:rPr>
                              <m:t>2</m:t>
                            </m:r>
                          </m:sub>
                        </m:sSub>
                      </m:sub>
                    </m:sSub>
                  </m:e>
                </m:d>
              </m:oMath>
            </m:oMathPara>
          </w:p>
          <w:p w14:paraId="5C80A5B4" w14:textId="77777777" w:rsidR="00F2338F" w:rsidRPr="00F04787" w:rsidRDefault="00F2338F" w:rsidP="00F2338F">
            <w:pPr>
              <w:jc w:val="center"/>
              <w:rPr>
                <w:lang w:val="en-US"/>
              </w:rPr>
            </w:pPr>
          </w:p>
          <w:p w14:paraId="3B8ED395" w14:textId="4BE944B1" w:rsidR="00952D9E" w:rsidRPr="00F04787" w:rsidRDefault="00071619" w:rsidP="007508CC">
            <w:pPr>
              <w:jc w:val="center"/>
              <w:rPr>
                <w:lang w:val="en-US"/>
              </w:rPr>
            </w:pPr>
            <m:oMathPara>
              <m:oMath>
                <m:sSubSup>
                  <m:sSubSupPr>
                    <m:ctrlPr>
                      <w:rPr>
                        <w:rFonts w:ascii="Cambria Math" w:hAnsi="Cambria Math"/>
                        <w:i/>
                        <w:lang w:val="en-US"/>
                      </w:rPr>
                    </m:ctrlPr>
                  </m:sSubSup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Sub>
                      <m:sSubPr>
                        <m:ctrlPr>
                          <w:rPr>
                            <w:rFonts w:ascii="Cambria Math" w:hAnsi="Cambria Math"/>
                            <w:i/>
                            <w:lang w:val="en-US"/>
                          </w:rPr>
                        </m:ctrlPr>
                      </m:sSubPr>
                      <m:e>
                        <m:r>
                          <m:rPr>
                            <m:scr m:val="script"/>
                          </m:rPr>
                          <w:rPr>
                            <w:rFonts w:ascii="Cambria Math" w:hAnsi="Cambria Math"/>
                            <w:lang w:val="en-US"/>
                          </w:rPr>
                          <m:t>V</m:t>
                        </m:r>
                      </m:e>
                      <m:sub>
                        <m:r>
                          <w:rPr>
                            <w:rFonts w:ascii="Cambria Math" w:hAnsi="Cambria Math"/>
                            <w:lang w:val="en-US"/>
                          </w:rPr>
                          <m:t>2</m:t>
                        </m:r>
                      </m:sub>
                    </m:sSub>
                  </m:sub>
                  <m:sup>
                    <m:r>
                      <w:rPr>
                        <w:rFonts w:ascii="Cambria Math" w:hAnsi="Cambria Math"/>
                        <w:lang w:val="en-US"/>
                      </w:rPr>
                      <m:t>'</m:t>
                    </m:r>
                  </m:sup>
                </m:sSubSup>
                <m:r>
                  <w:rPr>
                    <w:rFonts w:ascii="Cambria Math" w:hAnsi="Cambria Math"/>
                    <w:lang w:val="en-US"/>
                  </w:rPr>
                  <m:t>=</m:t>
                </m:r>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Sub>
                      <m:sSubPr>
                        <m:ctrlPr>
                          <w:rPr>
                            <w:rFonts w:ascii="Cambria Math" w:hAnsi="Cambria Math"/>
                            <w:i/>
                            <w:lang w:val="en-US"/>
                          </w:rPr>
                        </m:ctrlPr>
                      </m:sSubPr>
                      <m:e>
                        <m:r>
                          <m:rPr>
                            <m:scr m:val="script"/>
                          </m:rPr>
                          <w:rPr>
                            <w:rFonts w:ascii="Cambria Math" w:hAnsi="Cambria Math"/>
                            <w:lang w:val="en-US"/>
                          </w:rPr>
                          <m:t>V</m:t>
                        </m:r>
                      </m:e>
                      <m:sub>
                        <m:r>
                          <w:rPr>
                            <w:rFonts w:ascii="Cambria Math" w:hAnsi="Cambria Math"/>
                            <w:lang w:val="en-US"/>
                          </w:rPr>
                          <m:t>2</m:t>
                        </m:r>
                      </m:sub>
                    </m:sSub>
                  </m:sub>
                </m:sSub>
                <m:r>
                  <w:rPr>
                    <w:rFonts w:ascii="Cambria Math" w:hAnsi="Cambria Math"/>
                    <w:lang w:val="en-US"/>
                  </w:rPr>
                  <m:t>(1-</m:t>
                </m:r>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Sub>
                      <m:sSubPr>
                        <m:ctrlPr>
                          <w:rPr>
                            <w:rFonts w:ascii="Cambria Math" w:hAnsi="Cambria Math"/>
                            <w:i/>
                            <w:lang w:val="en-US"/>
                          </w:rPr>
                        </m:ctrlPr>
                      </m:sSubPr>
                      <m:e>
                        <m:r>
                          <m:rPr>
                            <m:scr m:val="script"/>
                          </m:rPr>
                          <w:rPr>
                            <w:rFonts w:ascii="Cambria Math" w:hAnsi="Cambria Math"/>
                            <w:lang w:val="en-US"/>
                          </w:rPr>
                          <m:t>V</m:t>
                        </m:r>
                      </m:e>
                      <m:sub>
                        <m:r>
                          <w:rPr>
                            <w:rFonts w:ascii="Cambria Math" w:hAnsi="Cambria Math"/>
                            <w:lang w:val="en-US"/>
                          </w:rPr>
                          <m:t>1</m:t>
                        </m:r>
                      </m:sub>
                    </m:sSub>
                  </m:sub>
                </m:sSub>
                <m:r>
                  <w:rPr>
                    <w:rFonts w:ascii="Cambria Math" w:hAnsi="Cambria Math"/>
                    <w:lang w:val="en-US"/>
                  </w:rPr>
                  <m:t>)</m:t>
                </m:r>
              </m:oMath>
            </m:oMathPara>
          </w:p>
        </w:tc>
        <w:tc>
          <w:tcPr>
            <w:tcW w:w="935" w:type="dxa"/>
            <w:vAlign w:val="center"/>
          </w:tcPr>
          <w:p w14:paraId="7157BCC3" w14:textId="578FDCC3" w:rsidR="00952D9E" w:rsidRPr="00F04787" w:rsidRDefault="00952D9E" w:rsidP="007508CC">
            <w:pPr>
              <w:jc w:val="center"/>
              <w:rPr>
                <w:lang w:val="en-US"/>
              </w:rPr>
            </w:pPr>
          </w:p>
        </w:tc>
      </w:tr>
    </w:tbl>
    <w:p w14:paraId="26000D2A" w14:textId="77777777" w:rsidR="00A446F7" w:rsidRPr="00F04787" w:rsidRDefault="00A446F7" w:rsidP="00A446F7">
      <w:pPr>
        <w:rPr>
          <w:lang w:val="en-US"/>
        </w:rPr>
      </w:pPr>
    </w:p>
    <w:p w14:paraId="6B05DAF3" w14:textId="63EBDAF7" w:rsidR="00A446F7" w:rsidRPr="00F04787" w:rsidRDefault="00071619" w:rsidP="00A446F7">
      <w:pPr>
        <w:rPr>
          <w:lang w:val="en-US"/>
        </w:rPr>
      </w:pP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t,y,α→a</m:t>
            </m:r>
          </m:sub>
        </m:sSub>
      </m:oMath>
      <w:r w:rsidR="00A446F7" w:rsidRPr="00F04787">
        <w:rPr>
          <w:lang w:val="en-US"/>
        </w:rPr>
        <w:t xml:space="preserve"> depends on the</w:t>
      </w:r>
      <w:r w:rsidR="00AB5F26" w:rsidRPr="00F04787">
        <w:rPr>
          <w:lang w:val="en-US"/>
        </w:rPr>
        <w:t xml:space="preserve"> remaining</w:t>
      </w:r>
      <w:r w:rsidR="00A446F7" w:rsidRPr="00F04787">
        <w:rPr>
          <w:lang w:val="en-US"/>
        </w:rPr>
        <w:t xml:space="preserve"> </w:t>
      </w:r>
      <w:r w:rsidR="00755B47" w:rsidRPr="00F04787">
        <w:rPr>
          <w:lang w:val="en-US"/>
        </w:rPr>
        <w:t>number</w:t>
      </w:r>
      <w:r w:rsidR="00A446F7" w:rsidRPr="00F04787">
        <w:rPr>
          <w:lang w:val="en-US"/>
        </w:rPr>
        <w:t xml:space="preserve"> of</w:t>
      </w:r>
      <w:r w:rsidR="00ED7E05" w:rsidRPr="00F04787">
        <w:rPr>
          <w:lang w:val="en-US"/>
        </w:rPr>
        <w:t xml:space="preserve"> </w:t>
      </w:r>
      <w:r w:rsidR="00A446F7" w:rsidRPr="00F04787">
        <w:rPr>
          <w:lang w:val="en-US"/>
        </w:rPr>
        <w:t>susceptible individuals</w:t>
      </w:r>
      <w:r w:rsidR="0027726B" w:rsidRPr="00F04787">
        <w:rPr>
          <w:lang w:val="en-US"/>
        </w:rPr>
        <w:t xml:space="preserve"> in age group </w:t>
      </w:r>
      <m:oMath>
        <m:r>
          <w:rPr>
            <w:rFonts w:ascii="Cambria Math" w:hAnsi="Cambria Math"/>
            <w:lang w:val="en-US"/>
          </w:rPr>
          <m:t>a</m:t>
        </m:r>
      </m:oMath>
      <w:r w:rsidR="0027726B" w:rsidRPr="00F04787">
        <w:rPr>
          <w:lang w:val="en-US"/>
        </w:rPr>
        <w:t xml:space="preserve"> </w:t>
      </w:r>
      <w:r w:rsidR="0014604F" w:rsidRPr="00F04787">
        <w:rPr>
          <w:lang w:val="en-US"/>
        </w:rPr>
        <w:t xml:space="preserve">on day </w:t>
      </w:r>
      <m:oMath>
        <m:r>
          <w:rPr>
            <w:rFonts w:ascii="Cambria Math" w:hAnsi="Cambria Math"/>
            <w:lang w:val="en-US"/>
          </w:rPr>
          <m:t>t</m:t>
        </m:r>
      </m:oMath>
      <w:r w:rsidR="0027726B" w:rsidRPr="00F04787">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t,a</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m:t>
            </m:r>
          </m:sub>
        </m:sSub>
        <m:r>
          <w:rPr>
            <w:rFonts w:ascii="Cambria Math" w:hAnsi="Cambria Math"/>
            <w:lang w:val="en-US"/>
          </w:rPr>
          <m:t>-</m:t>
        </m:r>
        <m:nary>
          <m:naryPr>
            <m:chr m:val="∑"/>
            <m:supHide m:val="1"/>
            <m:ctrlPr>
              <w:rPr>
                <w:rFonts w:ascii="Cambria Math" w:hAnsi="Cambria Math"/>
                <w:i/>
                <w:lang w:val="en-US"/>
              </w:rPr>
            </m:ctrlPr>
          </m:naryPr>
          <m:sub>
            <m:r>
              <w:rPr>
                <w:rFonts w:ascii="Cambria Math" w:hAnsi="Cambria Math"/>
                <w:lang w:val="en-US"/>
              </w:rPr>
              <m:t>t</m:t>
            </m:r>
          </m:sub>
          <m:sup/>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t,a</m:t>
                </m:r>
              </m:sub>
            </m:sSub>
          </m:e>
        </m:nary>
      </m:oMath>
      <w:r w:rsidR="00755B47" w:rsidRPr="00F04787">
        <w:rPr>
          <w:rFonts w:eastAsiaTheme="minorEastAsia"/>
          <w:lang w:val="en-US"/>
        </w:rPr>
        <w:t xml:space="preserve"> </w:t>
      </w:r>
      <w:r w:rsidR="006920CC" w:rsidRPr="00F04787">
        <w:rPr>
          <w:rFonts w:eastAsiaTheme="minorEastAsia"/>
          <w:lang w:val="en-US"/>
        </w:rPr>
        <w:t xml:space="preserve">where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m:t>
            </m:r>
          </m:sub>
        </m:sSub>
      </m:oMath>
      <w:r w:rsidR="006920CC" w:rsidRPr="00F04787">
        <w:rPr>
          <w:rFonts w:eastAsiaTheme="minorEastAsia"/>
          <w:lang w:val="en-US"/>
        </w:rPr>
        <w:t xml:space="preserve"> is the number of individuals of age group </w:t>
      </w:r>
      <m:oMath>
        <m:r>
          <w:rPr>
            <w:rFonts w:ascii="Cambria Math" w:hAnsi="Cambria Math"/>
            <w:lang w:val="en-US"/>
          </w:rPr>
          <m:t>a</m:t>
        </m:r>
      </m:oMath>
      <w:r w:rsidR="006920CC" w:rsidRPr="00F04787">
        <w:rPr>
          <w:rFonts w:eastAsiaTheme="minorEastAsia"/>
          <w:lang w:val="en-US"/>
        </w:rPr>
        <w:t xml:space="preserve"> in the simulated </w:t>
      </w:r>
      <w:r w:rsidR="00E32CF9" w:rsidRPr="00F04787">
        <w:rPr>
          <w:rFonts w:eastAsiaTheme="minorEastAsia"/>
          <w:lang w:val="en-US"/>
        </w:rPr>
        <w:t>population</w:t>
      </w:r>
      <w:r w:rsidR="0027726B" w:rsidRPr="00F04787">
        <w:rPr>
          <w:rFonts w:eastAsiaTheme="minorEastAsia"/>
          <w:lang w:val="en-US"/>
        </w:rPr>
        <w:t>)</w:t>
      </w:r>
      <w:r w:rsidR="00A446F7" w:rsidRPr="00F04787">
        <w:rPr>
          <w:lang w:val="en-US"/>
        </w:rPr>
        <w:t>,</w:t>
      </w:r>
      <w:r w:rsidR="00ED7E05" w:rsidRPr="00F04787">
        <w:rPr>
          <w:lang w:val="en-US"/>
        </w:rPr>
        <w:t xml:space="preserve"> the number of susceptible individuals in age group </w:t>
      </w:r>
      <m:oMath>
        <m:r>
          <w:rPr>
            <w:rFonts w:ascii="Cambria Math" w:hAnsi="Cambria Math"/>
            <w:lang w:val="en-US"/>
          </w:rPr>
          <m:t>a</m:t>
        </m:r>
      </m:oMath>
      <w:r w:rsidR="00ED7E05" w:rsidRPr="00F04787">
        <w:rPr>
          <w:lang w:val="en-US"/>
        </w:rPr>
        <w:t xml:space="preserve"> who </w:t>
      </w:r>
      <w:r w:rsidR="008219CA" w:rsidRPr="00F04787">
        <w:rPr>
          <w:lang w:val="en-US"/>
        </w:rPr>
        <w:t>were administered</w:t>
      </w:r>
      <w:r w:rsidR="00ED7E05" w:rsidRPr="00F04787">
        <w:rPr>
          <w:lang w:val="en-US"/>
        </w:rPr>
        <w:t xml:space="preserve"> antivirals as post-exposure prophylaxis </w:t>
      </w:r>
      <m:oMath>
        <m:r>
          <w:rPr>
            <w:rFonts w:ascii="Cambria Math" w:hAnsi="Cambria Math"/>
            <w:lang w:val="en-US"/>
          </w:rPr>
          <m:t>ρ</m:t>
        </m:r>
      </m:oMath>
      <w:r w:rsidR="00ED7E05" w:rsidRPr="00F04787">
        <w:rPr>
          <w:rFonts w:eastAsiaTheme="minorEastAsia"/>
          <w:lang w:val="en-US"/>
        </w:rPr>
        <w:t xml:space="preserve"> days ago</w:t>
      </w:r>
      <w:r w:rsidR="00ED7E05" w:rsidRPr="00F04787">
        <w:rPr>
          <w:lang w:val="en-US"/>
        </w:rPr>
        <w:t xml:space="preserve"> (</w:t>
      </w:r>
      <m:oMath>
        <m:sSubSup>
          <m:sSubSupPr>
            <m:ctrlPr>
              <w:rPr>
                <w:rFonts w:ascii="Cambria Math" w:eastAsiaTheme="minorEastAsia" w:hAnsi="Cambria Math"/>
                <w:i/>
                <w:lang w:val="en-US" w:eastAsia="zh-CN"/>
              </w:rPr>
            </m:ctrlPr>
          </m:sSubSupPr>
          <m:e>
            <m:r>
              <w:rPr>
                <w:rFonts w:ascii="Cambria Math" w:hAnsi="Cambria Math"/>
                <w:lang w:val="en-US"/>
              </w:rPr>
              <m:t>S</m:t>
            </m:r>
          </m:e>
          <m:sub>
            <m:r>
              <w:rPr>
                <w:rFonts w:ascii="Cambria Math" w:hAnsi="Cambria Math"/>
                <w:lang w:val="en-US"/>
              </w:rPr>
              <m:t>ρ,a</m:t>
            </m:r>
          </m:sub>
          <m:sup>
            <m:r>
              <w:rPr>
                <w:rFonts w:ascii="Cambria Math" w:hAnsi="Cambria Math"/>
                <w:lang w:val="en-US"/>
              </w:rPr>
              <m:t>PEP</m:t>
            </m:r>
          </m:sup>
        </m:sSubSup>
      </m:oMath>
      <w:r w:rsidR="00ED7E05" w:rsidRPr="00F04787">
        <w:rPr>
          <w:rFonts w:eastAsiaTheme="minorEastAsia"/>
          <w:lang w:val="en-US" w:eastAsia="zh-CN"/>
        </w:rPr>
        <w:t>)</w:t>
      </w:r>
      <w:r w:rsidR="00ED7E05" w:rsidRPr="00F04787">
        <w:rPr>
          <w:lang w:val="en-US"/>
        </w:rPr>
        <w:t xml:space="preserve"> that reduces the likelihood of infection by </w:t>
      </w:r>
      <m:oMath>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PEP</m:t>
            </m:r>
          </m:sub>
        </m:sSub>
      </m:oMath>
      <w:r w:rsidR="00ED7E05" w:rsidRPr="00F04787">
        <w:rPr>
          <w:lang w:val="en-US"/>
        </w:rPr>
        <w:t xml:space="preserve"> over a time period of </w:t>
      </w:r>
      <m:oMath>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PEP</m:t>
            </m:r>
          </m:sub>
        </m:sSub>
      </m:oMath>
      <w:r w:rsidR="00ED7E05" w:rsidRPr="00F04787">
        <w:rPr>
          <w:rFonts w:eastAsiaTheme="minorEastAsia"/>
          <w:lang w:val="en-US"/>
        </w:rPr>
        <w:t xml:space="preserve"> days (i.e. </w:t>
      </w:r>
      <m:oMath>
        <m:r>
          <w:rPr>
            <w:rFonts w:ascii="Cambria Math" w:hAnsi="Cambria Math"/>
            <w:lang w:val="en-US"/>
          </w:rPr>
          <m:t>ρ&lt;</m:t>
        </m:r>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PEP</m:t>
            </m:r>
          </m:sub>
        </m:sSub>
      </m:oMath>
      <w:r w:rsidR="00ED7E05" w:rsidRPr="00F04787">
        <w:rPr>
          <w:rFonts w:eastAsiaTheme="minorEastAsia"/>
          <w:lang w:val="en-US"/>
        </w:rPr>
        <w:t>),</w:t>
      </w:r>
      <w:r w:rsidR="00A446F7" w:rsidRPr="00F04787">
        <w:rPr>
          <w:lang w:val="en-US"/>
        </w:rPr>
        <w:t xml:space="preserve"> the relative risk of infection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α→a</m:t>
            </m:r>
          </m:sub>
        </m:sSub>
      </m:oMath>
      <w:r w:rsidR="00A446F7" w:rsidRPr="00F04787">
        <w:rPr>
          <w:lang w:val="en-US"/>
        </w:rPr>
        <w:t xml:space="preserve"> of susceptible individuals in</w:t>
      </w:r>
      <w:r w:rsidR="00D42EE4" w:rsidRPr="00F04787">
        <w:rPr>
          <w:lang w:val="en-US"/>
        </w:rPr>
        <w:t xml:space="preserve"> age</w:t>
      </w:r>
      <w:r w:rsidR="00A446F7" w:rsidRPr="00F04787">
        <w:rPr>
          <w:lang w:val="en-US"/>
        </w:rPr>
        <w:t xml:space="preserve"> group </w:t>
      </w:r>
      <m:oMath>
        <m:r>
          <w:rPr>
            <w:rFonts w:ascii="Cambria Math" w:hAnsi="Cambria Math"/>
            <w:lang w:val="en-US"/>
          </w:rPr>
          <m:t>a</m:t>
        </m:r>
      </m:oMath>
      <w:r w:rsidR="00A446F7" w:rsidRPr="00F04787">
        <w:rPr>
          <w:lang w:val="en-US"/>
        </w:rPr>
        <w:t xml:space="preserve"> by infected individuals belonging to </w:t>
      </w:r>
      <w:r w:rsidR="008F086B" w:rsidRPr="00F04787">
        <w:rPr>
          <w:lang w:val="en-US"/>
        </w:rPr>
        <w:t xml:space="preserve">age </w:t>
      </w:r>
      <w:r w:rsidR="00A446F7" w:rsidRPr="00F04787">
        <w:rPr>
          <w:lang w:val="en-US"/>
        </w:rPr>
        <w:t xml:space="preserve">group </w:t>
      </w:r>
      <m:oMath>
        <m:r>
          <w:rPr>
            <w:rFonts w:ascii="Cambria Math" w:hAnsi="Cambria Math"/>
            <w:lang w:val="en-US"/>
          </w:rPr>
          <m:t>α</m:t>
        </m:r>
      </m:oMath>
      <w:r w:rsidR="00A446F7" w:rsidRPr="00F04787">
        <w:rPr>
          <w:lang w:val="en-US"/>
        </w:rPr>
        <w:t xml:space="preserve"> (assumed to be constant over time) and the impact of infectiousness profile </w:t>
      </w:r>
      <m:oMath>
        <m:r>
          <w:rPr>
            <w:rFonts w:ascii="Cambria Math" w:hAnsi="Cambria Math"/>
            <w:lang w:val="en-US"/>
          </w:rPr>
          <m:t>y</m:t>
        </m:r>
      </m:oMath>
      <w:r w:rsidR="00A446F7" w:rsidRPr="00F04787">
        <w:rPr>
          <w:lang w:val="en-US"/>
        </w:rPr>
        <w:t xml:space="preserve"> on </w:t>
      </w:r>
      <w:r w:rsidR="00F6282C">
        <w:rPr>
          <w:lang w:val="en-US"/>
        </w:rPr>
        <w:t>mean</w:t>
      </w:r>
      <w:r w:rsidR="00A446F7" w:rsidRPr="00F04787">
        <w:rPr>
          <w:lang w:val="en-US"/>
        </w:rPr>
        <w:t xml:space="preserve"> infectious period: </w:t>
      </w:r>
    </w:p>
    <w:p w14:paraId="13A5BD3C" w14:textId="77777777" w:rsidR="00861C80" w:rsidRPr="00F04787" w:rsidRDefault="00861C80" w:rsidP="00A446F7">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A446F7" w:rsidRPr="00F04787" w14:paraId="32E3F193" w14:textId="77777777" w:rsidTr="001B626F">
        <w:tc>
          <w:tcPr>
            <w:tcW w:w="8075" w:type="dxa"/>
            <w:vAlign w:val="center"/>
          </w:tcPr>
          <w:p w14:paraId="5AAD7C2F" w14:textId="1D50A429" w:rsidR="00A446F7" w:rsidRPr="00F04787" w:rsidRDefault="00071619" w:rsidP="001B626F">
            <w:pPr>
              <w:jc w:val="center"/>
              <w:rPr>
                <w:lang w:val="en-US"/>
              </w:rPr>
            </w:pPr>
            <m:oMathPara>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t,y,α→a</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t,a</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PEP</m:t>
                        </m:r>
                      </m:sub>
                    </m:sSub>
                    <m:nary>
                      <m:naryPr>
                        <m:chr m:val="∑"/>
                        <m:limLoc m:val="undOvr"/>
                        <m:ctrlPr>
                          <w:rPr>
                            <w:rFonts w:ascii="Cambria Math" w:hAnsi="Cambria Math"/>
                            <w:i/>
                            <w:lang w:val="en-US"/>
                          </w:rPr>
                        </m:ctrlPr>
                      </m:naryPr>
                      <m:sub>
                        <m:r>
                          <w:rPr>
                            <w:rFonts w:ascii="Cambria Math" w:hAnsi="Cambria Math"/>
                            <w:lang w:val="en-US"/>
                          </w:rPr>
                          <m:t>t-</m:t>
                        </m:r>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PEP</m:t>
                            </m:r>
                          </m:sub>
                        </m:sSub>
                      </m:sub>
                      <m:sup>
                        <m:r>
                          <w:rPr>
                            <w:rFonts w:ascii="Cambria Math" w:hAnsi="Cambria Math"/>
                            <w:lang w:val="en-US"/>
                          </w:rPr>
                          <m:t>t-1</m:t>
                        </m:r>
                      </m:sup>
                      <m:e>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t,a</m:t>
                            </m:r>
                          </m:sub>
                          <m:sup>
                            <m:r>
                              <w:rPr>
                                <w:rFonts w:ascii="Cambria Math" w:hAnsi="Cambria Math"/>
                                <w:lang w:val="en-US"/>
                              </w:rPr>
                              <m:t>PEP</m:t>
                            </m:r>
                          </m:sup>
                        </m:sSubSup>
                      </m:e>
                    </m:nary>
                  </m:num>
                  <m:den>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m:t>
                        </m:r>
                      </m:sub>
                    </m:sSub>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α→a</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y</m:t>
                        </m:r>
                      </m:sub>
                    </m:sSub>
                  </m:e>
                </m:d>
                <m:r>
                  <w:rPr>
                    <w:rFonts w:ascii="Cambria Math" w:hAnsi="Cambria Math"/>
                    <w:lang w:val="en-US"/>
                  </w:rPr>
                  <m:t>⋅R</m:t>
                </m:r>
              </m:oMath>
            </m:oMathPara>
          </w:p>
        </w:tc>
        <w:tc>
          <w:tcPr>
            <w:tcW w:w="935" w:type="dxa"/>
            <w:vAlign w:val="center"/>
          </w:tcPr>
          <w:p w14:paraId="4C820418" w14:textId="526CA005" w:rsidR="00A446F7" w:rsidRPr="00F04787" w:rsidRDefault="00A446F7" w:rsidP="001B626F">
            <w:pPr>
              <w:jc w:val="center"/>
              <w:rPr>
                <w:lang w:val="en-US"/>
              </w:rPr>
            </w:pPr>
            <m:oMathPara>
              <m:oMath>
                <m:r>
                  <w:rPr>
                    <w:rFonts w:ascii="Cambria Math" w:hAnsi="Cambria Math"/>
                    <w:lang w:val="en-US"/>
                  </w:rPr>
                  <m:t>(12)</m:t>
                </m:r>
              </m:oMath>
            </m:oMathPara>
          </w:p>
        </w:tc>
      </w:tr>
    </w:tbl>
    <w:p w14:paraId="76172A8A" w14:textId="77777777" w:rsidR="00861C80" w:rsidRPr="00F04787" w:rsidRDefault="00861C80" w:rsidP="00A446F7">
      <w:pPr>
        <w:rPr>
          <w:lang w:val="en-US"/>
        </w:rPr>
      </w:pPr>
    </w:p>
    <w:p w14:paraId="37949FE9" w14:textId="55FD5BE9" w:rsidR="00AB5F26" w:rsidRPr="00F04787" w:rsidRDefault="00A446F7" w:rsidP="00A446F7">
      <w:pPr>
        <w:rPr>
          <w:rFonts w:eastAsiaTheme="minorEastAsia"/>
          <w:lang w:val="en-US" w:eastAsia="zh-CN"/>
        </w:rPr>
      </w:pPr>
      <w:r w:rsidRPr="00F04787">
        <w:rPr>
          <w:lang w:val="en-US"/>
        </w:rPr>
        <w:t>where</w:t>
      </w:r>
      <w:r w:rsidR="002720DD" w:rsidRPr="00F04787">
        <w:rPr>
          <w:lang w:val="en-US"/>
        </w:rPr>
        <w:t xml:space="preserve"> </w:t>
      </w:r>
      <m:oMath>
        <m:r>
          <w:rPr>
            <w:rFonts w:ascii="Cambria Math" w:hAnsi="Cambria Math"/>
            <w:lang w:val="en-US"/>
          </w:rPr>
          <m:t>R</m:t>
        </m:r>
      </m:oMath>
      <w:r w:rsidR="002720DD" w:rsidRPr="00F04787">
        <w:rPr>
          <w:lang w:val="en-US"/>
        </w:rPr>
        <w:t xml:space="preserve"> is the basic reproduction number</w:t>
      </w:r>
      <w:r w:rsidR="00110B72" w:rsidRPr="00F04787">
        <w:rPr>
          <w:lang w:val="en-US"/>
        </w:rPr>
        <w:t xml:space="preserve"> of the simulated pandemic</w:t>
      </w:r>
      <w:r w:rsidR="00A26161" w:rsidRPr="00F04787">
        <w:rPr>
          <w:lang w:val="en-US"/>
        </w:rPr>
        <w:t xml:space="preserve"> scenario</w:t>
      </w:r>
      <w:r w:rsidR="002720DD" w:rsidRPr="00F04787">
        <w:rPr>
          <w:rFonts w:eastAsiaTheme="minorEastAsia"/>
          <w:lang w:val="en-US" w:eastAsia="zh-CN"/>
        </w:rPr>
        <w:t>.</w:t>
      </w:r>
      <w:r w:rsidR="00D339C7" w:rsidRPr="00F04787">
        <w:rPr>
          <w:rFonts w:eastAsiaTheme="minorEastAsia"/>
          <w:lang w:val="en-US" w:eastAsia="zh-CN"/>
        </w:rPr>
        <w:t xml:space="preserve"> </w:t>
      </w:r>
    </w:p>
    <w:p w14:paraId="0E7AAAAF" w14:textId="77777777" w:rsidR="00AB5F26" w:rsidRPr="00F04787" w:rsidRDefault="00AB5F26" w:rsidP="00A446F7">
      <w:pPr>
        <w:rPr>
          <w:lang w:val="en-US"/>
        </w:rPr>
      </w:pPr>
    </w:p>
    <w:p w14:paraId="6DB75A9C" w14:textId="79C57899" w:rsidR="00A446F7" w:rsidRPr="00F04787" w:rsidRDefault="00A446F7" w:rsidP="00A446F7">
      <w:pPr>
        <w:rPr>
          <w:lang w:val="en-US"/>
        </w:rPr>
      </w:pPr>
      <w:r w:rsidRPr="00F04787">
        <w:rPr>
          <w:lang w:val="en-US"/>
        </w:rPr>
        <w:t xml:space="preserve">Infected individuals with different infectiousness profile </w:t>
      </w:r>
      <m:oMath>
        <m:r>
          <w:rPr>
            <w:rFonts w:ascii="Cambria Math" w:hAnsi="Cambria Math"/>
            <w:lang w:val="en-US"/>
          </w:rPr>
          <m:t>y</m:t>
        </m:r>
      </m:oMath>
      <w:r w:rsidRPr="00F04787">
        <w:rPr>
          <w:lang w:val="en-US"/>
        </w:rPr>
        <w:t xml:space="preserve"> change their </w:t>
      </w:r>
      <w:r w:rsidR="00F6282C">
        <w:rPr>
          <w:lang w:val="en-US"/>
        </w:rPr>
        <w:t>mean</w:t>
      </w:r>
      <w:r w:rsidRPr="00F04787">
        <w:rPr>
          <w:lang w:val="en-US"/>
        </w:rPr>
        <w:t xml:space="preserve"> infectiousness by a factor </w:t>
      </w:r>
      <m:oMath>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y</m:t>
            </m:r>
          </m:sub>
        </m:sSub>
      </m:oMath>
      <w:r w:rsidRPr="00F04787">
        <w:rPr>
          <w:lang w:val="en-US"/>
        </w:rPr>
        <w:t xml:space="preserve"> given by:</w:t>
      </w:r>
    </w:p>
    <w:p w14:paraId="1D61D02B" w14:textId="77777777" w:rsidR="00861C80" w:rsidRPr="00F04787" w:rsidRDefault="00861C80" w:rsidP="00A446F7">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A446F7" w:rsidRPr="00F04787" w14:paraId="2DE2BDB0" w14:textId="77777777" w:rsidTr="001B626F">
        <w:tc>
          <w:tcPr>
            <w:tcW w:w="8075" w:type="dxa"/>
            <w:vAlign w:val="center"/>
          </w:tcPr>
          <w:p w14:paraId="2E1BF414" w14:textId="6EA47176" w:rsidR="00A446F7" w:rsidRPr="00F04787" w:rsidRDefault="00071619" w:rsidP="001B626F">
            <w:pPr>
              <w:jc w:val="center"/>
              <w:rPr>
                <w:lang w:val="en-US"/>
              </w:rPr>
            </w:pPr>
            <m:oMathPara>
              <m:oMath>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y</m:t>
                    </m:r>
                  </m:sub>
                </m:sSub>
                <m:r>
                  <w:rPr>
                    <w:rFonts w:ascii="Cambria Math" w:hAnsi="Cambria Math"/>
                    <w:lang w:val="en-US"/>
                  </w:rPr>
                  <m:t>=</m:t>
                </m:r>
                <m:f>
                  <m:fPr>
                    <m:ctrlPr>
                      <w:rPr>
                        <w:rFonts w:ascii="Cambria Math" w:hAnsi="Cambria Math"/>
                        <w:i/>
                        <w:lang w:val="en-US"/>
                      </w:rPr>
                    </m:ctrlPr>
                  </m:fPr>
                  <m:num>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d>
                          <m:dPr>
                            <m:ctrlPr>
                              <w:rPr>
                                <w:rFonts w:ascii="Cambria Math" w:hAnsi="Cambria Math"/>
                                <w:i/>
                                <w:lang w:val="en-US"/>
                              </w:rPr>
                            </m:ctrlPr>
                          </m:dPr>
                          <m:e>
                            <m:r>
                              <w:rPr>
                                <w:rFonts w:ascii="Cambria Math" w:hAnsi="Cambria Math"/>
                                <w:lang w:val="en-US"/>
                              </w:rPr>
                              <m:t>τ</m:t>
                            </m:r>
                          </m:e>
                        </m:d>
                        <m:r>
                          <w:rPr>
                            <w:rFonts w:ascii="Cambria Math" w:hAnsi="Cambria Math"/>
                            <w:lang w:val="en-US"/>
                          </w:rPr>
                          <m:t>dτ</m:t>
                        </m:r>
                      </m:e>
                    </m:nary>
                  </m:num>
                  <m:den>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r>
                              <m:rPr>
                                <m:nor/>
                              </m:rPr>
                              <w:rPr>
                                <w:rFonts w:ascii="Cambria Math" w:hAnsi="Cambria Math"/>
                                <w:lang w:val="en-US"/>
                              </w:rPr>
                              <m:t>untreated</m:t>
                            </m:r>
                          </m:sub>
                        </m:sSub>
                        <m:d>
                          <m:dPr>
                            <m:ctrlPr>
                              <w:rPr>
                                <w:rFonts w:ascii="Cambria Math" w:hAnsi="Cambria Math"/>
                                <w:i/>
                                <w:lang w:val="en-US"/>
                              </w:rPr>
                            </m:ctrlPr>
                          </m:dPr>
                          <m:e>
                            <m:r>
                              <w:rPr>
                                <w:rFonts w:ascii="Cambria Math" w:hAnsi="Cambria Math"/>
                                <w:lang w:val="en-US"/>
                              </w:rPr>
                              <m:t>τ</m:t>
                            </m:r>
                          </m:e>
                        </m:d>
                        <m:r>
                          <w:rPr>
                            <w:rFonts w:ascii="Cambria Math" w:hAnsi="Cambria Math"/>
                            <w:lang w:val="en-US"/>
                          </w:rPr>
                          <m:t>dτ</m:t>
                        </m:r>
                      </m:e>
                    </m:nary>
                  </m:den>
                </m:f>
                <m:r>
                  <w:rPr>
                    <w:rFonts w:ascii="Cambria Math" w:hAnsi="Cambria Math"/>
                    <w:lang w:val="en-US"/>
                  </w:rPr>
                  <m:t>-1</m:t>
                </m:r>
              </m:oMath>
            </m:oMathPara>
          </w:p>
        </w:tc>
        <w:tc>
          <w:tcPr>
            <w:tcW w:w="935" w:type="dxa"/>
            <w:vAlign w:val="center"/>
          </w:tcPr>
          <w:p w14:paraId="016F8234" w14:textId="3D027608" w:rsidR="00A446F7" w:rsidRPr="00F04787" w:rsidRDefault="00A446F7" w:rsidP="001B626F">
            <w:pPr>
              <w:jc w:val="center"/>
              <w:rPr>
                <w:lang w:val="en-US"/>
              </w:rPr>
            </w:pPr>
            <m:oMathPara>
              <m:oMath>
                <m:r>
                  <w:rPr>
                    <w:rFonts w:ascii="Cambria Math" w:hAnsi="Cambria Math"/>
                    <w:lang w:val="en-US"/>
                  </w:rPr>
                  <m:t>(13)</m:t>
                </m:r>
              </m:oMath>
            </m:oMathPara>
          </w:p>
        </w:tc>
      </w:tr>
    </w:tbl>
    <w:p w14:paraId="42CDBB83" w14:textId="77777777" w:rsidR="00861C80" w:rsidRPr="00F04787" w:rsidRDefault="00861C80" w:rsidP="00A446F7">
      <w:pPr>
        <w:rPr>
          <w:lang w:val="en-US"/>
        </w:rPr>
      </w:pPr>
    </w:p>
    <w:p w14:paraId="6E93D6A3" w14:textId="11123712" w:rsidR="00A446F7" w:rsidRPr="00F04787" w:rsidRDefault="00A446F7" w:rsidP="00A446F7">
      <w:pPr>
        <w:rPr>
          <w:lang w:val="en-US"/>
        </w:rPr>
      </w:pPr>
      <w:r w:rsidRPr="00F04787">
        <w:rPr>
          <w:lang w:val="en-US"/>
        </w:rPr>
        <w:t xml:space="preserve">where </w:t>
      </w:r>
      <m:oMath>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oMath>
      <w:r w:rsidRPr="00F04787">
        <w:rPr>
          <w:lang w:val="en-US"/>
        </w:rPr>
        <w:t xml:space="preserve"> is the unnormal</w:t>
      </w:r>
      <w:r w:rsidR="00665561">
        <w:rPr>
          <w:lang w:val="en-US"/>
        </w:rPr>
        <w:t>ise</w:t>
      </w:r>
      <w:r w:rsidRPr="00F04787">
        <w:rPr>
          <w:lang w:val="en-US"/>
        </w:rPr>
        <w:t xml:space="preserve">d infectiousness of profile </w:t>
      </w:r>
      <m:oMath>
        <m:r>
          <w:rPr>
            <w:rFonts w:ascii="Cambria Math" w:hAnsi="Cambria Math"/>
            <w:lang w:val="en-US"/>
          </w:rPr>
          <m:t>y</m:t>
        </m:r>
      </m:oMath>
      <w:r w:rsidRPr="00F04787">
        <w:rPr>
          <w:lang w:val="en-US"/>
        </w:rPr>
        <w:t xml:space="preserve"> that was computed by either one of the viral load-to-infectiousness models (i.e. equations (7) – (9)). </w:t>
      </w:r>
    </w:p>
    <w:p w14:paraId="20F42FF7" w14:textId="77777777" w:rsidR="00861C80" w:rsidRPr="00F04787" w:rsidRDefault="00861C80" w:rsidP="00A446F7">
      <w:pPr>
        <w:rPr>
          <w:lang w:val="en-US"/>
        </w:rPr>
      </w:pPr>
    </w:p>
    <w:p w14:paraId="389E1E6B" w14:textId="1CFF1920" w:rsidR="00A446F7" w:rsidRPr="00F04787" w:rsidRDefault="00A446F7" w:rsidP="00A446F7">
      <w:pPr>
        <w:rPr>
          <w:lang w:val="en-US"/>
        </w:rPr>
      </w:pPr>
      <m:oMath>
        <m:r>
          <m:rPr>
            <m:sty m:val="b"/>
          </m:rPr>
          <w:rPr>
            <w:rFonts w:ascii="Cambria Math" w:hAnsi="Cambria Math"/>
            <w:lang w:val="en-US"/>
          </w:rPr>
          <m:t>Μ</m:t>
        </m:r>
      </m:oMath>
      <w:r w:rsidRPr="00F04787">
        <w:rPr>
          <w:lang w:val="en-US"/>
        </w:rPr>
        <w:t xml:space="preserve"> is the normal</w:t>
      </w:r>
      <w:r w:rsidR="00665561">
        <w:rPr>
          <w:lang w:val="en-US"/>
        </w:rPr>
        <w:t>ise</w:t>
      </w:r>
      <w:r w:rsidRPr="00F04787">
        <w:rPr>
          <w:lang w:val="en-US"/>
        </w:rPr>
        <w:t xml:space="preserve">d relative risk matrix given by: </w:t>
      </w:r>
    </w:p>
    <w:p w14:paraId="1993ED0F" w14:textId="77777777" w:rsidR="00861C80" w:rsidRPr="00F04787" w:rsidRDefault="00861C80" w:rsidP="00A446F7">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A446F7" w:rsidRPr="00F04787" w14:paraId="0B4B8675" w14:textId="77777777" w:rsidTr="001B626F">
        <w:tc>
          <w:tcPr>
            <w:tcW w:w="8075" w:type="dxa"/>
            <w:vAlign w:val="center"/>
          </w:tcPr>
          <w:p w14:paraId="2501C005" w14:textId="77777777" w:rsidR="00A446F7" w:rsidRPr="00F04787" w:rsidRDefault="00A446F7" w:rsidP="001B626F">
            <w:pPr>
              <w:jc w:val="center"/>
              <w:rPr>
                <w:lang w:val="en-US"/>
              </w:rPr>
            </w:pPr>
            <m:oMathPara>
              <m:oMath>
                <m:r>
                  <m:rPr>
                    <m:sty m:val="b"/>
                  </m:rPr>
                  <w:rPr>
                    <w:rFonts w:ascii="Cambria Math" w:hAnsi="Cambria Math"/>
                    <w:lang w:val="en-US"/>
                  </w:rPr>
                  <m:t>Μ</m:t>
                </m:r>
                <m:r>
                  <w:rPr>
                    <w:rFonts w:ascii="Cambria Math" w:hAnsi="Cambria Math"/>
                    <w:lang w:val="en-US"/>
                  </w:rPr>
                  <m:t>=</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1→1</m:t>
                              </m:r>
                            </m:sub>
                          </m:sSub>
                        </m:e>
                        <m:e>
                          <m:r>
                            <w:rPr>
                              <w:rFonts w:ascii="Cambria Math" w:hAnsi="Cambria Math"/>
                              <w:lang w:val="en-US"/>
                            </w:rPr>
                            <m:t>⋯</m:t>
                          </m:r>
                        </m:e>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α→1</m:t>
                              </m:r>
                            </m:sub>
                          </m:sSub>
                        </m:e>
                      </m:mr>
                      <m:mr>
                        <m:e>
                          <m:r>
                            <w:rPr>
                              <w:rFonts w:ascii="Cambria Math" w:hAnsi="Cambria Math"/>
                              <w:lang w:val="en-US"/>
                            </w:rPr>
                            <m:t>⋮</m:t>
                          </m:r>
                        </m:e>
                        <m:e>
                          <m:r>
                            <w:rPr>
                              <w:rFonts w:ascii="Cambria Math" w:hAnsi="Cambria Math"/>
                              <w:lang w:val="en-US"/>
                            </w:rPr>
                            <m:t>⋱</m:t>
                          </m:r>
                        </m:e>
                        <m:e>
                          <m:r>
                            <w:rPr>
                              <w:rFonts w:ascii="Cambria Math" w:hAnsi="Cambria Math"/>
                              <w:lang w:val="en-US"/>
                            </w:rPr>
                            <m:t>⋮</m:t>
                          </m:r>
                        </m:e>
                      </m:mr>
                      <m:mr>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1→a</m:t>
                              </m:r>
                            </m:sub>
                          </m:sSub>
                        </m:e>
                        <m:e>
                          <m:r>
                            <w:rPr>
                              <w:rFonts w:ascii="Cambria Math" w:hAnsi="Cambria Math"/>
                              <w:lang w:val="en-US"/>
                            </w:rPr>
                            <m:t>⋯</m:t>
                          </m:r>
                        </m:e>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α→a</m:t>
                              </m:r>
                            </m:sub>
                          </m:sSub>
                        </m:e>
                      </m:mr>
                    </m:m>
                  </m:e>
                </m:d>
                <m:r>
                  <w:rPr>
                    <w:rFonts w:ascii="Cambria Math" w:hAnsi="Cambria Math"/>
                    <w:lang w:val="en-US"/>
                  </w:rPr>
                  <m:t>=</m:t>
                </m:r>
                <m:f>
                  <m:fPr>
                    <m:ctrlPr>
                      <w:rPr>
                        <w:rFonts w:ascii="Cambria Math" w:hAnsi="Cambria Math"/>
                        <w:i/>
                        <w:lang w:val="en-US"/>
                      </w:rPr>
                    </m:ctrlPr>
                  </m:fPr>
                  <m:num>
                    <m:r>
                      <m:rPr>
                        <m:sty m:val="b"/>
                      </m:rPr>
                      <w:rPr>
                        <w:rFonts w:ascii="Cambria Math" w:hAnsi="Cambria Math"/>
                        <w:lang w:val="en-US"/>
                      </w:rPr>
                      <m:t>C</m:t>
                    </m:r>
                    <m:sSup>
                      <m:sSupPr>
                        <m:ctrlPr>
                          <w:rPr>
                            <w:rFonts w:ascii="Cambria Math" w:hAnsi="Cambria Math"/>
                            <w:i/>
                            <w:lang w:val="en-US"/>
                          </w:rPr>
                        </m:ctrlPr>
                      </m:sSupPr>
                      <m:e>
                        <m:r>
                          <m:rPr>
                            <m:sty m:val="bi"/>
                          </m:rPr>
                          <w:rPr>
                            <w:rFonts w:ascii="Cambria Math" w:hAnsi="Cambria Math"/>
                            <w:lang w:val="en-US"/>
                          </w:rPr>
                          <m:t>η</m:t>
                        </m:r>
                      </m:e>
                      <m:sup>
                        <m:r>
                          <w:rPr>
                            <w:rFonts w:ascii="Cambria Math" w:hAnsi="Cambria Math"/>
                            <w:lang w:val="en-US"/>
                          </w:rPr>
                          <m:t>T</m:t>
                        </m:r>
                      </m:sup>
                    </m:sSup>
                  </m:num>
                  <m:den>
                    <m:r>
                      <w:rPr>
                        <w:rFonts w:ascii="Cambria Math" w:hAnsi="Cambria Math"/>
                        <w:lang w:val="en-US"/>
                      </w:rPr>
                      <m:t>ρ</m:t>
                    </m:r>
                    <m:d>
                      <m:dPr>
                        <m:ctrlPr>
                          <w:rPr>
                            <w:rFonts w:ascii="Cambria Math" w:hAnsi="Cambria Math"/>
                            <w:i/>
                            <w:lang w:val="en-US"/>
                          </w:rPr>
                        </m:ctrlPr>
                      </m:dPr>
                      <m:e>
                        <m:r>
                          <m:rPr>
                            <m:sty m:val="b"/>
                          </m:rPr>
                          <w:rPr>
                            <w:rFonts w:ascii="Cambria Math" w:hAnsi="Cambria Math"/>
                            <w:lang w:val="en-US"/>
                          </w:rPr>
                          <m:t>C</m:t>
                        </m:r>
                        <m:sSup>
                          <m:sSupPr>
                            <m:ctrlPr>
                              <w:rPr>
                                <w:rFonts w:ascii="Cambria Math" w:hAnsi="Cambria Math"/>
                                <w:i/>
                                <w:lang w:val="en-US"/>
                              </w:rPr>
                            </m:ctrlPr>
                          </m:sSupPr>
                          <m:e>
                            <m:r>
                              <m:rPr>
                                <m:sty m:val="bi"/>
                              </m:rPr>
                              <w:rPr>
                                <w:rFonts w:ascii="Cambria Math" w:hAnsi="Cambria Math"/>
                                <w:lang w:val="en-US"/>
                              </w:rPr>
                              <m:t>η</m:t>
                            </m:r>
                          </m:e>
                          <m:sup>
                            <m:r>
                              <w:rPr>
                                <w:rFonts w:ascii="Cambria Math" w:hAnsi="Cambria Math"/>
                                <w:lang w:val="en-US"/>
                              </w:rPr>
                              <m:t>T</m:t>
                            </m:r>
                          </m:sup>
                        </m:sSup>
                      </m:e>
                    </m:d>
                  </m:den>
                </m:f>
              </m:oMath>
            </m:oMathPara>
          </w:p>
        </w:tc>
        <w:tc>
          <w:tcPr>
            <w:tcW w:w="935" w:type="dxa"/>
            <w:vAlign w:val="center"/>
          </w:tcPr>
          <w:p w14:paraId="4F304ECA" w14:textId="46A5783B" w:rsidR="00A446F7" w:rsidRPr="00F04787" w:rsidRDefault="00A446F7" w:rsidP="001B626F">
            <w:pPr>
              <w:jc w:val="center"/>
              <w:rPr>
                <w:lang w:val="en-US"/>
              </w:rPr>
            </w:pPr>
            <m:oMathPara>
              <m:oMath>
                <m:r>
                  <w:rPr>
                    <w:rFonts w:ascii="Cambria Math" w:hAnsi="Cambria Math"/>
                    <w:lang w:val="en-US"/>
                  </w:rPr>
                  <m:t>(14)</m:t>
                </m:r>
              </m:oMath>
            </m:oMathPara>
          </w:p>
        </w:tc>
      </w:tr>
    </w:tbl>
    <w:p w14:paraId="4900EE3B" w14:textId="77777777" w:rsidR="00861C80" w:rsidRPr="00F04787" w:rsidRDefault="00861C80" w:rsidP="00A446F7">
      <w:pPr>
        <w:rPr>
          <w:lang w:val="en-US"/>
        </w:rPr>
      </w:pPr>
    </w:p>
    <w:p w14:paraId="6B71FFA2" w14:textId="0C062D40" w:rsidR="00A446F7" w:rsidRPr="00F04787" w:rsidRDefault="00A446F7" w:rsidP="00A446F7">
      <w:pPr>
        <w:rPr>
          <w:lang w:val="en-US"/>
        </w:rPr>
      </w:pPr>
      <w:r w:rsidRPr="00F04787">
        <w:rPr>
          <w:lang w:val="en-US"/>
        </w:rPr>
        <w:t xml:space="preserve">where </w:t>
      </w:r>
      <m:oMath>
        <m:r>
          <m:rPr>
            <m:sty m:val="b"/>
          </m:rPr>
          <w:rPr>
            <w:rFonts w:ascii="Cambria Math" w:hAnsi="Cambria Math"/>
            <w:lang w:val="en-US"/>
          </w:rPr>
          <m:t>C</m:t>
        </m:r>
        <m:r>
          <m:rPr>
            <m:sty m:val="p"/>
          </m:rPr>
          <w:rPr>
            <w:rFonts w:ascii="Cambria Math" w:hAnsi="Cambria Math"/>
            <w:lang w:val="en-US"/>
          </w:rPr>
          <m:t>=</m:t>
        </m:r>
        <m:d>
          <m:dPr>
            <m:begChr m:val="{"/>
            <m:endChr m:val="}"/>
            <m:ctrlPr>
              <w:rPr>
                <w:rFonts w:ascii="Cambria Math" w:hAnsi="Cambria Math"/>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α→a</m:t>
                </m:r>
              </m:sub>
            </m:sSub>
          </m:e>
        </m:d>
      </m:oMath>
      <w:r w:rsidRPr="00F04787">
        <w:rPr>
          <w:lang w:val="en-US"/>
        </w:rPr>
        <w:t xml:space="preserve"> is the </w:t>
      </w:r>
      <w:r w:rsidR="00F6282C">
        <w:rPr>
          <w:lang w:val="en-US"/>
        </w:rPr>
        <w:t>mean</w:t>
      </w:r>
      <w:r w:rsidRPr="00F04787">
        <w:rPr>
          <w:lang w:val="en-US"/>
        </w:rPr>
        <w:t xml:space="preserve"> contact rate matrix between </w:t>
      </w:r>
      <w:r w:rsidR="007E428E" w:rsidRPr="00F04787">
        <w:rPr>
          <w:lang w:val="en-US"/>
        </w:rPr>
        <w:t>individuals</w:t>
      </w:r>
      <w:r w:rsidRPr="00F04787">
        <w:rPr>
          <w:lang w:val="en-US"/>
        </w:rPr>
        <w:t xml:space="preserve"> in</w:t>
      </w:r>
      <w:r w:rsidR="003C03FE" w:rsidRPr="00F04787">
        <w:rPr>
          <w:lang w:val="en-US"/>
        </w:rPr>
        <w:t xml:space="preserve"> age</w:t>
      </w:r>
      <w:r w:rsidRPr="00F04787">
        <w:rPr>
          <w:lang w:val="en-US"/>
        </w:rPr>
        <w:t xml:space="preserve"> group </w:t>
      </w:r>
      <m:oMath>
        <m:r>
          <w:rPr>
            <w:rFonts w:ascii="Cambria Math" w:hAnsi="Cambria Math"/>
            <w:lang w:val="en-US"/>
          </w:rPr>
          <m:t>α</m:t>
        </m:r>
      </m:oMath>
      <w:r w:rsidRPr="00F04787">
        <w:rPr>
          <w:lang w:val="en-US"/>
        </w:rPr>
        <w:t xml:space="preserve"> and individuals in</w:t>
      </w:r>
      <w:r w:rsidR="003C03FE" w:rsidRPr="00F04787">
        <w:rPr>
          <w:lang w:val="en-US"/>
        </w:rPr>
        <w:t xml:space="preserve"> age</w:t>
      </w:r>
      <w:r w:rsidRPr="00F04787">
        <w:rPr>
          <w:lang w:val="en-US"/>
        </w:rPr>
        <w:t xml:space="preserve"> group </w:t>
      </w:r>
      <m:oMath>
        <m:r>
          <w:rPr>
            <w:rFonts w:ascii="Cambria Math" w:hAnsi="Cambria Math"/>
            <w:lang w:val="en-US"/>
          </w:rPr>
          <m:t>a</m:t>
        </m:r>
      </m:oMath>
      <w:r w:rsidRPr="00F04787">
        <w:rPr>
          <w:lang w:val="en-US"/>
        </w:rPr>
        <w:t xml:space="preserve">, </w:t>
      </w:r>
      <m:oMath>
        <m:r>
          <m:rPr>
            <m:sty m:val="bi"/>
          </m:rPr>
          <w:rPr>
            <w:rFonts w:ascii="Cambria Math" w:hAnsi="Cambria Math"/>
            <w:lang w:val="en-US"/>
          </w:rPr>
          <m:t>η</m:t>
        </m:r>
        <m: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η</m:t>
                </m:r>
              </m:e>
              <m:sub>
                <m:r>
                  <w:rPr>
                    <w:rFonts w:ascii="Cambria Math" w:hAnsi="Cambria Math"/>
                    <w:lang w:val="en-US"/>
                  </w:rPr>
                  <m:t>a</m:t>
                </m:r>
              </m:sub>
            </m:sSub>
          </m:e>
        </m:d>
      </m:oMath>
      <w:r w:rsidRPr="00F04787">
        <w:rPr>
          <w:lang w:val="en-US"/>
        </w:rPr>
        <w:t xml:space="preserve"> is the relative susceptibility of individuals in</w:t>
      </w:r>
      <w:r w:rsidR="003C03FE" w:rsidRPr="00F04787">
        <w:rPr>
          <w:lang w:val="en-US"/>
        </w:rPr>
        <w:t xml:space="preserve"> age</w:t>
      </w:r>
      <w:r w:rsidRPr="00F04787">
        <w:rPr>
          <w:lang w:val="en-US"/>
        </w:rPr>
        <w:t xml:space="preserve"> group </w:t>
      </w:r>
      <m:oMath>
        <m:r>
          <w:rPr>
            <w:rFonts w:ascii="Cambria Math" w:hAnsi="Cambria Math"/>
            <w:lang w:val="en-US"/>
          </w:rPr>
          <m:t>a</m:t>
        </m:r>
      </m:oMath>
      <w:r w:rsidRPr="00F04787">
        <w:rPr>
          <w:lang w:val="en-US"/>
        </w:rPr>
        <w:t xml:space="preserve">, with the most susceptible group having a value of 1 and </w:t>
      </w:r>
      <m:oMath>
        <m:r>
          <w:rPr>
            <w:rFonts w:ascii="Cambria Math" w:hAnsi="Cambria Math"/>
            <w:lang w:val="en-US"/>
          </w:rPr>
          <m:t>ρ</m:t>
        </m:r>
        <m:d>
          <m:dPr>
            <m:ctrlPr>
              <w:rPr>
                <w:rFonts w:ascii="Cambria Math" w:hAnsi="Cambria Math"/>
                <w:i/>
                <w:lang w:val="en-US"/>
              </w:rPr>
            </m:ctrlPr>
          </m:dPr>
          <m:e>
            <m:r>
              <m:rPr>
                <m:sty m:val="b"/>
              </m:rPr>
              <w:rPr>
                <w:rFonts w:ascii="Cambria Math" w:hAnsi="Cambria Math"/>
                <w:lang w:val="en-US"/>
              </w:rPr>
              <m:t>C</m:t>
            </m:r>
            <m:sSup>
              <m:sSupPr>
                <m:ctrlPr>
                  <w:rPr>
                    <w:rFonts w:ascii="Cambria Math" w:hAnsi="Cambria Math"/>
                    <w:i/>
                    <w:lang w:val="en-US"/>
                  </w:rPr>
                </m:ctrlPr>
              </m:sSupPr>
              <m:e>
                <m:r>
                  <m:rPr>
                    <m:sty m:val="bi"/>
                  </m:rPr>
                  <w:rPr>
                    <w:rFonts w:ascii="Cambria Math" w:hAnsi="Cambria Math"/>
                    <w:lang w:val="en-US"/>
                  </w:rPr>
                  <m:t>η</m:t>
                </m:r>
              </m:e>
              <m:sup>
                <m:r>
                  <w:rPr>
                    <w:rFonts w:ascii="Cambria Math" w:hAnsi="Cambria Math"/>
                    <w:lang w:val="en-US"/>
                  </w:rPr>
                  <m:t>T</m:t>
                </m:r>
              </m:sup>
            </m:sSup>
          </m:e>
        </m:d>
      </m:oMath>
      <w:r w:rsidRPr="00F04787">
        <w:rPr>
          <w:lang w:val="en-US"/>
        </w:rPr>
        <w:t xml:space="preserve"> is the spectral radius of </w:t>
      </w:r>
      <m:oMath>
        <m:r>
          <m:rPr>
            <m:sty m:val="b"/>
          </m:rPr>
          <w:rPr>
            <w:rFonts w:ascii="Cambria Math" w:hAnsi="Cambria Math"/>
            <w:lang w:val="en-US"/>
          </w:rPr>
          <m:t>C</m:t>
        </m:r>
        <m:sSup>
          <m:sSupPr>
            <m:ctrlPr>
              <w:rPr>
                <w:rFonts w:ascii="Cambria Math" w:hAnsi="Cambria Math"/>
                <w:i/>
                <w:lang w:val="en-US"/>
              </w:rPr>
            </m:ctrlPr>
          </m:sSupPr>
          <m:e>
            <m:r>
              <m:rPr>
                <m:sty m:val="bi"/>
              </m:rPr>
              <w:rPr>
                <w:rFonts w:ascii="Cambria Math" w:hAnsi="Cambria Math"/>
                <w:lang w:val="en-US"/>
              </w:rPr>
              <m:t>η</m:t>
            </m:r>
          </m:e>
          <m:sup>
            <m:r>
              <w:rPr>
                <w:rFonts w:ascii="Cambria Math" w:hAnsi="Cambria Math"/>
                <w:lang w:val="en-US"/>
              </w:rPr>
              <m:t>T</m:t>
            </m:r>
          </m:sup>
        </m:sSup>
      </m:oMath>
      <w:r w:rsidRPr="00F04787">
        <w:rPr>
          <w:lang w:val="en-US"/>
        </w:rPr>
        <w:t xml:space="preserve">. </w:t>
      </w:r>
      <w:r w:rsidR="00E62A95" w:rsidRPr="00F04787">
        <w:rPr>
          <w:lang w:val="en-US"/>
        </w:rPr>
        <w:t xml:space="preserve">We used country-specific estimates of </w:t>
      </w:r>
      <m:oMath>
        <m:r>
          <m:rPr>
            <m:sty m:val="b"/>
          </m:rPr>
          <w:rPr>
            <w:rFonts w:ascii="Cambria Math" w:hAnsi="Cambria Math"/>
            <w:lang w:val="en-US"/>
          </w:rPr>
          <m:t>C</m:t>
        </m:r>
      </m:oMath>
      <w:r w:rsidR="00E62A95" w:rsidRPr="00F04787">
        <w:rPr>
          <w:rFonts w:eastAsiaTheme="minorEastAsia"/>
          <w:lang w:val="en-US"/>
        </w:rPr>
        <w:t xml:space="preserve"> from Prem et al.</w:t>
      </w:r>
      <w:r w:rsidR="00E62A95" w:rsidRPr="00F04787">
        <w:rPr>
          <w:rFonts w:eastAsiaTheme="minorEastAsia"/>
          <w:lang w:val="en-US"/>
        </w:rPr>
        <w:fldChar w:fldCharType="begin"/>
      </w:r>
      <w:r w:rsidR="000B5579">
        <w:rPr>
          <w:rFonts w:eastAsiaTheme="minorEastAsia"/>
          <w:lang w:val="en-US"/>
        </w:rPr>
        <w:instrText xml:space="preserve"> ADDIN ZOTERO_ITEM CSL_CITATION {"citationID":"hP58NNIg","properties":{"formattedCitation":"\\super 14,15\\nosupersub{}","plainCitation":"14,15","noteIndex":0},"citationItems":[{"id":102,"uris":["http://zotero.org/users/local/0pdZPGmr/items/QTYWCC5P","http://zotero.org/users/9596130/items/QTYWCC5P"],"itemData":{"id":102,"type":"article-journal","abstract":"Author summary The risk of infectious disease transmission varies in different settings, for instance at home, at work or in the community, as a result of the different social structures and mixing patterns in those locations. These social structures vary across countries in different stages of development and with different demographics. Social contact patterns have been measured in a small number of countries, but in large swathes of the world, contact patterns are unmeasured, which makes it challenging to build mathematical or computer models of disease spread and control. In this work, we developed a modelling framework to combine social contact data from the past studies of contact patterns within eight countries in the EU with data from multiple data sources including the Demographic Household Surveys, World Bank and UN Statistics Division, to provide validated approximations to age-and-location-specific contact rates for 152 countries covering 95.9% of the world’s population.","container-title":"PLOS Computational Biology","DOI":"10.1371/journal.pcbi.1005697","issue":"9","journalAbbreviation":"PLOS Computational Biology","note":"publisher: Public Library of Science","page":"e1005697","title":"Projecting social contact matrices in 152 countries using contact surveys and demographic data","volume":"13","author":[{"family":"Prem","given":"Kiesha"},{"family":"Cook","given":"Alex R."},{"family":"Jit","given":"Mark"}],"issued":{"date-parts":[["2017",9,12]]}}},{"id":41,"uris":["http://zotero.org/users/local/0pdZPGmr/items/Y9EYKFFU","http://zotero.org/users/9596130/items/Y9EYKFFU"],"itemData":{"id":41,"type":"article-journal","abstract":"Author summary The risk of contracting a directly transmitted infectious disease such as the Coronavirus Disease 2019 (COVID-19) depends on who interacts with whom. Such person-to-person interactions vary by age and locations—e.g., at home, at work, at school, or in the community—due to the different social structures. These social structures, and thus contact patterns, vary across and within countries. Although social contact patterns can be measured using contact surveys, the majority of countries around the world, particularly low- and middle-income countries, lack nationally representative contact surveys. A simple way to present contact data is to use matrices where the elements represent the rate of contact between subgroups such as age groups represented by the columns and rows. In 2017, we generated age- and location-specific synthetic contact matrices for 152 geographical regions by adapting contact pattern data from eight European countries using country-specific data on household size, school and workplace composition. We have now updated these matrices with the most recent data (Demographic Household Surveys, World Bank, UN Population Division) extending the coverage to 177 geographical locations, covering 97.2% of the world’s population. We also quantified contact patterns in rural and urban settings. When compared to out-of-sample empirically-measured contact patterns, we found that the synthetic matrices reproduce the main features of these contact patterns.","container-title":"PLOS Computational Biology","DOI":"10.1371/journal.pcbi.1009098","issue":"7","journalAbbreviation":"PLOS Computational Biology","note":"publisher: Public Library of Science","page":"e1009098","title":"Projecting contact matrices in 177 geographical regions: An update and comparison with empirical data for the COVID-19 era","volume":"17","author":[{"family":"Prem","given":"Kiesha"},{"family":"Zandvoort","given":"Kevin","dropping-particle":"van"},{"family":"Klepac","given":"Petra"},{"family":"Eggo","given":"Rosalind M."},{"family":"Davies","given":"Nicholas G."},{"literal":"Centre for the Mathematical Modelling of Infectious Diseases COVID-19 Working Group"},{"family":"Cook","given":"Alex R."},{"family":"Jit","given":"Mark"}],"issued":{"date-parts":[["2021",7,26]]}}}],"schema":"https://github.com/citation-style-language/schema/raw/master/csl-citation.json"} </w:instrText>
      </w:r>
      <w:r w:rsidR="00E62A95" w:rsidRPr="00F04787">
        <w:rPr>
          <w:rFonts w:eastAsiaTheme="minorEastAsia"/>
          <w:lang w:val="en-US"/>
        </w:rPr>
        <w:fldChar w:fldCharType="separate"/>
      </w:r>
      <w:r w:rsidR="000B5579" w:rsidRPr="000B5579">
        <w:rPr>
          <w:vertAlign w:val="superscript"/>
          <w:lang w:val="en-US"/>
        </w:rPr>
        <w:t>14,15</w:t>
      </w:r>
      <w:r w:rsidR="00E62A95" w:rsidRPr="00F04787">
        <w:rPr>
          <w:rFonts w:eastAsiaTheme="minorEastAsia"/>
          <w:lang w:val="en-US"/>
        </w:rPr>
        <w:fldChar w:fldCharType="end"/>
      </w:r>
      <w:r w:rsidR="00E62A95" w:rsidRPr="00F04787">
        <w:rPr>
          <w:rFonts w:eastAsiaTheme="minorEastAsia"/>
          <w:lang w:val="en-US"/>
        </w:rPr>
        <w:t xml:space="preserve"> and </w:t>
      </w:r>
      <w:r w:rsidR="00C92590" w:rsidRPr="00F04787">
        <w:rPr>
          <w:rFonts w:eastAsiaTheme="minorEastAsia"/>
          <w:lang w:val="en-US"/>
        </w:rPr>
        <w:t xml:space="preserve">estimates of </w:t>
      </w:r>
      <m:oMath>
        <m:r>
          <m:rPr>
            <m:sty m:val="bi"/>
          </m:rPr>
          <w:rPr>
            <w:rFonts w:ascii="Cambria Math" w:hAnsi="Cambria Math"/>
            <w:lang w:val="en-US"/>
          </w:rPr>
          <m:t>η</m:t>
        </m:r>
      </m:oMath>
      <w:r w:rsidR="00C92590" w:rsidRPr="00F04787">
        <w:rPr>
          <w:rFonts w:eastAsiaTheme="minorEastAsia"/>
          <w:lang w:val="en-US"/>
        </w:rPr>
        <w:t xml:space="preserve"> for seasonal influenza,</w:t>
      </w:r>
      <w:r w:rsidR="00C92590" w:rsidRPr="00F04787">
        <w:rPr>
          <w:rFonts w:eastAsiaTheme="minorEastAsia"/>
          <w:lang w:val="en-US"/>
        </w:rPr>
        <w:fldChar w:fldCharType="begin"/>
      </w:r>
      <w:r w:rsidR="000B5579">
        <w:rPr>
          <w:rFonts w:eastAsiaTheme="minorEastAsia"/>
          <w:lang w:val="en-US"/>
        </w:rPr>
        <w:instrText xml:space="preserve"> ADDIN ZOTERO_ITEM CSL_CITATION {"citationID":"oOYDyjXT","properties":{"formattedCitation":"\\super 16\\nosupersub{}","plainCitation":"16","noteIndex":0},"citationItems":[{"id":103,"uris":["http://zotero.org/users/local/0pdZPGmr/items/ETJ2898P","http://zotero.org/users/9596130/items/ETJ2898P"],"itemData":{"id":103,"type":"article-journal","abstract":"Understanding the seasonal patterns of influenza transmission is critical to help plan public health measures for the management and control of epidemics. Mathematical models of infectious disease transmission have been widely used to quantify the transmissibility of and susceptibility to past influenza seasons in many countries. The objective of this study was to obtain a detailed picture of the transmission dynamics of seasonal influenza in Switzerland from 2003 to 2015. To this end, we developed a compartmental influenza transmission model taking into account social mixing between different age groups and seasonal forcing. We applied a Bayesian approach using Markov chain Monte Carlo (MCMC) methods to fit the model to the reported incidence of influenza-like-illness (ILI) and virological data from Sentinella, the Swiss Sentinel Surveillance Network. The maximal basic reproduction number, R0, ranged from 1.46 to 1.81 (median). Median estimates of susceptibility to influenza ranged from 29% to 98% for different age groups, and typically decreased with age. We also found a decline in ascertainability of influenza cases with age. Our study illustrates how influenza surveillance data from Switzerland can be integrated into a Bayesian modeling framework in order to assess age-specific transmission of and susceptibility to influenza.","container-title":"Epidemics","DOI":"10.1016/j.epidem.2019.100373","ISSN":"1755-4365","journalAbbreviation":"Epidemics","page":"100373","title":"Transmission of and susceptibility to seasonal influenza in Switzerland from 2003 to 2015","volume":"30","author":[{"family":"Brugger","given":"Jon"},{"family":"Althaus","given":"Christian L."}],"issued":{"date-parts":[["2020",3,1]]}}}],"schema":"https://github.com/citation-style-language/schema/raw/master/csl-citation.json"} </w:instrText>
      </w:r>
      <w:r w:rsidR="00C92590" w:rsidRPr="00F04787">
        <w:rPr>
          <w:rFonts w:eastAsiaTheme="minorEastAsia"/>
          <w:lang w:val="en-US"/>
        </w:rPr>
        <w:fldChar w:fldCharType="separate"/>
      </w:r>
      <w:r w:rsidR="000B5579" w:rsidRPr="000B5579">
        <w:rPr>
          <w:vertAlign w:val="superscript"/>
          <w:lang w:val="en-US"/>
        </w:rPr>
        <w:t>16</w:t>
      </w:r>
      <w:r w:rsidR="00C92590" w:rsidRPr="00F04787">
        <w:rPr>
          <w:rFonts w:eastAsiaTheme="minorEastAsia"/>
          <w:lang w:val="en-US"/>
        </w:rPr>
        <w:fldChar w:fldCharType="end"/>
      </w:r>
      <w:r w:rsidR="00C92590" w:rsidRPr="00F04787">
        <w:rPr>
          <w:rFonts w:eastAsiaTheme="minorEastAsia"/>
          <w:lang w:val="en-US"/>
        </w:rPr>
        <w:t xml:space="preserve"> 2009 A/H1N1 pandemic</w:t>
      </w:r>
      <w:r w:rsidR="00C92590" w:rsidRPr="00F04787">
        <w:rPr>
          <w:rFonts w:eastAsiaTheme="minorEastAsia"/>
          <w:lang w:val="en-US"/>
        </w:rPr>
        <w:fldChar w:fldCharType="begin"/>
      </w:r>
      <w:r w:rsidR="000B5579">
        <w:rPr>
          <w:rFonts w:eastAsiaTheme="minorEastAsia"/>
          <w:lang w:val="en-US"/>
        </w:rPr>
        <w:instrText xml:space="preserve"> ADDIN ZOTERO_ITEM CSL_CITATION {"citationID":"Il2tTfH0","properties":{"formattedCitation":"\\super 17\\nosupersub{}","plainCitation":"17","noteIndex":0},"citationItems":[{"id":104,"uris":["http://zotero.org/users/local/0pdZPGmr/items/S2ALJ8LS","http://zotero.org/users/9596130/items/S2ALJ8LS"],"itemData":{"id":104,"type":"article-journal","container-title":"New England Journal of Medicine","DOI":"10.1056/NEJMoa0905498","issue":"27","journalAbbreviation":"New England Journal of Medicine","note":"publisher: Massachusetts Medical Society","page":"2619-2627","title":"Household Transmission of 2009 Pandemic Influenza A (H1N1) Virus in the United States","volume":"361","author":[{"literal":"Cauchemez Simon"},{"literal":"Donnelly Christl A."},{"literal":"Reed Carrie"},{"literal":"Ghani Azra C."},{"literal":"Fraser Christophe"},{"literal":"Kent Charlotte K."},{"literal":"Finelli Lyn"},{"literal":"Ferguson Neil M."}],"issued":{"date-parts":[["2009"]]}}}],"schema":"https://github.com/citation-style-language/schema/raw/master/csl-citation.json"} </w:instrText>
      </w:r>
      <w:r w:rsidR="00C92590" w:rsidRPr="00F04787">
        <w:rPr>
          <w:rFonts w:eastAsiaTheme="minorEastAsia"/>
          <w:lang w:val="en-US"/>
        </w:rPr>
        <w:fldChar w:fldCharType="separate"/>
      </w:r>
      <w:r w:rsidR="000B5579" w:rsidRPr="000B5579">
        <w:rPr>
          <w:vertAlign w:val="superscript"/>
          <w:lang w:val="en-US"/>
        </w:rPr>
        <w:t>17</w:t>
      </w:r>
      <w:r w:rsidR="00C92590" w:rsidRPr="00F04787">
        <w:rPr>
          <w:rFonts w:eastAsiaTheme="minorEastAsia"/>
          <w:lang w:val="en-US"/>
        </w:rPr>
        <w:fldChar w:fldCharType="end"/>
      </w:r>
      <w:r w:rsidR="00C92590" w:rsidRPr="00F04787">
        <w:rPr>
          <w:rFonts w:eastAsiaTheme="minorEastAsia"/>
          <w:lang w:val="en-US"/>
        </w:rPr>
        <w:t xml:space="preserve"> and COVID-19 pandemic</w:t>
      </w:r>
      <w:r w:rsidR="00C92590" w:rsidRPr="00F04787">
        <w:rPr>
          <w:rFonts w:eastAsiaTheme="minorEastAsia"/>
          <w:lang w:val="en-US"/>
        </w:rPr>
        <w:fldChar w:fldCharType="begin"/>
      </w:r>
      <w:r w:rsidR="000B5579">
        <w:rPr>
          <w:rFonts w:eastAsiaTheme="minorEastAsia"/>
          <w:lang w:val="en-US"/>
        </w:rPr>
        <w:instrText xml:space="preserve"> ADDIN ZOTERO_ITEM CSL_CITATION {"citationID":"V0FoHJaV","properties":{"formattedCitation":"\\super 18\\nosupersub{}","plainCitation":"18","noteIndex":0},"citationItems":[{"id":106,"uris":["http://zotero.org/users/local/0pdZPGmr/items/TC6DZ35V","http://zotero.org/users/9596130/items/TC6DZ35V"],"itemData":{"id":106,"type":"article-journal","abstract":"The coronavirus 2019 (COVID-19) pandemic has brought tighter restrictions on the daily lives of millions of people, but we do not yet understand what measures are the most effective. Zhang et al. modeled virus transmission in Wuhan, China, in February 2020, investigating the effects of interventions ranging from patient management to social isolation. Age-mixing patterns were estimated by contact surveys conducted in Wuhan and Shanghai at the beginning of February 2020. Once people reduced their average daily contacts from 14 to 20 down to 2, transmission rapidly fell below the epidemic threshold. The model also showed that preemptive school closures helped to reduce transmission, although alone they would not prevent a COVID-19 outbreak. Limiting human mixing to within households appeared to be the most effective measure. Science, this issue p. 1481 Reducing social contacts on the scale achieved in Wuhan and Shanghai in early 2020 could be sufficient to bring a COVID-19 outbreak under control. Intense nonpharmaceutical interventions were put in place in China to stop transmission of the novel coronavirus disease 2019 (COVID-19). As transmission intensifies in other countries, the interplay between age, contact patterns, social distancing, susceptibility to infection, and COVID-19 dynamics remains unclear. To answer these questions, we analyze contact survey data for Wuhan and Shanghai before and during the outbreak and contact-tracing information from Hunan province. Daily contacts were reduced seven- to eightfold during the COVID-19 social distancing period, with most interactions restricted to the household. We find that children 0 to 14 years of age are less susceptible to severe acute respiratory syndrome coronavirus 2 (SARS-CoV-2) infection than adults 15 to 64 years of age (odds ratio 0.34, 95% confidence interval 0.24 to 0.49), whereas individuals more than 65 years of age are more susceptible to infection (odds ratio 1.47, 95% confidence interval 1.12 to 1.92). Based on these data, we built a transmission model to study the impact of social distancing and school closure on transmission. We find that social distancing alone, as implemented in China during the outbreak, is sufficient to control COVID-19. Although proactive school closures cannot interrupt transmission on their own, they can reduce peak incidence by 40 to 60% and delay the epidemic.","container-title":"Science","DOI":"10.1126/science.abb8001","issue":"6498","journalAbbreviation":"Science","note":"publisher: American Association for the Advancement of Science","page":"1481-1486","title":"Changes in contact patterns shape the dynamics of the COVID-19 outbreak in China","volume":"368","author":[{"family":"Zhang","given":"Juanjuan"},{"family":"Litvinova","given":"Maria"},{"family":"Liang","given":"Yuxia"},{"family":"Wang","given":"Yan"},{"family":"Wang","given":"Wei"},{"family":"Zhao","given":"Shanlu"},{"family":"Wu","given":"Qianhui"},{"family":"Merler","given":"Stefano"},{"family":"Viboud","given":"Cécile"},{"family":"Vespignani","given":"Alessandro"},{"family":"Ajelli","given":"Marco"},{"family":"Yu","given":"Hongjie"}],"issued":{"date-parts":[["2020",6,26]]}}}],"schema":"https://github.com/citation-style-language/schema/raw/master/csl-citation.json"} </w:instrText>
      </w:r>
      <w:r w:rsidR="00C92590" w:rsidRPr="00F04787">
        <w:rPr>
          <w:rFonts w:eastAsiaTheme="minorEastAsia"/>
          <w:lang w:val="en-US"/>
        </w:rPr>
        <w:fldChar w:fldCharType="separate"/>
      </w:r>
      <w:r w:rsidR="000B5579" w:rsidRPr="000B5579">
        <w:rPr>
          <w:vertAlign w:val="superscript"/>
          <w:lang w:val="en-US"/>
        </w:rPr>
        <w:t>18</w:t>
      </w:r>
      <w:r w:rsidR="00C92590" w:rsidRPr="00F04787">
        <w:rPr>
          <w:rFonts w:eastAsiaTheme="minorEastAsia"/>
          <w:lang w:val="en-US"/>
        </w:rPr>
        <w:fldChar w:fldCharType="end"/>
      </w:r>
      <w:r w:rsidR="00C92590" w:rsidRPr="00F04787">
        <w:rPr>
          <w:rFonts w:eastAsiaTheme="minorEastAsia"/>
          <w:lang w:val="en-US"/>
        </w:rPr>
        <w:t xml:space="preserve"> from various sources. For the 1918 A/H1N1 and 1968 A/H3N2 pandemics, </w:t>
      </w:r>
      <w:r w:rsidR="002D69C7" w:rsidRPr="00F04787">
        <w:rPr>
          <w:rFonts w:eastAsiaTheme="minorEastAsia"/>
          <w:lang w:val="en-US"/>
        </w:rPr>
        <w:t>we assumed</w:t>
      </w:r>
      <w:r w:rsidR="00C92590" w:rsidRPr="00F04787">
        <w:rPr>
          <w:rFonts w:eastAsiaTheme="minorEastAsia"/>
          <w:lang w:val="en-US"/>
        </w:rPr>
        <w:t xml:space="preserve"> </w:t>
      </w:r>
      <m:oMath>
        <m:r>
          <m:rPr>
            <m:sty m:val="bi"/>
          </m:rPr>
          <w:rPr>
            <w:rFonts w:ascii="Cambria Math" w:hAnsi="Cambria Math"/>
            <w:lang w:val="en-US"/>
          </w:rPr>
          <m:t>η</m:t>
        </m:r>
        <m:r>
          <w:rPr>
            <w:rFonts w:ascii="Cambria Math" w:eastAsiaTheme="minorEastAsia" w:hAnsi="Cambria Math"/>
            <w:lang w:val="en-US"/>
          </w:rPr>
          <m:t>=1</m:t>
        </m:r>
      </m:oMath>
      <w:r w:rsidR="00C92590" w:rsidRPr="00F04787">
        <w:rPr>
          <w:rFonts w:eastAsiaTheme="minorEastAsia"/>
          <w:lang w:val="en-US"/>
        </w:rPr>
        <w:t xml:space="preserve"> for all age groups. </w:t>
      </w:r>
    </w:p>
    <w:p w14:paraId="0C32F1F3" w14:textId="77777777" w:rsidR="007A0F47" w:rsidRPr="00F04787" w:rsidRDefault="007A0F47" w:rsidP="00A446F7">
      <w:pPr>
        <w:rPr>
          <w:lang w:val="en-US"/>
        </w:rPr>
      </w:pPr>
    </w:p>
    <w:p w14:paraId="42C61C6D" w14:textId="7D4BDE26" w:rsidR="00A446F7" w:rsidRPr="00F04787" w:rsidRDefault="00583D9A" w:rsidP="0055385D">
      <w:pPr>
        <w:pStyle w:val="Heading2"/>
      </w:pPr>
      <w:bookmarkStart w:id="3" w:name="_Toc192246974"/>
      <w:r w:rsidRPr="00F04787">
        <w:t>Test and treat</w:t>
      </w:r>
      <w:bookmarkEnd w:id="3"/>
      <w:r w:rsidRPr="00F04787">
        <w:t xml:space="preserve"> </w:t>
      </w:r>
      <w:r w:rsidR="00A446F7" w:rsidRPr="00F04787">
        <w:t xml:space="preserve"> </w:t>
      </w:r>
    </w:p>
    <w:p w14:paraId="453D4FF9" w14:textId="50D7385F" w:rsidR="00A446F7" w:rsidRPr="00F04787" w:rsidRDefault="00BA79F3" w:rsidP="00A446F7">
      <w:pPr>
        <w:rPr>
          <w:lang w:val="en-US"/>
        </w:rPr>
      </w:pPr>
      <w:r w:rsidRPr="00F04787">
        <w:rPr>
          <w:lang w:val="en-US"/>
        </w:rPr>
        <w:t>T</w:t>
      </w:r>
      <w:r w:rsidR="00A446F7" w:rsidRPr="00F04787">
        <w:rPr>
          <w:lang w:val="en-US"/>
        </w:rPr>
        <w:t>he probability that a</w:t>
      </w:r>
      <w:r w:rsidR="006662E3" w:rsidRPr="00F04787">
        <w:rPr>
          <w:lang w:val="en-US"/>
        </w:rPr>
        <w:t>n infected individual</w:t>
      </w:r>
      <w:r w:rsidR="00A446F7" w:rsidRPr="00F04787">
        <w:rPr>
          <w:lang w:val="en-US"/>
        </w:rPr>
        <w:t xml:space="preserve"> is tested </w:t>
      </w:r>
      <w:r w:rsidR="00ED25FB" w:rsidRPr="00F04787">
        <w:rPr>
          <w:lang w:val="en-US"/>
        </w:rPr>
        <w:t>at time</w:t>
      </w:r>
      <w:r w:rsidR="00A446F7" w:rsidRPr="00F04787">
        <w:rPr>
          <w:lang w:val="en-US"/>
        </w:rPr>
        <w:t xml:space="preserve"> </w:t>
      </w:r>
      <m:oMath>
        <m:r>
          <w:rPr>
            <w:rFonts w:ascii="Cambria Math" w:hAnsi="Cambria Math"/>
            <w:lang w:val="en-US"/>
          </w:rPr>
          <m:t>τ</m:t>
        </m:r>
      </m:oMath>
      <w:r w:rsidR="00A446F7" w:rsidRPr="00F04787">
        <w:rPr>
          <w:lang w:val="en-US"/>
        </w:rPr>
        <w:t xml:space="preserve"> since infection</w:t>
      </w:r>
      <w:r w:rsidR="00B1584D" w:rsidRPr="00F04787">
        <w:rPr>
          <w:lang w:val="en-US"/>
        </w:rPr>
        <w:t xml:space="preserve"> </w:t>
      </w:r>
      <w:r w:rsidR="00A61A20" w:rsidRPr="00F04787">
        <w:rPr>
          <w:lang w:val="en-US"/>
        </w:rPr>
        <w:t>can be formulated as</w:t>
      </w:r>
      <w:r w:rsidR="00A446F7" w:rsidRPr="00F04787">
        <w:rPr>
          <w:lang w:val="en-US"/>
        </w:rPr>
        <w:t>:</w:t>
      </w:r>
      <w:r w:rsidR="00A446F7" w:rsidRPr="00F04787">
        <w:rPr>
          <w:lang w:val="en-US"/>
        </w:rPr>
        <w:fldChar w:fldCharType="begin"/>
      </w:r>
      <w:r w:rsidR="000B5579">
        <w:rPr>
          <w:lang w:val="en-US"/>
        </w:rPr>
        <w:instrText xml:space="preserve"> ADDIN ZOTERO_ITEM CSL_CITATION {"citationID":"DpsTqb1O","properties":{"formattedCitation":"\\super 19\\nosupersub{}","plainCitation":"19","noteIndex":0},"citationItems":[{"id":2,"uris":["http://zotero.org/users/local/0pdZPGmr/items/4AHIDXEA","http://zotero.org/users/9596130/items/4AHIDXEA"],"itemData":{"id":2,"type":"article-journal","abstract":"To effectively inform infectious disease control strategies, accurate knowledge of the pathogen’s transmission dynamics is required. The infection incidence, which describes the number of new infections in a given time interval (e.g., per day or per week), is fundamental to understanding transmission dynamics, and can be used to estimate the time-varying reproduction number and the severity (e.g., the infection fatality ratio) of a disease. The timings of infections are rarely known and so estimates of the infection incidence often rely on measurements of other quantities amenable to surveillance. Case-based surveillance, in which infected individuals are identified by a positive test, is the pre-dominant form of surveillance for many pathogens, and was used extensively during the COVID-19 pandemic. However, there can be many biases present in case-based surveillance indicators due to, for example, test sensitivity and specificity, changing testing behaviours, and the co-circulation of pathogens with similar symptom profiles. Without a full understanding of the process by which surveillance systems generate data, robust estimates of the infection incidence, time-varying reproduction number, and severity based on these data cannot be made. Here we develop a mathematical description of case-based surveillance of infectious diseases. By considering realistic epidemiological parameters and situations, we demonstrate potential biases in common surveillance indicators based on case-based surveillance data. The description is highly general and could be applied to a diverse set of pathogens and situations. The mathematical description could be used to inform inference of infection incidence using existing data, with a full understanding of where bias and uncertainty will be present in any such analysis. Future surveillance strategies could be designed to minimise these sources of bias and uncertainty, providing more accurate estimates of a pathogen’s transmission dynamics and, ultimately, more targeted application of public health measures.Competing Interest StatementThe authors have declared no competing interest.Funding StatementThis study did not receive any fundingAuthor DeclarationsI confirm all relevant ethical guidelines have been followed, and any necessary IRB and/or ethics committee approvals have been obtained.YesI confirm that all necessary patient/participant consent has been obtained and the appropriate institutional forms have been archived, and that any patient/participant/sample identifiers included were not known to anyone (e.g., hospital staff, patients or participants themselves) outside the research group so cannot be used to identify individuals.YesI understand that all clinical trials and any other prospective interventional studies must be registered with an ICMJE-approved registry, such as ClinicalTrials.gov. I confirm that any such study reported in the manuscript has been registered and the trial registration ID is provided (note: if posting a prospective study registered retrospectively, please provide a statement in the trial ID field explaining why the study was not registered in advance).YesI have followed all appropriate research reporting guidelines, such as any relevant EQUATOR Network research reporting checklist(s) and other pertinent material, if applicable.YesThis is a simulation study and so there is no data.","container-title":"medRxiv","DOI":"10.1101/2023.12.19.23300224","page":"2023.12.19.23300224","title":"Challenges in the case-based surveillance of infectious diseases","author":[{"literal":"Oliver Eales"},{"literal":"James M. McCaw"},{"literal":"Freya M. Shearer"}],"issued":{"date-parts":[["2023",1,1]]}}}],"schema":"https://github.com/citation-style-language/schema/raw/master/csl-citation.json"} </w:instrText>
      </w:r>
      <w:r w:rsidR="00A446F7" w:rsidRPr="00F04787">
        <w:rPr>
          <w:lang w:val="en-US"/>
        </w:rPr>
        <w:fldChar w:fldCharType="separate"/>
      </w:r>
      <w:r w:rsidR="000B5579" w:rsidRPr="000B5579">
        <w:rPr>
          <w:sz w:val="24"/>
          <w:vertAlign w:val="superscript"/>
          <w:lang w:val="en-US"/>
        </w:rPr>
        <w:t>19</w:t>
      </w:r>
      <w:r w:rsidR="00A446F7" w:rsidRPr="00F04787">
        <w:rPr>
          <w:lang w:val="en-US"/>
        </w:rPr>
        <w:fldChar w:fldCharType="end"/>
      </w:r>
      <w:r w:rsidR="00A446F7" w:rsidRPr="00F04787">
        <w:rPr>
          <w:lang w:val="en-US"/>
        </w:rPr>
        <w:t xml:space="preserve"> </w:t>
      </w:r>
    </w:p>
    <w:p w14:paraId="3D8CFBA7" w14:textId="77777777" w:rsidR="00861C80" w:rsidRPr="00F04787" w:rsidRDefault="00861C80" w:rsidP="00A446F7">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A446F7" w:rsidRPr="00F04787" w14:paraId="448395C4" w14:textId="77777777" w:rsidTr="001B626F">
        <w:tc>
          <w:tcPr>
            <w:tcW w:w="8075" w:type="dxa"/>
            <w:vAlign w:val="center"/>
          </w:tcPr>
          <w:p w14:paraId="5C31DD25" w14:textId="4B9A6D13" w:rsidR="00A446F7" w:rsidRPr="00F04787" w:rsidRDefault="00686163" w:rsidP="001B626F">
            <w:pPr>
              <w:jc w:val="center"/>
              <w:rPr>
                <w:lang w:val="en-US"/>
              </w:rPr>
            </w:pPr>
            <m:oMathPara>
              <m:oMath>
                <m:r>
                  <w:rPr>
                    <w:rFonts w:ascii="Cambria Math" w:hAnsi="Cambria Math"/>
                    <w:lang w:val="en-US"/>
                  </w:rPr>
                  <m:t>d</m:t>
                </m:r>
                <m:d>
                  <m:dPr>
                    <m:ctrlPr>
                      <w:rPr>
                        <w:rFonts w:ascii="Cambria Math" w:hAnsi="Cambria Math"/>
                        <w:i/>
                        <w:lang w:val="en-US"/>
                      </w:rPr>
                    </m:ctrlPr>
                  </m:dPr>
                  <m:e>
                    <m:r>
                      <w:rPr>
                        <w:rFonts w:ascii="Cambria Math" w:hAnsi="Cambria Math"/>
                        <w:lang w:val="en-US"/>
                      </w:rPr>
                      <m:t>τ</m:t>
                    </m:r>
                  </m:e>
                </m:d>
                <m:r>
                  <w:rPr>
                    <w:rFonts w:ascii="Cambria Math" w:hAnsi="Cambria Math"/>
                    <w:lang w:val="en-US"/>
                  </w:rPr>
                  <m:t>=</m:t>
                </m:r>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τ</m:t>
                    </m:r>
                  </m:sup>
                  <m:e>
                    <m:r>
                      <w:rPr>
                        <w:rFonts w:ascii="Cambria Math" w:hAnsi="Cambria Math"/>
                        <w:lang w:val="en-US"/>
                      </w:rPr>
                      <m:t>σ</m:t>
                    </m:r>
                    <m:d>
                      <m:dPr>
                        <m:ctrlPr>
                          <w:rPr>
                            <w:rFonts w:ascii="Cambria Math" w:hAnsi="Cambria Math"/>
                            <w:i/>
                            <w:lang w:val="en-US"/>
                          </w:rPr>
                        </m:ctrlPr>
                      </m:dPr>
                      <m:e>
                        <m:r>
                          <w:rPr>
                            <w:rFonts w:ascii="Cambria Math" w:hAnsi="Cambria Math"/>
                            <w:lang w:val="en-US"/>
                          </w:rPr>
                          <m:t>ξ</m:t>
                        </m:r>
                      </m:e>
                    </m:d>
                    <m:r>
                      <w:rPr>
                        <w:rFonts w:ascii="Cambria Math" w:hAnsi="Cambria Math"/>
                        <w:lang w:val="en-US"/>
                      </w:rPr>
                      <m:t>λ</m:t>
                    </m:r>
                    <m:d>
                      <m:dPr>
                        <m:ctrlPr>
                          <w:rPr>
                            <w:rFonts w:ascii="Cambria Math" w:hAnsi="Cambria Math"/>
                            <w:i/>
                            <w:lang w:val="en-US"/>
                          </w:rPr>
                        </m:ctrlPr>
                      </m:dPr>
                      <m:e>
                        <m:r>
                          <w:rPr>
                            <w:rFonts w:ascii="Cambria Math" w:hAnsi="Cambria Math"/>
                            <w:lang w:val="en-US"/>
                          </w:rPr>
                          <m:t>τ-ξ</m:t>
                        </m:r>
                      </m:e>
                    </m:d>
                    <m:r>
                      <w:rPr>
                        <w:rFonts w:ascii="Cambria Math" w:hAnsi="Cambria Math"/>
                        <w:lang w:val="en-US"/>
                      </w:rPr>
                      <m:t>dξ</m:t>
                    </m:r>
                  </m:e>
                </m:nary>
              </m:oMath>
            </m:oMathPara>
          </w:p>
        </w:tc>
        <w:tc>
          <w:tcPr>
            <w:tcW w:w="935" w:type="dxa"/>
            <w:vAlign w:val="center"/>
          </w:tcPr>
          <w:p w14:paraId="7FFDBE89" w14:textId="55658138" w:rsidR="00A446F7" w:rsidRPr="00F04787" w:rsidRDefault="00A446F7" w:rsidP="001B626F">
            <w:pPr>
              <w:jc w:val="center"/>
              <w:rPr>
                <w:lang w:val="en-US"/>
              </w:rPr>
            </w:pPr>
            <m:oMathPara>
              <m:oMath>
                <m:r>
                  <w:rPr>
                    <w:rFonts w:ascii="Cambria Math" w:hAnsi="Cambria Math"/>
                    <w:lang w:val="en-US"/>
                  </w:rPr>
                  <m:t>(15)</m:t>
                </m:r>
              </m:oMath>
            </m:oMathPara>
          </w:p>
        </w:tc>
      </w:tr>
    </w:tbl>
    <w:p w14:paraId="46BAED89" w14:textId="77777777" w:rsidR="00861C80" w:rsidRPr="00F04787" w:rsidRDefault="00861C80" w:rsidP="00A446F7">
      <w:pPr>
        <w:rPr>
          <w:lang w:val="en-US"/>
        </w:rPr>
      </w:pPr>
    </w:p>
    <w:p w14:paraId="5754BEE0" w14:textId="1DD21106" w:rsidR="00A446F7" w:rsidRPr="00F04787" w:rsidRDefault="00A446F7" w:rsidP="00A446F7">
      <w:pPr>
        <w:rPr>
          <w:lang w:val="en-US"/>
        </w:rPr>
      </w:pPr>
      <w:r w:rsidRPr="00F04787">
        <w:rPr>
          <w:lang w:val="en-US"/>
        </w:rPr>
        <w:lastRenderedPageBreak/>
        <w:t xml:space="preserve">where </w:t>
      </w:r>
      <m:oMath>
        <m:r>
          <w:rPr>
            <w:rFonts w:ascii="Cambria Math" w:hAnsi="Cambria Math"/>
            <w:lang w:val="en-US"/>
          </w:rPr>
          <m:t>σ</m:t>
        </m:r>
        <m:d>
          <m:dPr>
            <m:ctrlPr>
              <w:rPr>
                <w:rFonts w:ascii="Cambria Math" w:hAnsi="Cambria Math"/>
                <w:i/>
                <w:lang w:val="en-US"/>
              </w:rPr>
            </m:ctrlPr>
          </m:dPr>
          <m:e>
            <m:r>
              <w:rPr>
                <w:rFonts w:ascii="Cambria Math" w:hAnsi="Cambria Math"/>
                <w:lang w:val="en-US"/>
              </w:rPr>
              <m:t>τ</m:t>
            </m:r>
          </m:e>
        </m:d>
      </m:oMath>
      <w:r w:rsidRPr="00F04787">
        <w:rPr>
          <w:lang w:val="en-US"/>
        </w:rPr>
        <w:t xml:space="preserve"> is the probability of symptom onset </w:t>
      </w:r>
      <w:r w:rsidR="000206A9" w:rsidRPr="00F04787">
        <w:rPr>
          <w:lang w:val="en-US"/>
        </w:rPr>
        <w:t xml:space="preserve">on day </w:t>
      </w:r>
      <m:oMath>
        <m:r>
          <w:rPr>
            <w:rFonts w:ascii="Cambria Math" w:hAnsi="Cambria Math"/>
            <w:lang w:val="en-US"/>
          </w:rPr>
          <m:t>τ</m:t>
        </m:r>
      </m:oMath>
      <w:r w:rsidRPr="00F04787">
        <w:rPr>
          <w:lang w:val="en-US"/>
        </w:rPr>
        <w:t xml:space="preserve"> since infection and </w:t>
      </w:r>
      <m:oMath>
        <m:r>
          <w:rPr>
            <w:rFonts w:ascii="Cambria Math" w:hAnsi="Cambria Math"/>
            <w:lang w:val="en-US"/>
          </w:rPr>
          <m:t>λ</m:t>
        </m:r>
        <m:d>
          <m:dPr>
            <m:ctrlPr>
              <w:rPr>
                <w:rFonts w:ascii="Cambria Math" w:hAnsi="Cambria Math"/>
                <w:i/>
                <w:lang w:val="en-US"/>
              </w:rPr>
            </m:ctrlPr>
          </m:dPr>
          <m:e>
            <m:r>
              <w:rPr>
                <w:rFonts w:ascii="Cambria Math" w:hAnsi="Cambria Math"/>
                <w:lang w:val="en-US"/>
              </w:rPr>
              <m:t>ν</m:t>
            </m:r>
          </m:e>
        </m:d>
      </m:oMath>
      <w:r w:rsidRPr="00F04787">
        <w:rPr>
          <w:lang w:val="en-US"/>
        </w:rPr>
        <w:t xml:space="preserve"> is probability of symptomatic testing </w:t>
      </w:r>
      <w:r w:rsidR="000206A9" w:rsidRPr="00F04787">
        <w:rPr>
          <w:lang w:val="en-US"/>
        </w:rPr>
        <w:t>on day</w:t>
      </w:r>
      <w:r w:rsidRPr="00F04787">
        <w:rPr>
          <w:lang w:val="en-US"/>
        </w:rPr>
        <w:t xml:space="preserve"> </w:t>
      </w:r>
      <m:oMath>
        <m:r>
          <w:rPr>
            <w:rFonts w:ascii="Cambria Math" w:hAnsi="Cambria Math"/>
            <w:lang w:val="en-US"/>
          </w:rPr>
          <m:t>ν</m:t>
        </m:r>
      </m:oMath>
      <w:r w:rsidRPr="00F04787">
        <w:rPr>
          <w:lang w:val="en-US"/>
        </w:rPr>
        <w:t xml:space="preserve"> since symptom onse</w:t>
      </w:r>
      <w:r w:rsidR="00747736" w:rsidRPr="00F04787">
        <w:rPr>
          <w:lang w:val="en-US"/>
        </w:rPr>
        <w:t>t.</w:t>
      </w:r>
      <w:r w:rsidRPr="00F04787">
        <w:rPr>
          <w:lang w:val="en-US"/>
        </w:rPr>
        <w:t xml:space="preserve"> </w:t>
      </w:r>
      <m:oMath>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r>
              <w:rPr>
                <w:rFonts w:ascii="Cambria Math" w:hAnsi="Cambria Math"/>
                <w:lang w:val="en-US"/>
              </w:rPr>
              <m:t>σ</m:t>
            </m:r>
            <m:d>
              <m:dPr>
                <m:ctrlPr>
                  <w:rPr>
                    <w:rFonts w:ascii="Cambria Math" w:hAnsi="Cambria Math"/>
                    <w:i/>
                    <w:lang w:val="en-US"/>
                  </w:rPr>
                </m:ctrlPr>
              </m:dPr>
              <m:e>
                <m:r>
                  <w:rPr>
                    <w:rFonts w:ascii="Cambria Math" w:hAnsi="Cambria Math"/>
                    <w:lang w:val="en-US"/>
                  </w:rPr>
                  <m:t>τ</m:t>
                </m:r>
              </m:e>
            </m:d>
            <m:r>
              <w:rPr>
                <w:rFonts w:ascii="Cambria Math" w:hAnsi="Cambria Math"/>
                <w:lang w:val="en-US"/>
              </w:rPr>
              <m:t>dτ</m:t>
            </m:r>
          </m:e>
        </m:nary>
      </m:oMath>
      <w:r w:rsidRPr="00F04787">
        <w:rPr>
          <w:lang w:val="en-US"/>
        </w:rPr>
        <w:t xml:space="preserve"> can be less than one and is equal to the probability of a symptomatic infection</w:t>
      </w:r>
      <w:r w:rsidR="000206A9" w:rsidRPr="00F04787">
        <w:rPr>
          <w:lang w:val="en-US"/>
        </w:rPr>
        <w:t xml:space="preserve">: </w:t>
      </w:r>
      <m:oMath>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r>
              <w:rPr>
                <w:rFonts w:ascii="Cambria Math" w:hAnsi="Cambria Math"/>
                <w:lang w:val="en-US"/>
              </w:rPr>
              <m:t>σ</m:t>
            </m:r>
            <m:d>
              <m:dPr>
                <m:ctrlPr>
                  <w:rPr>
                    <w:rFonts w:ascii="Cambria Math" w:hAnsi="Cambria Math"/>
                    <w:i/>
                    <w:lang w:val="en-US"/>
                  </w:rPr>
                </m:ctrlPr>
              </m:dPr>
              <m:e>
                <m:r>
                  <w:rPr>
                    <w:rFonts w:ascii="Cambria Math" w:hAnsi="Cambria Math"/>
                    <w:lang w:val="en-US"/>
                  </w:rPr>
                  <m:t>τ</m:t>
                </m:r>
              </m:e>
            </m:d>
            <m:r>
              <w:rPr>
                <w:rFonts w:ascii="Cambria Math" w:hAnsi="Cambria Math"/>
                <w:lang w:val="en-US"/>
              </w:rPr>
              <m:t>dτ</m:t>
            </m:r>
          </m:e>
        </m:nary>
        <m:r>
          <w:rPr>
            <w:rFonts w:ascii="Cambria Math" w:hAnsi="Cambria Math"/>
            <w:lang w:val="en-US"/>
          </w:rPr>
          <m:t>=1-</m:t>
        </m:r>
        <m:sSub>
          <m:sSubPr>
            <m:ctrlPr>
              <w:rPr>
                <w:rFonts w:ascii="Cambria Math" w:hAnsi="Cambria Math"/>
                <w:i/>
                <w:lang w:val="en-US"/>
              </w:rPr>
            </m:ctrlPr>
          </m:sSubPr>
          <m:e>
            <m:r>
              <w:rPr>
                <w:rFonts w:ascii="Cambria Math" w:hAnsi="Cambria Math"/>
                <w:lang w:val="en-US"/>
              </w:rPr>
              <m:t>p</m:t>
            </m:r>
          </m:e>
          <m:sub>
            <m:r>
              <m:rPr>
                <m:nor/>
              </m:rPr>
              <w:rPr>
                <w:rFonts w:ascii="Cambria Math" w:hAnsi="Cambria Math"/>
                <w:lang w:val="en-US"/>
              </w:rPr>
              <m:t>asymptomatic</m:t>
            </m:r>
          </m:sub>
        </m:sSub>
      </m:oMath>
      <w:r w:rsidR="000206A9" w:rsidRPr="00F04787">
        <w:rPr>
          <w:rFonts w:eastAsiaTheme="minorEastAsia"/>
          <w:lang w:val="en-US"/>
        </w:rPr>
        <w:t xml:space="preserve"> where </w:t>
      </w:r>
      <m:oMath>
        <m:sSub>
          <m:sSubPr>
            <m:ctrlPr>
              <w:rPr>
                <w:rFonts w:ascii="Cambria Math" w:hAnsi="Cambria Math"/>
                <w:i/>
                <w:lang w:val="en-US"/>
              </w:rPr>
            </m:ctrlPr>
          </m:sSubPr>
          <m:e>
            <m:r>
              <w:rPr>
                <w:rFonts w:ascii="Cambria Math" w:hAnsi="Cambria Math"/>
                <w:lang w:val="en-US"/>
              </w:rPr>
              <m:t>p</m:t>
            </m:r>
          </m:e>
          <m:sub>
            <m:r>
              <m:rPr>
                <m:nor/>
              </m:rPr>
              <w:rPr>
                <w:rFonts w:ascii="Cambria Math" w:hAnsi="Cambria Math"/>
                <w:lang w:val="en-US"/>
              </w:rPr>
              <m:t>asymptomatic</m:t>
            </m:r>
          </m:sub>
        </m:sSub>
      </m:oMath>
      <w:r w:rsidR="000206A9" w:rsidRPr="00F04787">
        <w:rPr>
          <w:rFonts w:eastAsiaTheme="minorEastAsia"/>
          <w:lang w:val="en-US"/>
        </w:rPr>
        <w:t xml:space="preserve"> is expected probability of asymptomatic infection which we assumed to 16% for influenza infections</w:t>
      </w:r>
      <w:r w:rsidRPr="00F04787">
        <w:rPr>
          <w:lang w:val="en-US"/>
        </w:rPr>
        <w:t>.</w:t>
      </w:r>
      <w:r w:rsidR="000206A9" w:rsidRPr="00F04787">
        <w:rPr>
          <w:lang w:val="en-US"/>
        </w:rPr>
        <w:fldChar w:fldCharType="begin"/>
      </w:r>
      <w:r w:rsidR="000B5579">
        <w:rPr>
          <w:lang w:val="en-US"/>
        </w:rPr>
        <w:instrText xml:space="preserve"> ADDIN ZOTERO_ITEM CSL_CITATION {"citationID":"JTgFijBL","properties":{"formattedCitation":"\\super 20\\nosupersub{}","plainCitation":"20","noteIndex":0},"citationItems":[{"id":110,"uris":["http://zotero.org/users/local/0pdZPGmr/items/5PRSKE77","http://zotero.org/users/9596130/items/5PRSKE77"],"itemData":{"id":110,"type":"article-journal","abstract":"Background: \n\nThe fraction of persons with influenza virus infection, who do not report any signs or symptoms throughout the course of infection is referred to as the asymptomatic fraction.\n\nMethods:\n\nWe conducted a systematic review and meta-analysis of published estimates of the asymptomatic fraction of influenza virus infections. We found that estimates of the asymptomatic fraction were reported from two different types of studies: first, outbreak investigations with short-term follow-up of potentially exposed persons and virologic confirmation of infections; second, studies conducted across epidemics typically evaluating rates of acute respiratory illness among persons with serologic evidence of infection, in some cases adjusting for background rates of illness from other causes.\n\nResults:\n\nMost point estimates from studies of outbreak investigations fell in the range 4%–28% with low heterogeneity (I2 = 0%) with a pooled mean of 16% (95% confidence interval = 13%, 19%). Estimates from the studies conducted across epidemics without adjustment were very heterogeneous (point estimates 0%–100%; I 2 = 97%), while estimates from studies that adjusted for background illnesses were more consistent with point estimates in the range 65%–85% and moderate heterogeneity (I2 = 58%). Variation in estimates could be partially explained by differences in study design and analysis, and inclusion of mild symptomatic illnesses as asymptomatic in some studies.\n\nConclusions:\n\nEstimates of the asymptomatic fraction are affected by the study design, and the definitions of infection and symptomatic illness. Considerable differences between the asymptomatic fraction of infections confirmed by virologic versus serologic testing may indicate fundamental differences in the interpretation of these two indicators.","container-title":"Epidemiology","ISSN":"1044-3983","issue":"6","title":"Review Article: The Fraction of Influenza Virus Infections That Are Asymptomatic: A Systematic Review and Meta-analysis","URL":"https://journals.lww.com/epidem/fulltext/2015/11000/review_article__the_fraction_of_influenza_virus.13.aspx","volume":"26","author":[{"family":"Leung","given":"Nancy H. L."},{"family":"Xu","given":"Cuiling"},{"family":"Ip","given":"Dennis K. M."},{"family":"Cowling","given":"Benjamin J."}],"issued":{"date-parts":[["2015"]]}}}],"schema":"https://github.com/citation-style-language/schema/raw/master/csl-citation.json"} </w:instrText>
      </w:r>
      <w:r w:rsidR="000206A9" w:rsidRPr="00F04787">
        <w:rPr>
          <w:lang w:val="en-US"/>
        </w:rPr>
        <w:fldChar w:fldCharType="separate"/>
      </w:r>
      <w:r w:rsidR="000B5579" w:rsidRPr="000B5579">
        <w:rPr>
          <w:vertAlign w:val="superscript"/>
          <w:lang w:val="en-US"/>
        </w:rPr>
        <w:t>20</w:t>
      </w:r>
      <w:r w:rsidR="000206A9" w:rsidRPr="00F04787">
        <w:rPr>
          <w:lang w:val="en-US"/>
        </w:rPr>
        <w:fldChar w:fldCharType="end"/>
      </w:r>
      <w:r w:rsidRPr="00F04787">
        <w:rPr>
          <w:lang w:val="en-US"/>
        </w:rPr>
        <w:t xml:space="preserve"> On the other hand, </w:t>
      </w:r>
      <m:oMath>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r>
              <w:rPr>
                <w:rFonts w:ascii="Cambria Math" w:hAnsi="Cambria Math"/>
                <w:lang w:val="en-US"/>
              </w:rPr>
              <m:t>λ</m:t>
            </m:r>
            <m:d>
              <m:dPr>
                <m:ctrlPr>
                  <w:rPr>
                    <w:rFonts w:ascii="Cambria Math" w:hAnsi="Cambria Math"/>
                    <w:i/>
                    <w:lang w:val="en-US"/>
                  </w:rPr>
                </m:ctrlPr>
              </m:dPr>
              <m:e>
                <m:r>
                  <w:rPr>
                    <w:rFonts w:ascii="Cambria Math" w:hAnsi="Cambria Math"/>
                    <w:lang w:val="en-US"/>
                  </w:rPr>
                  <m:t>θ</m:t>
                </m:r>
              </m:e>
            </m:d>
            <m:r>
              <w:rPr>
                <w:rFonts w:ascii="Cambria Math" w:hAnsi="Cambria Math"/>
                <w:lang w:val="en-US"/>
              </w:rPr>
              <m:t>dθ</m:t>
            </m:r>
          </m:e>
        </m:nary>
      </m:oMath>
      <w:r w:rsidRPr="00F04787">
        <w:rPr>
          <w:lang w:val="en-US"/>
        </w:rPr>
        <w:t xml:space="preserve"> is equal to the willingness of testing provided that all individuals who seek testing will be tested</w:t>
      </w:r>
      <w:r w:rsidR="00E07FC8" w:rsidRPr="00F04787">
        <w:rPr>
          <w:lang w:val="en-US"/>
        </w:rPr>
        <w:t xml:space="preserve"> which can also be less than one</w:t>
      </w:r>
      <w:r w:rsidRPr="00F04787">
        <w:rPr>
          <w:lang w:val="en-US"/>
        </w:rPr>
        <w:t xml:space="preserve">. In turn, the expected number of infected individuals </w:t>
      </w:r>
      <m:oMath>
        <m:r>
          <w:rPr>
            <w:rFonts w:ascii="Cambria Math" w:hAnsi="Cambria Math"/>
            <w:lang w:val="en-US"/>
          </w:rPr>
          <m:t>T</m:t>
        </m:r>
        <m:d>
          <m:dPr>
            <m:ctrlPr>
              <w:rPr>
                <w:rFonts w:ascii="Cambria Math" w:hAnsi="Cambria Math"/>
                <w:i/>
                <w:lang w:val="en-US"/>
              </w:rPr>
            </m:ctrlPr>
          </m:dPr>
          <m:e>
            <m:r>
              <w:rPr>
                <w:rFonts w:ascii="Cambria Math" w:hAnsi="Cambria Math"/>
                <w:lang w:val="en-US"/>
              </w:rPr>
              <m:t>t</m:t>
            </m:r>
          </m:e>
        </m:d>
      </m:oMath>
      <w:r w:rsidRPr="00F04787">
        <w:rPr>
          <w:lang w:val="en-US"/>
        </w:rPr>
        <w:t xml:space="preserve"> that </w:t>
      </w:r>
      <w:r w:rsidR="00C833F4" w:rsidRPr="00F04787">
        <w:rPr>
          <w:lang w:val="en-US"/>
        </w:rPr>
        <w:t xml:space="preserve">are positively diagnosed </w:t>
      </w:r>
      <w:r w:rsidRPr="00F04787">
        <w:rPr>
          <w:lang w:val="en-US"/>
        </w:rPr>
        <w:t>a</w:t>
      </w:r>
      <w:r w:rsidR="00E05143" w:rsidRPr="00F04787">
        <w:rPr>
          <w:lang w:val="en-US"/>
        </w:rPr>
        <w:t>t</w:t>
      </w:r>
      <w:r w:rsidRPr="00F04787">
        <w:rPr>
          <w:lang w:val="en-US"/>
        </w:rPr>
        <w:t xml:space="preserve"> time </w:t>
      </w:r>
      <m:oMath>
        <m:r>
          <w:rPr>
            <w:rFonts w:ascii="Cambria Math" w:hAnsi="Cambria Math"/>
            <w:lang w:val="en-US"/>
          </w:rPr>
          <m:t>t</m:t>
        </m:r>
      </m:oMath>
      <w:r w:rsidRPr="00F04787">
        <w:rPr>
          <w:lang w:val="en-US"/>
        </w:rPr>
        <w:t xml:space="preserve"> is: </w:t>
      </w:r>
    </w:p>
    <w:p w14:paraId="45E095EF" w14:textId="77777777" w:rsidR="00861C80" w:rsidRPr="00F04787" w:rsidRDefault="00861C80" w:rsidP="00A446F7">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A446F7" w:rsidRPr="00F04787" w14:paraId="0FD3462B" w14:textId="77777777" w:rsidTr="001B626F">
        <w:tc>
          <w:tcPr>
            <w:tcW w:w="8075" w:type="dxa"/>
            <w:vAlign w:val="center"/>
          </w:tcPr>
          <w:p w14:paraId="692B8871" w14:textId="0CA0D11E" w:rsidR="00A446F7" w:rsidRPr="00F04787" w:rsidRDefault="00A446F7" w:rsidP="001B626F">
            <w:pPr>
              <w:jc w:val="center"/>
              <w:rPr>
                <w:lang w:val="en-US"/>
              </w:rPr>
            </w:pPr>
            <m:oMathPara>
              <m:oMath>
                <m:r>
                  <w:rPr>
                    <w:rFonts w:ascii="Cambria Math" w:hAnsi="Cambria Math"/>
                    <w:lang w:val="en-US"/>
                  </w:rPr>
                  <m:t>T</m:t>
                </m:r>
                <m:d>
                  <m:dPr>
                    <m:ctrlPr>
                      <w:rPr>
                        <w:rFonts w:ascii="Cambria Math" w:hAnsi="Cambria Math"/>
                        <w:i/>
                        <w:lang w:val="en-US"/>
                      </w:rPr>
                    </m:ctrlPr>
                  </m:dPr>
                  <m:e>
                    <m:r>
                      <w:rPr>
                        <w:rFonts w:ascii="Cambria Math" w:hAnsi="Cambria Math"/>
                        <w:lang w:val="en-US"/>
                      </w:rPr>
                      <m:t>t</m:t>
                    </m:r>
                  </m:e>
                </m:d>
                <m:r>
                  <w:rPr>
                    <w:rFonts w:ascii="Cambria Math" w:hAnsi="Cambria Math"/>
                    <w:lang w:val="en-US"/>
                  </w:rPr>
                  <m:t>=ψ</m:t>
                </m:r>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r>
                      <w:rPr>
                        <w:rFonts w:ascii="Cambria Math" w:hAnsi="Cambria Math"/>
                        <w:lang w:val="en-US"/>
                      </w:rPr>
                      <m:t>d</m:t>
                    </m:r>
                    <m:d>
                      <m:dPr>
                        <m:ctrlPr>
                          <w:rPr>
                            <w:rFonts w:ascii="Cambria Math" w:hAnsi="Cambria Math"/>
                            <w:i/>
                            <w:lang w:val="en-US"/>
                          </w:rPr>
                        </m:ctrlPr>
                      </m:dPr>
                      <m:e>
                        <m:r>
                          <w:rPr>
                            <w:rFonts w:ascii="Cambria Math" w:hAnsi="Cambria Math"/>
                            <w:lang w:val="en-US"/>
                          </w:rPr>
                          <m:t>τ</m:t>
                        </m:r>
                      </m:e>
                    </m:d>
                    <m:r>
                      <w:rPr>
                        <w:rFonts w:ascii="Cambria Math" w:hAnsi="Cambria Math"/>
                        <w:lang w:val="en-US"/>
                      </w:rPr>
                      <m:t>I</m:t>
                    </m:r>
                    <m:d>
                      <m:dPr>
                        <m:ctrlPr>
                          <w:rPr>
                            <w:rFonts w:ascii="Cambria Math" w:hAnsi="Cambria Math"/>
                            <w:i/>
                            <w:lang w:val="en-US"/>
                          </w:rPr>
                        </m:ctrlPr>
                      </m:dPr>
                      <m:e>
                        <m:r>
                          <w:rPr>
                            <w:rFonts w:ascii="Cambria Math" w:hAnsi="Cambria Math"/>
                            <w:lang w:val="en-US"/>
                          </w:rPr>
                          <m:t>t-τ</m:t>
                        </m:r>
                      </m:e>
                    </m:d>
                    <m:r>
                      <w:rPr>
                        <w:rFonts w:ascii="Cambria Math" w:hAnsi="Cambria Math"/>
                        <w:lang w:val="en-US"/>
                      </w:rPr>
                      <m:t>dτ</m:t>
                    </m:r>
                  </m:e>
                </m:nary>
              </m:oMath>
            </m:oMathPara>
          </w:p>
        </w:tc>
        <w:tc>
          <w:tcPr>
            <w:tcW w:w="935" w:type="dxa"/>
            <w:vAlign w:val="center"/>
          </w:tcPr>
          <w:p w14:paraId="461E3490" w14:textId="56AF1792" w:rsidR="00A446F7" w:rsidRPr="00F04787" w:rsidRDefault="00A446F7" w:rsidP="001B626F">
            <w:pPr>
              <w:jc w:val="center"/>
              <w:rPr>
                <w:lang w:val="en-US"/>
              </w:rPr>
            </w:pPr>
            <m:oMathPara>
              <m:oMath>
                <m:r>
                  <w:rPr>
                    <w:rFonts w:ascii="Cambria Math" w:hAnsi="Cambria Math"/>
                    <w:lang w:val="en-US"/>
                  </w:rPr>
                  <m:t>(16)</m:t>
                </m:r>
              </m:oMath>
            </m:oMathPara>
          </w:p>
        </w:tc>
      </w:tr>
    </w:tbl>
    <w:p w14:paraId="0915E513" w14:textId="77777777" w:rsidR="00861C80" w:rsidRPr="00F04787" w:rsidRDefault="00861C80" w:rsidP="00A446F7">
      <w:pPr>
        <w:rPr>
          <w:lang w:val="en-US"/>
        </w:rPr>
      </w:pPr>
    </w:p>
    <w:p w14:paraId="6A1C29AC" w14:textId="437043FE" w:rsidR="00C833F4" w:rsidRPr="00F04787" w:rsidRDefault="00C833F4" w:rsidP="00A446F7">
      <w:pPr>
        <w:rPr>
          <w:lang w:val="en-US"/>
        </w:rPr>
      </w:pPr>
      <w:r w:rsidRPr="00F04787">
        <w:rPr>
          <w:lang w:val="en-US"/>
        </w:rPr>
        <w:t xml:space="preserve">where </w:t>
      </w:r>
      <m:oMath>
        <m:r>
          <w:rPr>
            <w:rFonts w:ascii="Cambria Math" w:hAnsi="Cambria Math"/>
            <w:lang w:val="en-US"/>
          </w:rPr>
          <m:t>ψ</m:t>
        </m:r>
      </m:oMath>
      <w:r w:rsidRPr="00F04787">
        <w:rPr>
          <w:lang w:val="en-US"/>
        </w:rPr>
        <w:t xml:space="preserve"> is the sensitivity of the diagnostic test. </w:t>
      </w:r>
    </w:p>
    <w:p w14:paraId="0BDF9D23" w14:textId="77777777" w:rsidR="00451795" w:rsidRPr="00F04787" w:rsidRDefault="00451795" w:rsidP="00A446F7">
      <w:pPr>
        <w:rPr>
          <w:lang w:val="en-US"/>
        </w:rPr>
      </w:pPr>
    </w:p>
    <w:p w14:paraId="37378888" w14:textId="0D99D735" w:rsidR="00A446F7" w:rsidRPr="00F04787" w:rsidRDefault="00A446F7" w:rsidP="00A446F7">
      <w:pPr>
        <w:rPr>
          <w:lang w:val="en-US"/>
        </w:rPr>
      </w:pPr>
      <w:r w:rsidRPr="00F04787">
        <w:rPr>
          <w:lang w:val="en-US"/>
        </w:rPr>
        <w:t xml:space="preserve">In </w:t>
      </w:r>
      <w:r w:rsidR="00EB1B53" w:rsidRPr="00F04787">
        <w:rPr>
          <w:lang w:val="en-US"/>
        </w:rPr>
        <w:t>the</w:t>
      </w:r>
      <w:r w:rsidRPr="00F04787">
        <w:rPr>
          <w:lang w:val="en-US"/>
        </w:rPr>
        <w:t xml:space="preserve"> discrete form, assuming that </w:t>
      </w:r>
      <m:oMath>
        <m:r>
          <w:rPr>
            <w:rFonts w:ascii="Cambria Math" w:hAnsi="Cambria Math"/>
            <w:lang w:val="en-US"/>
          </w:rPr>
          <m:t>d</m:t>
        </m:r>
        <m:d>
          <m:dPr>
            <m:ctrlPr>
              <w:rPr>
                <w:rFonts w:ascii="Cambria Math" w:hAnsi="Cambria Math"/>
                <w:i/>
                <w:lang w:val="en-US"/>
              </w:rPr>
            </m:ctrlPr>
          </m:dPr>
          <m:e>
            <m:r>
              <w:rPr>
                <w:rFonts w:ascii="Cambria Math" w:hAnsi="Cambria Math"/>
                <w:lang w:val="en-US"/>
              </w:rPr>
              <m:t>τ</m:t>
            </m:r>
          </m:e>
        </m:d>
      </m:oMath>
      <w:r w:rsidRPr="00F04787">
        <w:rPr>
          <w:lang w:val="en-US"/>
        </w:rPr>
        <w:t xml:space="preserve"> is the same for all</w:t>
      </w:r>
      <w:r w:rsidR="00FB1595" w:rsidRPr="00F04787">
        <w:rPr>
          <w:lang w:val="en-US"/>
        </w:rPr>
        <w:t xml:space="preserve"> age</w:t>
      </w:r>
      <w:r w:rsidRPr="00F04787">
        <w:rPr>
          <w:lang w:val="en-US"/>
        </w:rPr>
        <w:t xml:space="preserve"> groups, the expected number of</w:t>
      </w:r>
      <w:r w:rsidR="00451795" w:rsidRPr="00F04787">
        <w:rPr>
          <w:lang w:val="en-US"/>
        </w:rPr>
        <w:t xml:space="preserve"> infected</w:t>
      </w:r>
      <w:r w:rsidRPr="00F04787">
        <w:rPr>
          <w:lang w:val="en-US"/>
        </w:rPr>
        <w:t xml:space="preserve"> individuals </w:t>
      </w:r>
      <w:r w:rsidR="00451795" w:rsidRPr="00F04787">
        <w:rPr>
          <w:lang w:val="en-US"/>
        </w:rPr>
        <w:t>of age</w:t>
      </w:r>
      <w:r w:rsidRPr="00F04787">
        <w:rPr>
          <w:lang w:val="en-US"/>
        </w:rPr>
        <w:t xml:space="preserve"> group </w:t>
      </w:r>
      <m:oMath>
        <m:r>
          <w:rPr>
            <w:rFonts w:ascii="Cambria Math" w:hAnsi="Cambria Math"/>
            <w:lang w:val="en-US"/>
          </w:rPr>
          <m:t>a</m:t>
        </m:r>
      </m:oMath>
      <w:r w:rsidR="00451795" w:rsidRPr="00F04787">
        <w:rPr>
          <w:rFonts w:eastAsiaTheme="minorEastAsia"/>
          <w:lang w:val="en-US"/>
        </w:rPr>
        <w:t xml:space="preserve"> with infection age of </w:t>
      </w:r>
      <m:oMath>
        <m:r>
          <w:rPr>
            <w:rFonts w:ascii="Cambria Math" w:hAnsi="Cambria Math"/>
            <w:lang w:val="en-US"/>
          </w:rPr>
          <m:t>τ</m:t>
        </m:r>
      </m:oMath>
      <w:r w:rsidR="00451795" w:rsidRPr="00F04787">
        <w:rPr>
          <w:rFonts w:eastAsiaTheme="minorEastAsia"/>
          <w:lang w:val="en-US"/>
        </w:rPr>
        <w:t xml:space="preserve"> days</w:t>
      </w:r>
      <w:r w:rsidRPr="00F04787">
        <w:rPr>
          <w:lang w:val="en-US"/>
        </w:rPr>
        <w:t xml:space="preserve"> </w:t>
      </w:r>
      <w:r w:rsidR="009E6A76" w:rsidRPr="00F04787">
        <w:rPr>
          <w:lang w:val="en-US"/>
        </w:rPr>
        <w:t>that</w:t>
      </w:r>
      <w:r w:rsidRPr="00F04787">
        <w:rPr>
          <w:lang w:val="en-US"/>
        </w:rPr>
        <w:t xml:space="preserve"> are </w:t>
      </w:r>
      <w:r w:rsidR="00B91315" w:rsidRPr="00F04787">
        <w:rPr>
          <w:lang w:val="en-US"/>
        </w:rPr>
        <w:t>positively tested</w:t>
      </w:r>
      <w:r w:rsidRPr="00F04787">
        <w:rPr>
          <w:lang w:val="en-US"/>
        </w:rPr>
        <w:t xml:space="preserve"> on day </w:t>
      </w:r>
      <m:oMath>
        <m:r>
          <w:rPr>
            <w:rFonts w:ascii="Cambria Math" w:hAnsi="Cambria Math"/>
            <w:lang w:val="en-US"/>
          </w:rPr>
          <m:t>t</m:t>
        </m:r>
      </m:oMath>
      <w:r w:rsidRPr="00F04787">
        <w:rPr>
          <w:lang w:val="en-US"/>
        </w:rPr>
        <w:t xml:space="preserve"> is</w:t>
      </w:r>
      <w:r w:rsidR="001A3B95" w:rsidRPr="00F04787">
        <w:rPr>
          <w:lang w:val="en-US"/>
        </w:rPr>
        <w:t xml:space="preserve"> therefore</w:t>
      </w:r>
      <w:r w:rsidRPr="00F04787">
        <w:rPr>
          <w:lang w:val="en-US"/>
        </w:rPr>
        <w:t xml:space="preserve">: </w:t>
      </w:r>
    </w:p>
    <w:p w14:paraId="62FF82A9" w14:textId="77777777" w:rsidR="00861C80" w:rsidRPr="00F04787" w:rsidRDefault="00861C80" w:rsidP="00A446F7">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A446F7" w:rsidRPr="00F04787" w14:paraId="6DC1767F" w14:textId="77777777" w:rsidTr="001B626F">
        <w:tc>
          <w:tcPr>
            <w:tcW w:w="8075" w:type="dxa"/>
            <w:vAlign w:val="center"/>
          </w:tcPr>
          <w:p w14:paraId="687DA9FD" w14:textId="3DD44982" w:rsidR="00A446F7" w:rsidRPr="00F04787" w:rsidRDefault="00071619" w:rsidP="001B626F">
            <w:pPr>
              <w:jc w:val="center"/>
              <w:rPr>
                <w:lang w:val="en-US"/>
              </w:rPr>
            </w:pPr>
            <m:oMathPara>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t,a</m:t>
                    </m:r>
                  </m:sub>
                </m:sSub>
                <m:r>
                  <m:rPr>
                    <m:aln/>
                  </m:rPr>
                  <w:rPr>
                    <w:rFonts w:ascii="Cambria Math" w:hAnsi="Cambria Math"/>
                    <w:lang w:val="en-US"/>
                  </w:rPr>
                  <m:t>=ψ</m:t>
                </m:r>
                <m:nary>
                  <m:naryPr>
                    <m:chr m:val="∑"/>
                    <m:limLoc m:val="undOvr"/>
                    <m:ctrlPr>
                      <w:rPr>
                        <w:rFonts w:ascii="Cambria Math" w:hAnsi="Cambria Math"/>
                        <w:i/>
                        <w:lang w:val="en-US"/>
                      </w:rPr>
                    </m:ctrlPr>
                  </m:naryPr>
                  <m:sub>
                    <m:r>
                      <w:rPr>
                        <w:rFonts w:ascii="Cambria Math" w:hAnsi="Cambria Math"/>
                        <w:lang w:val="en-US"/>
                      </w:rPr>
                      <m:t>τ=0</m:t>
                    </m:r>
                  </m:sub>
                  <m:sup>
                    <m:r>
                      <w:rPr>
                        <w:rFonts w:ascii="Cambria Math" w:hAnsi="Cambria Math"/>
                        <w:lang w:val="en-US"/>
                      </w:rPr>
                      <m:t>t-1</m:t>
                    </m:r>
                  </m:sup>
                  <m:e>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t-τ</m:t>
                        </m:r>
                      </m:sub>
                    </m:sSub>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τ</m:t>
                        </m:r>
                        <m:r>
                          <m:rPr>
                            <m:sty m:val="p"/>
                          </m:rPr>
                          <w:rPr>
                            <w:rFonts w:ascii="Cambria Math" w:hAnsi="Cambria Math"/>
                            <w:lang w:val="en-US"/>
                          </w:rPr>
                          <m:t>,</m:t>
                        </m:r>
                        <m:r>
                          <w:rPr>
                            <w:rFonts w:ascii="Cambria Math" w:hAnsi="Cambria Math"/>
                            <w:lang w:val="en-US"/>
                          </w:rPr>
                          <m:t>y=0,a,d=0</m:t>
                        </m:r>
                      </m:sub>
                    </m:sSub>
                  </m:e>
                </m:nary>
                <m:r>
                  <w:rPr>
                    <w:rFonts w:ascii="Cambria Math" w:hAnsi="Cambria Math"/>
                    <w:lang w:val="en-US"/>
                  </w:rPr>
                  <m:t>=ψ</m:t>
                </m:r>
                <m:nary>
                  <m:naryPr>
                    <m:chr m:val="∑"/>
                    <m:limLoc m:val="undOvr"/>
                    <m:ctrlPr>
                      <w:rPr>
                        <w:rFonts w:ascii="Cambria Math" w:hAnsi="Cambria Math"/>
                        <w:i/>
                        <w:lang w:val="en-US"/>
                      </w:rPr>
                    </m:ctrlPr>
                  </m:naryPr>
                  <m:sub>
                    <m:r>
                      <w:rPr>
                        <w:rFonts w:ascii="Cambria Math" w:hAnsi="Cambria Math"/>
                        <w:lang w:val="en-US"/>
                      </w:rPr>
                      <m:t>τ=0</m:t>
                    </m:r>
                  </m:sub>
                  <m:sup>
                    <m:r>
                      <w:rPr>
                        <w:rFonts w:ascii="Cambria Math" w:hAnsi="Cambria Math"/>
                        <w:lang w:val="en-US"/>
                      </w:rPr>
                      <m:t>t-1</m:t>
                    </m:r>
                  </m:sup>
                  <m:e>
                    <m:d>
                      <m:dPr>
                        <m:ctrlPr>
                          <w:rPr>
                            <w:rFonts w:ascii="Cambria Math" w:hAnsi="Cambria Math"/>
                            <w:i/>
                            <w:lang w:val="en-US"/>
                          </w:rPr>
                        </m:ctrlPr>
                      </m:dPr>
                      <m:e>
                        <m:nary>
                          <m:naryPr>
                            <m:chr m:val="∑"/>
                            <m:limLoc m:val="undOvr"/>
                            <m:ctrlPr>
                              <w:rPr>
                                <w:rFonts w:ascii="Cambria Math" w:hAnsi="Cambria Math"/>
                                <w:i/>
                                <w:lang w:val="en-US"/>
                              </w:rPr>
                            </m:ctrlPr>
                          </m:naryPr>
                          <m:sub>
                            <m:r>
                              <w:rPr>
                                <w:rFonts w:ascii="Cambria Math" w:hAnsi="Cambria Math"/>
                                <w:lang w:val="en-US"/>
                              </w:rPr>
                              <m:t xml:space="preserve">ξ=0 </m:t>
                            </m:r>
                          </m:sub>
                          <m:sup>
                            <m:r>
                              <w:rPr>
                                <w:rFonts w:ascii="Cambria Math" w:hAnsi="Cambria Math"/>
                                <w:lang w:val="en-US"/>
                              </w:rPr>
                              <m:t>t-τ</m:t>
                            </m:r>
                          </m:sup>
                          <m:e>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ξ</m:t>
                                </m:r>
                              </m:sub>
                            </m:sSub>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t-τ-ξ</m:t>
                                </m:r>
                              </m:sub>
                            </m:sSub>
                          </m:e>
                        </m:nary>
                      </m:e>
                    </m:d>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τ</m:t>
                        </m:r>
                        <m:r>
                          <m:rPr>
                            <m:sty m:val="p"/>
                          </m:rPr>
                          <w:rPr>
                            <w:rFonts w:ascii="Cambria Math" w:hAnsi="Cambria Math"/>
                            <w:lang w:val="en-US"/>
                          </w:rPr>
                          <m:t>,</m:t>
                        </m:r>
                        <m:r>
                          <w:rPr>
                            <w:rFonts w:ascii="Cambria Math" w:hAnsi="Cambria Math"/>
                            <w:lang w:val="en-US"/>
                          </w:rPr>
                          <m:t>y=0,a,d=0</m:t>
                        </m:r>
                      </m:sub>
                    </m:sSub>
                  </m:e>
                </m:nary>
              </m:oMath>
            </m:oMathPara>
          </w:p>
        </w:tc>
        <w:tc>
          <w:tcPr>
            <w:tcW w:w="935" w:type="dxa"/>
            <w:vAlign w:val="center"/>
          </w:tcPr>
          <w:p w14:paraId="37EF2DEC" w14:textId="1C2F5B27" w:rsidR="00A446F7" w:rsidRPr="00F04787" w:rsidRDefault="00A446F7" w:rsidP="001B626F">
            <w:pPr>
              <w:jc w:val="center"/>
              <w:rPr>
                <w:lang w:val="en-US"/>
              </w:rPr>
            </w:pPr>
            <m:oMathPara>
              <m:oMath>
                <m:r>
                  <w:rPr>
                    <w:rFonts w:ascii="Cambria Math" w:hAnsi="Cambria Math"/>
                    <w:lang w:val="en-US"/>
                  </w:rPr>
                  <m:t>(17)</m:t>
                </m:r>
              </m:oMath>
            </m:oMathPara>
          </w:p>
        </w:tc>
      </w:tr>
    </w:tbl>
    <w:p w14:paraId="66777C26" w14:textId="730ACC96" w:rsidR="00861C80" w:rsidRPr="00F04787" w:rsidRDefault="00861C80" w:rsidP="00BD0AAF">
      <w:pPr>
        <w:rPr>
          <w:lang w:val="en-US"/>
        </w:rPr>
      </w:pPr>
    </w:p>
    <w:p w14:paraId="0498C16E" w14:textId="3B5F14EB" w:rsidR="00EB1B53" w:rsidRPr="00F04787" w:rsidRDefault="00A5578F" w:rsidP="00BD0AAF">
      <w:r w:rsidRPr="00F04787">
        <w:t>We assumed</w:t>
      </w:r>
      <w:r w:rsidR="00EB1B53" w:rsidRPr="00F04787">
        <w:t xml:space="preserve"> the ideal scenario where</w:t>
      </w:r>
      <w:r w:rsidRPr="00F04787">
        <w:t xml:space="preserve"> rapid diagnostic tests</w:t>
      </w:r>
      <w:r w:rsidR="009977DE" w:rsidRPr="00F04787">
        <w:t xml:space="preserve"> are used</w:t>
      </w:r>
      <w:r w:rsidR="00EB1B53" w:rsidRPr="00F04787">
        <w:t xml:space="preserve">, with no delay in obtaining results after testing, </w:t>
      </w:r>
      <w:r w:rsidR="009977DE" w:rsidRPr="00F04787">
        <w:t>and are widely</w:t>
      </w:r>
      <w:r w:rsidR="00EB1B53" w:rsidRPr="00F04787">
        <w:t xml:space="preserve"> available</w:t>
      </w:r>
      <w:r w:rsidR="009977DE" w:rsidRPr="00F04787">
        <w:t xml:space="preserve"> and</w:t>
      </w:r>
      <w:r w:rsidR="00EB1B53" w:rsidRPr="00F04787">
        <w:t xml:space="preserve"> accessible </w:t>
      </w:r>
      <w:r w:rsidR="009977DE" w:rsidRPr="00F04787">
        <w:t>to the whole population (i.e. no shortages)</w:t>
      </w:r>
      <w:r w:rsidRPr="00F04787">
        <w:t>.</w:t>
      </w:r>
      <w:r w:rsidR="00EB1B53" w:rsidRPr="00F04787">
        <w:t xml:space="preserve"> </w:t>
      </w:r>
    </w:p>
    <w:p w14:paraId="2BE48D70" w14:textId="77777777" w:rsidR="00EB1B53" w:rsidRPr="00F04787" w:rsidRDefault="00EB1B53" w:rsidP="00BD0AAF"/>
    <w:p w14:paraId="2439DA14" w14:textId="5E9C6899" w:rsidR="009E6A76" w:rsidRPr="00F04787" w:rsidRDefault="006265E6" w:rsidP="00BD0AAF">
      <w:r>
        <w:t>I</w:t>
      </w:r>
      <w:r w:rsidR="009E6A76" w:rsidRPr="00F04787">
        <w:t>nfected individuals</w:t>
      </w:r>
      <w:r>
        <w:t xml:space="preserve"> that test positive</w:t>
      </w:r>
      <w:r w:rsidR="009E6A76" w:rsidRPr="00F04787">
        <w:t xml:space="preserve"> may then be given antiviral</w:t>
      </w:r>
      <w:r w:rsidR="00134B19" w:rsidRPr="00F04787">
        <w:t xml:space="preserve"> </w:t>
      </w:r>
      <w:r w:rsidR="009E6A76" w:rsidRPr="00F04787">
        <w:t xml:space="preserve">that will change their infectiousness profile </w:t>
      </w:r>
      <m:oMath>
        <m:r>
          <w:rPr>
            <w:rFonts w:ascii="Cambria Math" w:hAnsi="Cambria Math"/>
          </w:rPr>
          <m:t>y</m:t>
        </m:r>
      </m:oMath>
      <w:r w:rsidR="009E6A76" w:rsidRPr="00F04787">
        <w:rPr>
          <w:rFonts w:eastAsiaTheme="minorEastAsia"/>
        </w:rPr>
        <w:t xml:space="preserve"> depending on the infection age </w:t>
      </w:r>
      <m:oMath>
        <m:r>
          <w:rPr>
            <w:rFonts w:ascii="Cambria Math" w:hAnsi="Cambria Math"/>
            <w:lang w:val="en-US"/>
          </w:rPr>
          <m:t>τ</m:t>
        </m:r>
      </m:oMath>
      <w:r w:rsidR="009E6A76" w:rsidRPr="00F04787">
        <w:rPr>
          <w:rFonts w:eastAsiaTheme="minorEastAsia"/>
          <w:lang w:val="en-US"/>
        </w:rPr>
        <w:t xml:space="preserve"> when the antiviral was administered</w:t>
      </w:r>
      <w:r w:rsidR="009E6A76" w:rsidRPr="00F04787">
        <w:t xml:space="preserve"> and whether or not the individual adhered to the treatment regime</w:t>
      </w:r>
      <w:r w:rsidR="00134B19" w:rsidRPr="00F04787">
        <w:t>. The number of test-and-treated individuals</w:t>
      </w:r>
      <w:r w:rsidR="00052441">
        <w:t xml:space="preserve"> (</w:t>
      </w:r>
      <m:oMath>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treatment,τ,a</m:t>
            </m:r>
          </m:sub>
        </m:sSub>
      </m:oMath>
      <w:r w:rsidR="00052441">
        <w:rPr>
          <w:rFonts w:eastAsiaTheme="minorEastAsia"/>
          <w:lang w:val="en-US"/>
        </w:rPr>
        <w:t>)</w:t>
      </w:r>
      <w:r w:rsidR="00134B19" w:rsidRPr="00F04787">
        <w:t xml:space="preserve"> </w:t>
      </w:r>
      <w:r w:rsidR="00134B19" w:rsidRPr="00F04787">
        <w:rPr>
          <w:lang w:val="en-US"/>
        </w:rPr>
        <w:t xml:space="preserve">of age group </w:t>
      </w:r>
      <m:oMath>
        <m:r>
          <w:rPr>
            <w:rFonts w:ascii="Cambria Math" w:hAnsi="Cambria Math"/>
            <w:lang w:val="en-US"/>
          </w:rPr>
          <m:t>a</m:t>
        </m:r>
      </m:oMath>
      <w:r w:rsidR="00134B19" w:rsidRPr="00F04787">
        <w:rPr>
          <w:rFonts w:eastAsiaTheme="minorEastAsia"/>
          <w:lang w:val="en-US"/>
        </w:rPr>
        <w:t xml:space="preserve"> with infection age of </w:t>
      </w:r>
      <m:oMath>
        <m:r>
          <w:rPr>
            <w:rFonts w:ascii="Cambria Math" w:hAnsi="Cambria Math"/>
            <w:lang w:val="en-US"/>
          </w:rPr>
          <m:t>τ</m:t>
        </m:r>
      </m:oMath>
      <w:r w:rsidR="00134B19" w:rsidRPr="00F04787">
        <w:rPr>
          <w:rFonts w:eastAsiaTheme="minorEastAsia"/>
          <w:lang w:val="en-US"/>
        </w:rPr>
        <w:t xml:space="preserve"> days</w:t>
      </w:r>
      <w:r w:rsidR="00134B19" w:rsidRPr="00F04787">
        <w:rPr>
          <w:lang w:val="en-US"/>
        </w:rPr>
        <w:t xml:space="preserve"> </w:t>
      </w:r>
      <w:r w:rsidR="00134B19" w:rsidRPr="00F04787">
        <w:t xml:space="preserve">who </w:t>
      </w:r>
      <w:r w:rsidR="00052441">
        <w:t>are treated is then:</w:t>
      </w:r>
      <w:r w:rsidR="00134B19" w:rsidRPr="00F04787">
        <w:t xml:space="preserve">  </w:t>
      </w:r>
    </w:p>
    <w:p w14:paraId="15F7040A" w14:textId="77777777" w:rsidR="009E6A76" w:rsidRPr="00F04787" w:rsidRDefault="009E6A76" w:rsidP="00BD0AA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134B19" w:rsidRPr="00F04787" w14:paraId="54FCED5D" w14:textId="77777777" w:rsidTr="007508CC">
        <w:tc>
          <w:tcPr>
            <w:tcW w:w="8075" w:type="dxa"/>
            <w:vAlign w:val="center"/>
          </w:tcPr>
          <w:p w14:paraId="00E5C3E7" w14:textId="47182D4F" w:rsidR="00134B19" w:rsidRPr="00F04787" w:rsidRDefault="00071619" w:rsidP="007508CC">
            <w:pPr>
              <w:jc w:val="center"/>
              <w:rPr>
                <w:lang w:val="en-US"/>
              </w:rPr>
            </w:pPr>
            <m:oMathPara>
              <m:oMath>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treatment,τ,a</m:t>
                    </m:r>
                  </m:sub>
                </m:sSub>
                <m:r>
                  <m:rPr>
                    <m:aln/>
                  </m:rPr>
                  <w:rPr>
                    <w:rFonts w:ascii="Cambria Math" w:hAnsi="Cambria Math"/>
                    <w:lang w:val="en-US"/>
                  </w:rPr>
                  <m:t>=ψ</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t-τ</m:t>
                    </m:r>
                  </m:sub>
                </m:sSub>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τ</m:t>
                    </m:r>
                    <m:r>
                      <m:rPr>
                        <m:sty m:val="p"/>
                      </m:rPr>
                      <w:rPr>
                        <w:rFonts w:ascii="Cambria Math" w:hAnsi="Cambria Math"/>
                        <w:lang w:val="en-US"/>
                      </w:rPr>
                      <m:t>,</m:t>
                    </m:r>
                    <m:r>
                      <w:rPr>
                        <w:rFonts w:ascii="Cambria Math" w:hAnsi="Cambria Math"/>
                        <w:lang w:val="en-US"/>
                      </w:rPr>
                      <m:t>y=0,a,d=0</m:t>
                    </m:r>
                  </m:sub>
                </m:sSub>
                <m:r>
                  <w:rPr>
                    <w:rFonts w:ascii="Cambria Math" w:hAnsi="Cambria Math"/>
                    <w:lang w:val="en-US"/>
                  </w:rPr>
                  <m:t xml:space="preserve">     ∀ τ≤t-1</m:t>
                </m:r>
              </m:oMath>
            </m:oMathPara>
          </w:p>
        </w:tc>
        <w:tc>
          <w:tcPr>
            <w:tcW w:w="935" w:type="dxa"/>
            <w:vAlign w:val="center"/>
          </w:tcPr>
          <w:p w14:paraId="09993117" w14:textId="2FAD68EC" w:rsidR="00134B19" w:rsidRPr="00F04787" w:rsidRDefault="00134B19" w:rsidP="007508CC">
            <w:pPr>
              <w:jc w:val="center"/>
              <w:rPr>
                <w:lang w:val="en-US"/>
              </w:rPr>
            </w:pPr>
            <m:oMathPara>
              <m:oMath>
                <m:r>
                  <w:rPr>
                    <w:rFonts w:ascii="Cambria Math" w:hAnsi="Cambria Math"/>
                    <w:lang w:val="en-US"/>
                  </w:rPr>
                  <m:t>(18)</m:t>
                </m:r>
              </m:oMath>
            </m:oMathPara>
          </w:p>
        </w:tc>
      </w:tr>
    </w:tbl>
    <w:p w14:paraId="2EEC5EEE" w14:textId="5A700184" w:rsidR="009E6A76" w:rsidRPr="00F04787" w:rsidRDefault="009E6A76" w:rsidP="00BD0AAF">
      <w:r w:rsidRPr="00F04787">
        <w:t xml:space="preserve">  </w:t>
      </w:r>
    </w:p>
    <w:p w14:paraId="15BDB71B" w14:textId="77777777" w:rsidR="009E6A76" w:rsidRPr="00F04787" w:rsidRDefault="009E6A76" w:rsidP="00BD0AAF"/>
    <w:p w14:paraId="1A7F62FE" w14:textId="451A1C55" w:rsidR="00BD0AAF" w:rsidRPr="00F04787" w:rsidRDefault="00A5578F" w:rsidP="00BD0AAF">
      <w:r w:rsidRPr="00F04787">
        <w:t xml:space="preserve">We also assumed that there is no delay in administration of antivirals upon receiving testing results (i.e. testing and drug administration occurs during the same clinical visit).  </w:t>
      </w:r>
    </w:p>
    <w:p w14:paraId="21367478" w14:textId="77777777" w:rsidR="00BD0AAF" w:rsidRPr="00F04787" w:rsidRDefault="00BD0AAF" w:rsidP="00BD0AAF"/>
    <w:p w14:paraId="6A5F98EE" w14:textId="19272088" w:rsidR="00A446F7" w:rsidRPr="00F04787" w:rsidRDefault="005A75E4" w:rsidP="0055385D">
      <w:pPr>
        <w:pStyle w:val="Heading2"/>
      </w:pPr>
      <w:bookmarkStart w:id="4" w:name="_Toc192246975"/>
      <w:r w:rsidRPr="00F04787">
        <w:t>P</w:t>
      </w:r>
      <w:r w:rsidR="00345559" w:rsidRPr="00F04787">
        <w:t>ost-exposure prophylaxis</w:t>
      </w:r>
      <w:bookmarkEnd w:id="4"/>
    </w:p>
    <w:p w14:paraId="21DA4251" w14:textId="28F89C0D" w:rsidR="00E70E82" w:rsidRPr="00F04787" w:rsidRDefault="00A446F7" w:rsidP="00A446F7">
      <w:pPr>
        <w:rPr>
          <w:lang w:val="en-US"/>
        </w:rPr>
      </w:pPr>
      <w:r w:rsidRPr="00F04787">
        <w:rPr>
          <w:lang w:val="en-US"/>
        </w:rPr>
        <w:t xml:space="preserve">Besides symptomatic testing, </w:t>
      </w:r>
      <w:r w:rsidR="00345559" w:rsidRPr="00F04787">
        <w:rPr>
          <w:lang w:val="en-US"/>
        </w:rPr>
        <w:t>contacts of positively-tested individuals may be</w:t>
      </w:r>
      <w:r w:rsidRPr="00F04787">
        <w:rPr>
          <w:lang w:val="en-US"/>
        </w:rPr>
        <w:t xml:space="preserve"> contact </w:t>
      </w:r>
      <w:r w:rsidR="00345559" w:rsidRPr="00F04787">
        <w:rPr>
          <w:lang w:val="en-US"/>
        </w:rPr>
        <w:t>traced</w:t>
      </w:r>
      <w:r w:rsidR="00A42EC4" w:rsidRPr="00F04787">
        <w:rPr>
          <w:lang w:val="en-US"/>
        </w:rPr>
        <w:t xml:space="preserve"> and be given </w:t>
      </w:r>
      <w:r w:rsidR="00345559" w:rsidRPr="00F04787">
        <w:rPr>
          <w:lang w:val="en-US"/>
        </w:rPr>
        <w:t>antivirals as a post-exposure prophylaxis which has been shown to be effective at reducing transmission risk.</w:t>
      </w:r>
      <w:r w:rsidR="00E70E82" w:rsidRPr="00F04787">
        <w:rPr>
          <w:lang w:val="en-US"/>
        </w:rPr>
        <w:fldChar w:fldCharType="begin"/>
      </w:r>
      <w:r w:rsidR="000B5579">
        <w:rPr>
          <w:lang w:val="en-US"/>
        </w:rPr>
        <w:instrText xml:space="preserve"> ADDIN ZOTERO_ITEM CSL_CITATION {"citationID":"G5qcTqKZ","properties":{"formattedCitation":"\\super 21,22\\nosupersub{}","plainCitation":"21,22","noteIndex":0},"citationItems":[{"id":100,"uris":["http://zotero.org/users/local/0pdZPGmr/items/XGBVRI4I","http://zotero.org/users/9596130/items/XGBVRI4I"],"itemData":{"id":100,"type":"article-journal","container-title":"New England Journal of Medicine","DOI":"10.1056/NEJMoa1915341","issue":"4","journalAbbreviation":"New England Journal of Medicine","note":"publisher: Massachusetts Medical Society","page":"309-320","title":"Baloxavir Marboxil for Prophylaxis against Influenza in Household Contacts","volume":"383","author":[{"literal":"Ikematsu Hideyuki"},{"literal":"Hayden Frederick G."},{"literal":"Kawaguchi Keiko"},{"literal":"Kinoshita Masahiro"},{"literal":"de Jong Menno D."},{"literal":"Lee Nelson"},{"literal":"Takashima Satoru"},{"literal":"Noshi Takeshi"},{"literal":"Tsuchiya Kenji"},{"literal":"Uehara Takeki"}],"issued":{"date-parts":[["2020",7,23]]}}},{"id":98,"uris":["http://zotero.org/users/local/0pdZPGmr/items/IGYA24Z2","http://zotero.org/users/9596130/items/IGYA24Z2"],"itemData":{"id":98,"type":"article-journal","container-title":"The Lancet","DOI":"10.1016/S0140-6736(24)01357-6","ISSN":"0140-6736","issue":"10454","note":"publisher: Elsevier","page":"764-772","title":"Antivirals for post-exposure prophylaxis of influenza: a systematic review and network meta-analysis","volume":"404","author":[{"family":"Zhao","given":"Yunli"},{"family":"Gao","given":"Ya"},{"family":"Guyatt","given":"Gordon"},{"family":"Uyeki","given":"Timothy M"},{"family":"Liu","given":"Ping"},{"family":"Liu","given":"Ming"},{"family":"Shen","given":"Yanjiao"},{"family":"Chen","given":"Xiaoyan"},{"family":"Luo","given":"Shuyue"},{"family":"Li","given":"Xingsheng"},{"family":"Huang","given":"Rongzhong"},{"family":"Hao","given":"Qiukui"}],"issued":{"date-parts":[["2024",8,24]]}}}],"schema":"https://github.com/citation-style-language/schema/raw/master/csl-citation.json"} </w:instrText>
      </w:r>
      <w:r w:rsidR="00E70E82" w:rsidRPr="00F04787">
        <w:rPr>
          <w:lang w:val="en-US"/>
        </w:rPr>
        <w:fldChar w:fldCharType="separate"/>
      </w:r>
      <w:r w:rsidR="000B5579" w:rsidRPr="000B5579">
        <w:rPr>
          <w:vertAlign w:val="superscript"/>
          <w:lang w:val="en-US"/>
        </w:rPr>
        <w:t>21,22</w:t>
      </w:r>
      <w:r w:rsidR="00E70E82" w:rsidRPr="00F04787">
        <w:rPr>
          <w:lang w:val="en-US"/>
        </w:rPr>
        <w:fldChar w:fldCharType="end"/>
      </w:r>
      <w:r w:rsidR="00E70E82" w:rsidRPr="00F04787">
        <w:rPr>
          <w:lang w:val="en-US"/>
        </w:rPr>
        <w:t xml:space="preserve"> </w:t>
      </w:r>
    </w:p>
    <w:p w14:paraId="43172D1F" w14:textId="1FF9CD50" w:rsidR="004D778B" w:rsidRPr="00F04787" w:rsidRDefault="00E22F6C" w:rsidP="00A446F7">
      <w:pPr>
        <w:rPr>
          <w:lang w:val="en-US"/>
        </w:rPr>
      </w:pPr>
      <w:r w:rsidRPr="00F04787">
        <w:rPr>
          <w:lang w:val="en-US"/>
        </w:rPr>
        <w:t>W</w:t>
      </w:r>
      <w:r w:rsidR="00A446F7" w:rsidRPr="00F04787">
        <w:rPr>
          <w:lang w:val="en-US"/>
        </w:rPr>
        <w:t xml:space="preserve">e focused on </w:t>
      </w:r>
      <w:r w:rsidR="00765BB0" w:rsidRPr="00F04787">
        <w:rPr>
          <w:lang w:val="en-US"/>
        </w:rPr>
        <w:t>forward</w:t>
      </w:r>
      <w:r w:rsidR="00A446F7" w:rsidRPr="00F04787">
        <w:rPr>
          <w:lang w:val="en-US"/>
        </w:rPr>
        <w:t xml:space="preserve"> contact tracing</w:t>
      </w:r>
      <w:r w:rsidR="00762D09" w:rsidRPr="00F04787">
        <w:rPr>
          <w:lang w:val="en-US"/>
        </w:rPr>
        <w:t xml:space="preserve">: </w:t>
      </w:r>
      <w:r w:rsidR="00AD48B8" w:rsidRPr="00F04787">
        <w:rPr>
          <w:lang w:val="en-US"/>
        </w:rPr>
        <w:t xml:space="preserve">exposed </w:t>
      </w:r>
      <w:r w:rsidR="00B04110" w:rsidRPr="00F04787">
        <w:rPr>
          <w:lang w:val="en-US"/>
        </w:rPr>
        <w:t>contacts</w:t>
      </w:r>
      <w:r w:rsidR="00A446F7" w:rsidRPr="00F04787">
        <w:rPr>
          <w:lang w:val="en-US"/>
        </w:rPr>
        <w:t xml:space="preserve"> </w:t>
      </w:r>
      <w:r w:rsidR="00765BB0" w:rsidRPr="00F04787">
        <w:rPr>
          <w:lang w:val="en-US"/>
        </w:rPr>
        <w:t>were</w:t>
      </w:r>
      <w:r w:rsidR="00A446F7" w:rsidRPr="00F04787">
        <w:rPr>
          <w:lang w:val="en-US"/>
        </w:rPr>
        <w:t xml:space="preserve"> identified by contact tracing </w:t>
      </w:r>
      <w:r w:rsidR="00AD48B8" w:rsidRPr="00F04787">
        <w:rPr>
          <w:lang w:val="en-US"/>
        </w:rPr>
        <w:t>after</w:t>
      </w:r>
      <w:r w:rsidR="00A446F7" w:rsidRPr="00F04787">
        <w:rPr>
          <w:lang w:val="en-US"/>
        </w:rPr>
        <w:t xml:space="preserve"> </w:t>
      </w:r>
      <w:r w:rsidR="00B04110" w:rsidRPr="00F04787">
        <w:rPr>
          <w:lang w:val="en-US"/>
        </w:rPr>
        <w:t>an index case</w:t>
      </w:r>
      <w:r w:rsidR="00E70E82" w:rsidRPr="00F04787">
        <w:rPr>
          <w:lang w:val="en-US"/>
        </w:rPr>
        <w:t xml:space="preserve"> </w:t>
      </w:r>
      <w:r w:rsidR="00A446F7" w:rsidRPr="00F04787">
        <w:rPr>
          <w:lang w:val="en-US"/>
        </w:rPr>
        <w:t>was</w:t>
      </w:r>
      <w:r w:rsidR="00B04110" w:rsidRPr="00F04787">
        <w:rPr>
          <w:lang w:val="en-US"/>
        </w:rPr>
        <w:t xml:space="preserve"> positively</w:t>
      </w:r>
      <w:r w:rsidR="00A446F7" w:rsidRPr="00F04787">
        <w:rPr>
          <w:lang w:val="en-US"/>
        </w:rPr>
        <w:t xml:space="preserve"> diagnosed.</w:t>
      </w:r>
      <w:r w:rsidR="00A446F7" w:rsidRPr="00F04787">
        <w:rPr>
          <w:lang w:val="en-US"/>
        </w:rPr>
        <w:fldChar w:fldCharType="begin"/>
      </w:r>
      <w:r w:rsidR="000B5579">
        <w:rPr>
          <w:lang w:val="en-US"/>
        </w:rPr>
        <w:instrText xml:space="preserve"> ADDIN ZOTERO_ITEM CSL_CITATION {"citationID":"kCne8Bhh","properties":{"formattedCitation":"\\super 23\\nosupersub{}","plainCitation":"23","noteIndex":0},"citationItems":[{"id":3,"uris":["http://zotero.org/users/local/0pdZPGmr/items/CKJ3PGKJ","http://zotero.org/users/9596130/items/CKJ3PGKJ"],"itemData":{"id":3,"type":"article-journal","container-title":"Royal Society Open Science","DOI":"10.1098/rsos.202091","issue":"4","journalAbbreviation":"Royal Society Open Science","note":"publisher: Royal Society","page":"202091","title":"A renewal equation model to assess roles and limitations of contact tracing for disease outbreak control","volume":"8","author":[{"family":"Scarabel","given":"Francesca"},{"family":"Pellis","given":"Lorenzo"},{"family":"Ogden","given":"Nicholas H."},{"family":"Wu","given":"Jianhong"}],"issued":{"date-parts":[["2021",4,7]]}}}],"schema":"https://github.com/citation-style-language/schema/raw/master/csl-citation.json"} </w:instrText>
      </w:r>
      <w:r w:rsidR="00A446F7" w:rsidRPr="00F04787">
        <w:rPr>
          <w:lang w:val="en-US"/>
        </w:rPr>
        <w:fldChar w:fldCharType="separate"/>
      </w:r>
      <w:r w:rsidR="000B5579" w:rsidRPr="000B5579">
        <w:rPr>
          <w:sz w:val="24"/>
          <w:vertAlign w:val="superscript"/>
          <w:lang w:val="en-US"/>
        </w:rPr>
        <w:t>23</w:t>
      </w:r>
      <w:r w:rsidR="00A446F7" w:rsidRPr="00F04787">
        <w:rPr>
          <w:lang w:val="en-US"/>
        </w:rPr>
        <w:fldChar w:fldCharType="end"/>
      </w:r>
      <w:r w:rsidR="00A446F7" w:rsidRPr="00F04787">
        <w:rPr>
          <w:lang w:val="en-US"/>
        </w:rPr>
        <w:t xml:space="preserve"> </w:t>
      </w:r>
      <w:r w:rsidR="00F17BD3" w:rsidRPr="00F04787">
        <w:rPr>
          <w:rFonts w:eastAsiaTheme="minorEastAsia"/>
          <w:lang w:val="en-US" w:eastAsia="zh-CN"/>
        </w:rPr>
        <w:t xml:space="preserve">The </w:t>
      </w:r>
      <w:r w:rsidR="00C953FD" w:rsidRPr="00F04787">
        <w:rPr>
          <w:rFonts w:eastAsiaTheme="minorEastAsia"/>
          <w:lang w:val="en-US" w:eastAsia="zh-CN"/>
        </w:rPr>
        <w:t>number</w:t>
      </w:r>
      <w:r w:rsidR="00F17BD3" w:rsidRPr="00F04787">
        <w:rPr>
          <w:rFonts w:eastAsiaTheme="minorEastAsia"/>
          <w:lang w:val="en-US" w:eastAsia="zh-CN"/>
        </w:rPr>
        <w:t xml:space="preserve"> </w:t>
      </w:r>
      <w:r w:rsidR="00C953FD" w:rsidRPr="00F04787">
        <w:rPr>
          <w:rFonts w:eastAsiaTheme="minorEastAsia"/>
          <w:lang w:val="en-US" w:eastAsia="zh-CN"/>
        </w:rPr>
        <w:t>of individuals of age group</w:t>
      </w:r>
      <w:r w:rsidR="00F17BD3" w:rsidRPr="00F04787">
        <w:rPr>
          <w:rFonts w:eastAsiaTheme="minorEastAsia"/>
          <w:lang w:val="en-US" w:eastAsia="zh-CN"/>
        </w:rPr>
        <w:t xml:space="preserve"> </w:t>
      </w:r>
      <m:oMath>
        <m:r>
          <w:rPr>
            <w:rFonts w:ascii="Cambria Math" w:eastAsiaTheme="minorEastAsia" w:hAnsi="Cambria Math"/>
            <w:lang w:val="en-US" w:eastAsia="zh-CN"/>
          </w:rPr>
          <m:t>a</m:t>
        </m:r>
      </m:oMath>
      <w:r w:rsidR="00F17BD3" w:rsidRPr="00F04787">
        <w:rPr>
          <w:rFonts w:eastAsiaTheme="minorEastAsia"/>
          <w:lang w:val="en-US" w:eastAsia="zh-CN"/>
        </w:rPr>
        <w:t xml:space="preserve"> </w:t>
      </w:r>
      <w:r w:rsidR="00C953FD" w:rsidRPr="00F04787">
        <w:rPr>
          <w:rFonts w:eastAsiaTheme="minorEastAsia"/>
          <w:lang w:val="en-US" w:eastAsia="zh-CN"/>
        </w:rPr>
        <w:t>that are</w:t>
      </w:r>
      <w:r w:rsidR="006C75E9" w:rsidRPr="00F04787">
        <w:rPr>
          <w:rFonts w:eastAsiaTheme="minorEastAsia"/>
          <w:lang w:val="en-US" w:eastAsia="zh-CN"/>
        </w:rPr>
        <w:t xml:space="preserve"> </w:t>
      </w:r>
      <w:r w:rsidR="00F17BD3" w:rsidRPr="00F04787">
        <w:rPr>
          <w:rFonts w:eastAsiaTheme="minorEastAsia"/>
          <w:lang w:val="en-US" w:eastAsia="zh-CN"/>
        </w:rPr>
        <w:t xml:space="preserve">traced </w:t>
      </w:r>
      <w:r w:rsidR="008A1272" w:rsidRPr="00F04787">
        <w:rPr>
          <w:rFonts w:eastAsiaTheme="minorEastAsia"/>
          <w:lang w:val="en-US" w:eastAsia="zh-CN"/>
        </w:rPr>
        <w:t xml:space="preserve">on day </w:t>
      </w:r>
      <m:oMath>
        <m:r>
          <w:rPr>
            <w:rFonts w:ascii="Cambria Math" w:eastAsiaTheme="minorEastAsia" w:hAnsi="Cambria Math"/>
            <w:lang w:val="en-US" w:eastAsia="zh-CN"/>
          </w:rPr>
          <m:t>t</m:t>
        </m:r>
      </m:oMath>
      <w:r w:rsidR="00F17BD3" w:rsidRPr="00F04787">
        <w:rPr>
          <w:rFonts w:eastAsiaTheme="minorEastAsia"/>
          <w:lang w:val="en-US" w:eastAsia="zh-CN"/>
        </w:rPr>
        <w:t xml:space="preserve"> </w:t>
      </w:r>
      <w:r w:rsidR="00D05DB0" w:rsidRPr="00F04787">
        <w:rPr>
          <w:rFonts w:eastAsiaTheme="minorEastAsia"/>
          <w:lang w:val="en-US" w:eastAsia="zh-CN"/>
        </w:rPr>
        <w:t>(</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t,a</m:t>
            </m:r>
          </m:sub>
        </m:sSub>
      </m:oMath>
      <w:r w:rsidR="00D05DB0" w:rsidRPr="00F04787">
        <w:rPr>
          <w:rFonts w:eastAsiaTheme="minorEastAsia"/>
          <w:lang w:val="en-US" w:eastAsia="zh-CN"/>
        </w:rPr>
        <w:t xml:space="preserve">) </w:t>
      </w:r>
      <w:r w:rsidR="00F17BD3" w:rsidRPr="00F04787">
        <w:rPr>
          <w:rFonts w:eastAsiaTheme="minorEastAsia"/>
          <w:lang w:val="en-US" w:eastAsia="zh-CN"/>
        </w:rPr>
        <w:t xml:space="preserve">depends on the </w:t>
      </w:r>
      <w:r w:rsidR="00355A17" w:rsidRPr="00F04787">
        <w:rPr>
          <w:rFonts w:eastAsiaTheme="minorEastAsia"/>
          <w:lang w:val="en-US" w:eastAsia="zh-CN"/>
        </w:rPr>
        <w:t>probability</w:t>
      </w:r>
      <w:r w:rsidR="00F17BD3" w:rsidRPr="00F04787">
        <w:rPr>
          <w:rFonts w:eastAsiaTheme="minorEastAsia"/>
          <w:lang w:val="en-US" w:eastAsia="zh-CN"/>
        </w:rPr>
        <w:t xml:space="preserve"> that a</w:t>
      </w:r>
      <w:r w:rsidR="004E2F06" w:rsidRPr="00F04787">
        <w:rPr>
          <w:rFonts w:eastAsiaTheme="minorEastAsia"/>
          <w:lang w:val="en-US" w:eastAsia="zh-CN"/>
        </w:rPr>
        <w:t xml:space="preserve">n </w:t>
      </w:r>
      <w:r w:rsidR="00F17BD3" w:rsidRPr="00F04787">
        <w:rPr>
          <w:rFonts w:eastAsiaTheme="minorEastAsia"/>
          <w:lang w:val="en-US" w:eastAsia="zh-CN"/>
        </w:rPr>
        <w:t>index case</w:t>
      </w:r>
      <w:r w:rsidR="00D05DB0" w:rsidRPr="00F04787">
        <w:rPr>
          <w:rFonts w:eastAsiaTheme="minorEastAsia"/>
          <w:lang w:val="en-US" w:eastAsia="zh-CN"/>
        </w:rPr>
        <w:t xml:space="preserve"> </w:t>
      </w:r>
      <w:r w:rsidR="00F17BD3" w:rsidRPr="00F04787">
        <w:rPr>
          <w:rFonts w:eastAsiaTheme="minorEastAsia"/>
          <w:lang w:val="en-US" w:eastAsia="zh-CN"/>
        </w:rPr>
        <w:t xml:space="preserve">with infection age </w:t>
      </w:r>
      <m:oMath>
        <m:r>
          <w:rPr>
            <w:rFonts w:ascii="Cambria Math" w:eastAsiaTheme="minorEastAsia" w:hAnsi="Cambria Math"/>
            <w:lang w:val="en-US" w:eastAsia="zh-CN"/>
          </w:rPr>
          <m:t>τ</m:t>
        </m:r>
      </m:oMath>
      <w:r w:rsidR="00F17BD3" w:rsidRPr="00F04787">
        <w:rPr>
          <w:rFonts w:eastAsiaTheme="minorEastAsia"/>
          <w:lang w:val="en-US" w:eastAsia="zh-CN"/>
        </w:rPr>
        <w:t xml:space="preserve"> was tested</w:t>
      </w:r>
      <w:r w:rsidR="004B00BF" w:rsidRPr="00F04787">
        <w:rPr>
          <w:rFonts w:eastAsiaTheme="minorEastAsia"/>
          <w:lang w:val="en-US" w:eastAsia="zh-CN"/>
        </w:rPr>
        <w:t xml:space="preserve"> positive</w:t>
      </w:r>
      <w:r w:rsidR="00114C31" w:rsidRPr="00F04787">
        <w:rPr>
          <w:rFonts w:eastAsiaTheme="minorEastAsia"/>
          <w:lang w:val="en-US" w:eastAsia="zh-CN"/>
        </w:rPr>
        <w:t xml:space="preserve"> </w:t>
      </w:r>
      <w:r w:rsidR="00686163" w:rsidRPr="00F04787">
        <w:rPr>
          <w:rFonts w:eastAsiaTheme="minorEastAsia"/>
          <w:lang w:val="en-US" w:eastAsia="zh-CN"/>
        </w:rPr>
        <w:t>(</w:t>
      </w:r>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τ</m:t>
            </m:r>
          </m:sub>
        </m:sSub>
        <m:r>
          <w:rPr>
            <w:rFonts w:ascii="Cambria Math" w:eastAsiaTheme="minorEastAsia" w:hAnsi="Cambria Math"/>
            <w:lang w:val="en-US"/>
          </w:rPr>
          <m:t>)</m:t>
        </m:r>
      </m:oMath>
      <w:r w:rsidR="00355A17" w:rsidRPr="00F04787">
        <w:rPr>
          <w:rFonts w:eastAsiaTheme="minorEastAsia"/>
          <w:lang w:val="en-US" w:eastAsia="zh-CN"/>
        </w:rPr>
        <w:t xml:space="preserve">, the </w:t>
      </w:r>
      <w:r w:rsidR="008A5DE9" w:rsidRPr="00F04787">
        <w:rPr>
          <w:rFonts w:eastAsiaTheme="minorEastAsia"/>
          <w:lang w:val="en-US" w:eastAsia="zh-CN"/>
        </w:rPr>
        <w:t>number of</w:t>
      </w:r>
      <w:r w:rsidR="00355A17" w:rsidRPr="00F04787">
        <w:rPr>
          <w:rFonts w:eastAsiaTheme="minorEastAsia"/>
          <w:lang w:val="en-US" w:eastAsia="zh-CN"/>
        </w:rPr>
        <w:t xml:space="preserve"> </w:t>
      </w:r>
      <w:r w:rsidR="00F13491" w:rsidRPr="00F04787">
        <w:rPr>
          <w:rFonts w:eastAsiaTheme="minorEastAsia"/>
          <w:lang w:val="en-US" w:eastAsia="zh-CN"/>
        </w:rPr>
        <w:t>infected individual</w:t>
      </w:r>
      <w:r w:rsidR="006265E6">
        <w:rPr>
          <w:rFonts w:eastAsiaTheme="minorEastAsia"/>
          <w:lang w:val="en-US" w:eastAsia="zh-CN"/>
        </w:rPr>
        <w:t>s</w:t>
      </w:r>
      <w:r w:rsidR="00355A17" w:rsidRPr="00F04787">
        <w:rPr>
          <w:rFonts w:eastAsiaTheme="minorEastAsia"/>
          <w:lang w:val="en-US" w:eastAsia="zh-CN"/>
        </w:rPr>
        <w:t xml:space="preserve"> of age group </w:t>
      </w:r>
      <m:oMath>
        <m:r>
          <w:rPr>
            <w:rFonts w:ascii="Cambria Math" w:eastAsiaTheme="minorEastAsia" w:hAnsi="Cambria Math"/>
            <w:lang w:val="en-US" w:eastAsia="zh-CN"/>
          </w:rPr>
          <m:t>α</m:t>
        </m:r>
      </m:oMath>
      <w:r w:rsidR="00355A17" w:rsidRPr="00F04787">
        <w:rPr>
          <w:rFonts w:eastAsiaTheme="minorEastAsia"/>
          <w:lang w:val="en-US" w:eastAsia="zh-CN"/>
        </w:rPr>
        <w:t xml:space="preserve"> </w:t>
      </w:r>
      <w:r w:rsidR="001939E6" w:rsidRPr="00F04787">
        <w:rPr>
          <w:rFonts w:eastAsiaTheme="minorEastAsia"/>
          <w:lang w:val="en-US" w:eastAsia="zh-CN"/>
        </w:rPr>
        <w:t>with infection age</w:t>
      </w:r>
      <w:r w:rsidR="00355A17" w:rsidRPr="00F04787">
        <w:rPr>
          <w:rFonts w:eastAsiaTheme="minorEastAsia"/>
          <w:lang w:val="en-US" w:eastAsia="zh-CN"/>
        </w:rPr>
        <w:t xml:space="preserve"> </w:t>
      </w:r>
      <m:oMath>
        <m:r>
          <w:rPr>
            <w:rFonts w:ascii="Cambria Math" w:eastAsiaTheme="minorEastAsia" w:hAnsi="Cambria Math"/>
            <w:lang w:val="en-US" w:eastAsia="zh-CN"/>
          </w:rPr>
          <m:t>τ</m:t>
        </m:r>
      </m:oMath>
      <w:r w:rsidR="001939E6" w:rsidRPr="00F04787">
        <w:rPr>
          <w:rFonts w:eastAsiaTheme="minorEastAsia"/>
          <w:lang w:val="en-US" w:eastAsia="zh-CN"/>
        </w:rPr>
        <w:t xml:space="preserve"> was </w:t>
      </w:r>
      <w:r w:rsidR="006933F4" w:rsidRPr="00F04787">
        <w:rPr>
          <w:rFonts w:eastAsiaTheme="minorEastAsia"/>
          <w:lang w:val="en-US" w:eastAsia="zh-CN"/>
        </w:rPr>
        <w:t>undiagnosed</w:t>
      </w:r>
      <w:r w:rsidR="001939E6" w:rsidRPr="00F04787">
        <w:rPr>
          <w:rFonts w:eastAsiaTheme="minorEastAsia"/>
          <w:lang w:val="en-US" w:eastAsia="zh-CN"/>
        </w:rPr>
        <w:t xml:space="preserve"> </w:t>
      </w:r>
      <w:r w:rsidR="004E2F06" w:rsidRPr="00F04787">
        <w:rPr>
          <w:rFonts w:eastAsiaTheme="minorEastAsia"/>
          <w:lang w:val="en-US" w:eastAsia="zh-CN"/>
        </w:rPr>
        <w:t>before</w:t>
      </w:r>
      <w:r w:rsidR="001939E6" w:rsidRPr="00F04787">
        <w:rPr>
          <w:rFonts w:eastAsiaTheme="minorEastAsia"/>
          <w:lang w:val="en-US" w:eastAsia="zh-CN"/>
        </w:rPr>
        <w:t xml:space="preserve"> </w:t>
      </w:r>
      <w:r w:rsidR="008A1272" w:rsidRPr="00F04787">
        <w:rPr>
          <w:rFonts w:eastAsiaTheme="minorEastAsia"/>
          <w:lang w:val="en-US" w:eastAsia="zh-CN"/>
        </w:rPr>
        <w:t>day</w:t>
      </w:r>
      <w:r w:rsidR="001939E6" w:rsidRPr="00F04787">
        <w:rPr>
          <w:rFonts w:eastAsiaTheme="minorEastAsia"/>
          <w:lang w:val="en-US" w:eastAsia="zh-CN"/>
        </w:rPr>
        <w:t xml:space="preserve"> </w:t>
      </w:r>
      <m:oMath>
        <m:r>
          <w:rPr>
            <w:rFonts w:ascii="Cambria Math" w:eastAsiaTheme="minorEastAsia" w:hAnsi="Cambria Math"/>
            <w:lang w:val="en-US" w:eastAsia="zh-CN"/>
          </w:rPr>
          <m:t>t</m:t>
        </m:r>
      </m:oMath>
      <w:r w:rsidR="00355A17" w:rsidRPr="00F04787">
        <w:rPr>
          <w:rFonts w:eastAsiaTheme="minorEastAsia"/>
          <w:lang w:val="en-US" w:eastAsia="zh-CN"/>
        </w:rPr>
        <w:t>,</w:t>
      </w:r>
      <w:r w:rsidR="00887028" w:rsidRPr="00F04787">
        <w:rPr>
          <w:rFonts w:eastAsiaTheme="minorEastAsia"/>
          <w:lang w:val="en-US" w:eastAsia="zh-CN"/>
        </w:rPr>
        <w:t xml:space="preserve"> </w:t>
      </w:r>
      <w:r w:rsidR="00D05DB0" w:rsidRPr="00F04787">
        <w:rPr>
          <w:rFonts w:eastAsiaTheme="minorEastAsia"/>
          <w:lang w:val="en-US" w:eastAsia="zh-CN"/>
        </w:rPr>
        <w:t xml:space="preserve">the </w:t>
      </w:r>
      <w:r w:rsidR="008A5DE9" w:rsidRPr="00F04787">
        <w:rPr>
          <w:rFonts w:eastAsiaTheme="minorEastAsia"/>
          <w:lang w:val="en-US" w:eastAsia="zh-CN"/>
        </w:rPr>
        <w:t>expected number of contacts that could be traced</w:t>
      </w:r>
      <w:r w:rsidR="00EE759F" w:rsidRPr="00F04787">
        <w:rPr>
          <w:rFonts w:eastAsiaTheme="minorEastAsia"/>
          <w:lang w:val="en-US" w:eastAsia="zh-CN"/>
        </w:rPr>
        <w:t xml:space="preserve"> and the relative fraction of </w:t>
      </w:r>
      <w:r w:rsidR="00FF708A" w:rsidRPr="00F04787">
        <w:rPr>
          <w:rFonts w:eastAsiaTheme="minorEastAsia"/>
          <w:lang w:val="en-US" w:eastAsia="zh-CN"/>
        </w:rPr>
        <w:t>contacts</w:t>
      </w:r>
      <w:r w:rsidR="00D05DB0" w:rsidRPr="00F04787">
        <w:rPr>
          <w:rFonts w:eastAsiaTheme="minorEastAsia"/>
          <w:lang w:val="en-US" w:eastAsia="zh-CN"/>
        </w:rPr>
        <w:t xml:space="preserve"> in age group </w:t>
      </w:r>
      <m:oMath>
        <m:r>
          <w:rPr>
            <w:rFonts w:ascii="Cambria Math" w:eastAsiaTheme="minorEastAsia" w:hAnsi="Cambria Math"/>
            <w:lang w:val="en-US" w:eastAsia="zh-CN"/>
          </w:rPr>
          <m:t>a</m:t>
        </m:r>
      </m:oMath>
      <w:r w:rsidR="00355A17" w:rsidRPr="00F04787">
        <w:rPr>
          <w:rFonts w:eastAsiaTheme="minorEastAsia"/>
          <w:lang w:val="en-US" w:eastAsia="zh-CN"/>
        </w:rPr>
        <w:t xml:space="preserve"> to index cases of age group </w:t>
      </w:r>
      <m:oMath>
        <m:r>
          <w:rPr>
            <w:rFonts w:ascii="Cambria Math" w:eastAsiaTheme="minorEastAsia" w:hAnsi="Cambria Math"/>
            <w:lang w:val="en-US" w:eastAsia="zh-CN"/>
          </w:rPr>
          <m:t>α</m:t>
        </m:r>
      </m:oMath>
      <w:r w:rsidR="00686163" w:rsidRPr="00F04787">
        <w:rPr>
          <w:rFonts w:eastAsiaTheme="minorEastAsia"/>
          <w:lang w:val="en-US" w:eastAsia="zh-CN"/>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α→a</m:t>
            </m:r>
          </m:sub>
        </m:sSub>
      </m:oMath>
      <w:r w:rsidR="00686163" w:rsidRPr="00F04787">
        <w:rPr>
          <w:rFonts w:eastAsiaTheme="minorEastAsia"/>
          <w:lang w:val="en-US"/>
        </w:rPr>
        <w:t>)</w:t>
      </w:r>
      <w:r w:rsidR="00D05DB0" w:rsidRPr="00F04787">
        <w:rPr>
          <w:rFonts w:eastAsiaTheme="minorEastAsia"/>
          <w:lang w:val="en-US" w:eastAsia="zh-CN"/>
        </w:rPr>
        <w:t xml:space="preserve">: </w:t>
      </w:r>
    </w:p>
    <w:p w14:paraId="78889B19" w14:textId="6C026C3A" w:rsidR="00D05DB0" w:rsidRPr="00F04787" w:rsidRDefault="00D05DB0" w:rsidP="00A446F7">
      <w:pPr>
        <w:rPr>
          <w:rFonts w:eastAsiaTheme="minorEastAsia"/>
          <w:lang w:val="en-US"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6A36B4" w:rsidRPr="00F04787" w14:paraId="63F77AFD" w14:textId="77777777" w:rsidTr="007508CC">
        <w:tc>
          <w:tcPr>
            <w:tcW w:w="8075" w:type="dxa"/>
            <w:vAlign w:val="center"/>
          </w:tcPr>
          <w:p w14:paraId="50BCE368" w14:textId="612E5A96" w:rsidR="006A36B4" w:rsidRPr="00F04787" w:rsidRDefault="00071619" w:rsidP="006A36B4">
            <w:pPr>
              <w:rPr>
                <w:lang w:val="en-US"/>
              </w:rPr>
            </w:pP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t,a</m:t>
                    </m:r>
                  </m:sub>
                </m:sSub>
                <m:r>
                  <w:rPr>
                    <w:rFonts w:ascii="Cambria Math" w:hAnsi="Cambria Math"/>
                    <w:lang w:val="en-US"/>
                  </w:rPr>
                  <m:t>=</m:t>
                </m:r>
                <m:nary>
                  <m:naryPr>
                    <m:chr m:val="∑"/>
                    <m:limLoc m:val="undOvr"/>
                    <m:ctrlPr>
                      <w:rPr>
                        <w:rFonts w:ascii="Cambria Math" w:hAnsi="Cambria Math"/>
                        <w:lang w:val="en-US"/>
                      </w:rPr>
                    </m:ctrlPr>
                  </m:naryPr>
                  <m:sub>
                    <m:r>
                      <w:rPr>
                        <w:rFonts w:ascii="Cambria Math" w:hAnsi="Cambria Math"/>
                        <w:lang w:val="en-US"/>
                      </w:rPr>
                      <m:t>α=1</m:t>
                    </m:r>
                  </m:sub>
                  <m:sup>
                    <m:r>
                      <w:rPr>
                        <w:rFonts w:ascii="Cambria Math" w:hAnsi="Cambria Math"/>
                        <w:lang w:val="en-US"/>
                      </w:rPr>
                      <m:t>n</m:t>
                    </m:r>
                  </m:sup>
                  <m:e>
                    <m:nary>
                      <m:naryPr>
                        <m:chr m:val="∑"/>
                        <m:limLoc m:val="undOvr"/>
                        <m:supHide m:val="1"/>
                        <m:ctrlPr>
                          <w:rPr>
                            <w:rFonts w:ascii="Cambria Math" w:hAnsi="Cambria Math"/>
                            <w:i/>
                            <w:lang w:val="en-US"/>
                          </w:rPr>
                        </m:ctrlPr>
                      </m:naryPr>
                      <m:sub>
                        <m:r>
                          <w:rPr>
                            <w:rFonts w:ascii="Cambria Math" w:hAnsi="Cambria Math"/>
                            <w:lang w:val="en-US"/>
                          </w:rPr>
                          <m:t>y</m:t>
                        </m:r>
                      </m:sub>
                      <m:sup/>
                      <m:e>
                        <m:nary>
                          <m:naryPr>
                            <m:chr m:val="∑"/>
                            <m:limLoc m:val="undOvr"/>
                            <m:ctrlPr>
                              <w:rPr>
                                <w:rFonts w:ascii="Cambria Math" w:hAnsi="Cambria Math"/>
                                <w:lang w:val="en-US"/>
                              </w:rPr>
                            </m:ctrlPr>
                          </m:naryPr>
                          <m:sub>
                            <m:r>
                              <w:rPr>
                                <w:rFonts w:ascii="Cambria Math" w:hAnsi="Cambria Math"/>
                                <w:lang w:val="en-US"/>
                              </w:rPr>
                              <m:t>τ</m:t>
                            </m:r>
                            <m:r>
                              <m:rPr>
                                <m:sty m:val="p"/>
                              </m:rPr>
                              <w:rPr>
                                <w:rFonts w:ascii="Cambria Math" w:hAnsi="Cambria Math"/>
                                <w:lang w:val="en-US"/>
                              </w:rPr>
                              <m:t>=0</m:t>
                            </m:r>
                          </m:sub>
                          <m:sup>
                            <m:r>
                              <w:rPr>
                                <w:rFonts w:ascii="Cambria Math" w:hAnsi="Cambria Math"/>
                                <w:lang w:val="en-US"/>
                              </w:rPr>
                              <m:t>t-1</m:t>
                            </m:r>
                          </m:sup>
                          <m:e>
                            <m:r>
                              <w:rPr>
                                <w:rFonts w:ascii="Cambria Math" w:hAnsi="Cambria Math"/>
                                <w:lang w:val="en-US"/>
                              </w:rPr>
                              <m:t>ψ</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t-τ</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τ</m:t>
                                </m:r>
                                <m:r>
                                  <m:rPr>
                                    <m:sty m:val="p"/>
                                  </m:rPr>
                                  <w:rPr>
                                    <w:rFonts w:ascii="Cambria Math" w:hAnsi="Cambria Math"/>
                                    <w:lang w:val="en-US"/>
                                  </w:rPr>
                                  <m:t>,</m:t>
                                </m:r>
                                <m:r>
                                  <w:rPr>
                                    <w:rFonts w:ascii="Cambria Math" w:hAnsi="Cambria Math"/>
                                    <w:lang w:val="en-US"/>
                                  </w:rPr>
                                  <m:t>y=0,α,d=0</m:t>
                                </m:r>
                              </m:sub>
                            </m:sSub>
                            <m:r>
                              <w:rPr>
                                <w:rFonts w:ascii="Cambria Math" w:hAnsi="Cambria Math"/>
                                <w:lang w:val="en-US"/>
                              </w:rPr>
                              <m:t>⋅ε</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α→a</m:t>
                                </m:r>
                              </m:sub>
                            </m:sSub>
                          </m:e>
                        </m:nary>
                      </m:e>
                    </m:nary>
                  </m:e>
                </m:nary>
              </m:oMath>
            </m:oMathPara>
          </w:p>
        </w:tc>
        <w:tc>
          <w:tcPr>
            <w:tcW w:w="935" w:type="dxa"/>
            <w:vAlign w:val="center"/>
          </w:tcPr>
          <w:p w14:paraId="796CF4C7" w14:textId="1CB41CCB" w:rsidR="006A36B4" w:rsidRPr="00F04787" w:rsidRDefault="006A36B4" w:rsidP="007508CC">
            <w:pPr>
              <w:jc w:val="center"/>
              <w:rPr>
                <w:lang w:val="en-US"/>
              </w:rPr>
            </w:pPr>
            <m:oMathPara>
              <m:oMath>
                <m:r>
                  <w:rPr>
                    <w:rFonts w:ascii="Cambria Math" w:hAnsi="Cambria Math"/>
                    <w:lang w:val="en-US"/>
                  </w:rPr>
                  <m:t>(19)</m:t>
                </m:r>
              </m:oMath>
            </m:oMathPara>
          </w:p>
        </w:tc>
      </w:tr>
    </w:tbl>
    <w:p w14:paraId="37DF0FFA" w14:textId="0374BC2C" w:rsidR="00467A60" w:rsidRPr="00F04787" w:rsidRDefault="00467A60" w:rsidP="00A446F7">
      <w:pPr>
        <w:rPr>
          <w:rFonts w:eastAsiaTheme="minorEastAsia"/>
          <w:lang w:val="en-US"/>
        </w:rPr>
      </w:pPr>
    </w:p>
    <w:p w14:paraId="1866BFEF" w14:textId="77777777" w:rsidR="00F932A8" w:rsidRPr="00F04787" w:rsidRDefault="00F932A8" w:rsidP="00A446F7">
      <w:pPr>
        <w:rPr>
          <w:rFonts w:eastAsiaTheme="minorEastAsia"/>
          <w:lang w:val="en-US"/>
        </w:rPr>
      </w:pPr>
    </w:p>
    <w:p w14:paraId="2F38C03E" w14:textId="26AFD32F" w:rsidR="006920CC" w:rsidRPr="00F04787" w:rsidRDefault="00B25B89" w:rsidP="00A446F7">
      <w:pPr>
        <w:rPr>
          <w:rFonts w:eastAsiaTheme="minorEastAsia"/>
          <w:lang w:val="en-US" w:eastAsia="zh-CN"/>
        </w:rPr>
      </w:pPr>
      <w:r w:rsidRPr="00F04787">
        <w:rPr>
          <w:rFonts w:eastAsiaTheme="minorEastAsia"/>
          <w:lang w:val="en-US"/>
        </w:rPr>
        <w:t>O</w:t>
      </w:r>
      <w:r w:rsidR="00467A60" w:rsidRPr="00F04787">
        <w:rPr>
          <w:rFonts w:eastAsiaTheme="minorEastAsia"/>
          <w:lang w:val="en-US"/>
        </w:rPr>
        <w:t xml:space="preserve">ur mathematical framework does not </w:t>
      </w:r>
      <w:r w:rsidR="00F932A8" w:rsidRPr="00F04787">
        <w:rPr>
          <w:rFonts w:eastAsiaTheme="minorEastAsia"/>
          <w:lang w:val="en-US"/>
        </w:rPr>
        <w:t xml:space="preserve">explicitly </w:t>
      </w:r>
      <w:r w:rsidR="00467A60" w:rsidRPr="00F04787">
        <w:rPr>
          <w:rFonts w:eastAsiaTheme="minorEastAsia"/>
          <w:lang w:val="en-US"/>
        </w:rPr>
        <w:t>model the underlying contact networks among individuals.</w:t>
      </w:r>
      <w:r w:rsidR="00A94BB5" w:rsidRPr="00F04787">
        <w:rPr>
          <w:rFonts w:eastAsiaTheme="minorEastAsia"/>
          <w:lang w:val="en-US"/>
        </w:rPr>
        <w:t xml:space="preserve"> However, assuming that household contacts</w:t>
      </w:r>
      <w:r w:rsidR="00535576" w:rsidRPr="00F04787">
        <w:rPr>
          <w:rFonts w:eastAsiaTheme="minorEastAsia"/>
          <w:lang w:val="en-US"/>
        </w:rPr>
        <w:t xml:space="preserve"> are the most convenient individuals that can be traced and be given post-exposure prophylaxis</w:t>
      </w:r>
      <w:r w:rsidR="00A94BB5" w:rsidRPr="00F04787">
        <w:rPr>
          <w:rFonts w:eastAsiaTheme="minorEastAsia"/>
          <w:lang w:val="en-US"/>
        </w:rPr>
        <w:t xml:space="preserve">, we </w:t>
      </w:r>
      <w:r w:rsidR="00F932A8" w:rsidRPr="00F04787">
        <w:rPr>
          <w:rFonts w:eastAsiaTheme="minorEastAsia"/>
          <w:lang w:val="en-US"/>
        </w:rPr>
        <w:t xml:space="preserve">could </w:t>
      </w:r>
      <w:r w:rsidR="00A94BB5" w:rsidRPr="00F04787">
        <w:rPr>
          <w:rFonts w:eastAsiaTheme="minorEastAsia"/>
          <w:lang w:val="en-US"/>
        </w:rPr>
        <w:t>approximate</w:t>
      </w:r>
      <w:r w:rsidR="00F932A8" w:rsidRPr="00F04787">
        <w:rPr>
          <w:rFonts w:eastAsiaTheme="minorEastAsia"/>
          <w:lang w:val="en-US"/>
        </w:rPr>
        <w:t xml:space="preserve"> the impact of distributing antivirals to exposed household contacts by</w:t>
      </w:r>
      <w:r w:rsidR="00A94BB5" w:rsidRPr="00F04787">
        <w:rPr>
          <w:rFonts w:eastAsiaTheme="minorEastAsia"/>
          <w:lang w:val="en-US"/>
        </w:rPr>
        <w:t xml:space="preserve"> </w:t>
      </w:r>
      <w:r w:rsidR="00F932A8" w:rsidRPr="00F04787">
        <w:rPr>
          <w:rFonts w:eastAsiaTheme="minorEastAsia"/>
          <w:lang w:val="en-US"/>
        </w:rPr>
        <w:t xml:space="preserve">assuming </w:t>
      </w:r>
      <m:oMath>
        <m:r>
          <w:rPr>
            <w:rFonts w:ascii="Cambria Math" w:hAnsi="Cambria Math"/>
            <w:lang w:val="en-US"/>
          </w:rPr>
          <m:t>ε</m:t>
        </m:r>
      </m:oMath>
      <w:r w:rsidR="00A94BB5" w:rsidRPr="00F04787">
        <w:rPr>
          <w:rFonts w:eastAsiaTheme="minorEastAsia"/>
          <w:lang w:val="en-US" w:eastAsia="zh-CN"/>
        </w:rPr>
        <w:t xml:space="preserve"> </w:t>
      </w:r>
      <w:r w:rsidR="00F932A8" w:rsidRPr="00F04787">
        <w:rPr>
          <w:rFonts w:eastAsiaTheme="minorEastAsia"/>
          <w:lang w:val="en-US" w:eastAsia="zh-CN"/>
        </w:rPr>
        <w:t>as</w:t>
      </w:r>
      <w:r w:rsidR="00613E45" w:rsidRPr="00F04787">
        <w:rPr>
          <w:rFonts w:eastAsiaTheme="minorEastAsia"/>
          <w:lang w:val="en-US" w:eastAsia="zh-CN"/>
        </w:rPr>
        <w:t xml:space="preserve"> the</w:t>
      </w:r>
      <w:r w:rsidR="00A94BB5" w:rsidRPr="00F04787">
        <w:rPr>
          <w:rFonts w:eastAsiaTheme="minorEastAsia"/>
          <w:lang w:val="en-US" w:eastAsia="zh-CN"/>
        </w:rPr>
        <w:t xml:space="preserve"> </w:t>
      </w:r>
      <w:r w:rsidR="00F6282C">
        <w:rPr>
          <w:rFonts w:eastAsiaTheme="minorEastAsia"/>
          <w:lang w:val="en-US" w:eastAsia="zh-CN"/>
        </w:rPr>
        <w:t>mean</w:t>
      </w:r>
      <w:r w:rsidR="00613E45" w:rsidRPr="00F04787">
        <w:rPr>
          <w:rFonts w:eastAsiaTheme="minorEastAsia"/>
          <w:lang w:val="en-US" w:eastAsia="zh-CN"/>
        </w:rPr>
        <w:t xml:space="preserve"> number of</w:t>
      </w:r>
      <w:r w:rsidR="007546CB" w:rsidRPr="00F04787">
        <w:rPr>
          <w:rFonts w:eastAsiaTheme="minorEastAsia"/>
          <w:lang w:val="en-US" w:eastAsia="zh-CN"/>
        </w:rPr>
        <w:t xml:space="preserve"> household contacts</w:t>
      </w:r>
      <w:r w:rsidR="006920CC" w:rsidRPr="00F04787">
        <w:rPr>
          <w:rFonts w:eastAsiaTheme="minorEastAsia"/>
          <w:lang w:val="en-US" w:eastAsia="zh-CN"/>
        </w:rPr>
        <w:t xml:space="preserve"> based on </w:t>
      </w:r>
      <w:r w:rsidR="00F932A8" w:rsidRPr="00F04787">
        <w:rPr>
          <w:rFonts w:eastAsiaTheme="minorEastAsia"/>
          <w:lang w:val="en-US" w:eastAsia="zh-CN"/>
        </w:rPr>
        <w:t xml:space="preserve">estimates from </w:t>
      </w:r>
      <w:r w:rsidR="006920CC" w:rsidRPr="00F04787">
        <w:rPr>
          <w:rFonts w:eastAsiaTheme="minorEastAsia"/>
          <w:lang w:val="en-US" w:eastAsia="zh-CN"/>
        </w:rPr>
        <w:t>the most recent United Nations World Population Prospects for that country</w:t>
      </w:r>
      <w:r w:rsidR="007546CB" w:rsidRPr="00F04787">
        <w:rPr>
          <w:rFonts w:eastAsiaTheme="minorEastAsia"/>
          <w:lang w:val="en-US" w:eastAsia="zh-CN"/>
        </w:rPr>
        <w:t>.</w:t>
      </w:r>
      <w:r w:rsidR="006920CC" w:rsidRPr="00F04787">
        <w:rPr>
          <w:rFonts w:eastAsiaTheme="minorEastAsia"/>
          <w:lang w:val="en-US" w:eastAsia="zh-CN"/>
        </w:rPr>
        <w:fldChar w:fldCharType="begin"/>
      </w:r>
      <w:r w:rsidR="000B5579">
        <w:rPr>
          <w:rFonts w:eastAsiaTheme="minorEastAsia"/>
          <w:lang w:val="en-US" w:eastAsia="zh-CN"/>
        </w:rPr>
        <w:instrText xml:space="preserve"> ADDIN ZOTERO_ITEM CSL_CITATION {"citationID":"dPv2PI4r","properties":{"formattedCitation":"\\super 24\\nosupersub{}","plainCitation":"24","noteIndex":0},"citationItems":[{"id":175,"uris":["http://zotero.org/users/local/0pdZPGmr/items/UW6QBSYW","http://zotero.org/users/9596130/items/UW6QBSYW"],"itemData":{"id":175,"type":"webpage","title":"World Population Prospects","URL":"https://population.un.org/wpp/","author":[{"literal":"United Nations"}],"accessed":{"date-parts":[["2025",1,6]]},"issued":{"date-parts":[["2024"]]}}}],"schema":"https://github.com/citation-style-language/schema/raw/master/csl-citation.json"} </w:instrText>
      </w:r>
      <w:r w:rsidR="006920CC" w:rsidRPr="00F04787">
        <w:rPr>
          <w:rFonts w:eastAsiaTheme="minorEastAsia"/>
          <w:lang w:val="en-US" w:eastAsia="zh-CN"/>
        </w:rPr>
        <w:fldChar w:fldCharType="separate"/>
      </w:r>
      <w:r w:rsidR="000B5579" w:rsidRPr="000B5579">
        <w:rPr>
          <w:vertAlign w:val="superscript"/>
          <w:lang w:val="en-US"/>
        </w:rPr>
        <w:t>24</w:t>
      </w:r>
      <w:r w:rsidR="006920CC" w:rsidRPr="00F04787">
        <w:rPr>
          <w:rFonts w:eastAsiaTheme="minorEastAsia"/>
          <w:lang w:val="en-US" w:eastAsia="zh-CN"/>
        </w:rPr>
        <w:fldChar w:fldCharType="end"/>
      </w:r>
      <w:r w:rsidR="007546CB" w:rsidRPr="00F04787">
        <w:rPr>
          <w:rFonts w:eastAsiaTheme="minorEastAsia"/>
          <w:lang w:val="en-US" w:eastAsia="zh-CN"/>
        </w:rPr>
        <w:t xml:space="preserve"> </w:t>
      </w:r>
      <w:r w:rsidR="00A94BB5" w:rsidRPr="00F04787">
        <w:rPr>
          <w:rFonts w:eastAsiaTheme="minorEastAsia"/>
          <w:lang w:val="en-US" w:eastAsia="zh-CN"/>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α→a</m:t>
            </m:r>
          </m:sub>
        </m:sSub>
      </m:oMath>
      <w:r w:rsidR="006920CC" w:rsidRPr="00F04787">
        <w:rPr>
          <w:rFonts w:eastAsiaTheme="minorEastAsia"/>
          <w:lang w:val="en-US"/>
        </w:rPr>
        <w:t xml:space="preserve"> </w:t>
      </w:r>
      <w:r w:rsidR="00613E45" w:rsidRPr="00F04787">
        <w:rPr>
          <w:rFonts w:eastAsiaTheme="minorEastAsia"/>
          <w:lang w:val="en-US"/>
        </w:rPr>
        <w:t>is</w:t>
      </w:r>
      <w:r w:rsidR="006920CC" w:rsidRPr="00F04787">
        <w:rPr>
          <w:rFonts w:eastAsiaTheme="minorEastAsia"/>
          <w:lang w:val="en-US"/>
        </w:rPr>
        <w:t xml:space="preserve"> inferred from </w:t>
      </w:r>
      <w:r w:rsidR="006920CC" w:rsidRPr="00F04787">
        <w:rPr>
          <w:lang w:val="en-US"/>
        </w:rPr>
        <w:t xml:space="preserve">country-specific estimates of </w:t>
      </w:r>
      <w:r w:rsidR="00F6282C">
        <w:rPr>
          <w:lang w:val="en-US"/>
        </w:rPr>
        <w:t>mean</w:t>
      </w:r>
      <w:r w:rsidR="006920CC" w:rsidRPr="00F04787">
        <w:rPr>
          <w:lang w:val="en-US"/>
        </w:rPr>
        <w:t xml:space="preserve"> contact rate matrix in households </w:t>
      </w:r>
      <w:r w:rsidR="00A94BB5" w:rsidRPr="00F04787">
        <w:rPr>
          <w:rFonts w:eastAsiaTheme="minorEastAsia"/>
          <w:lang w:val="en-US" w:eastAsia="zh-CN"/>
        </w:rPr>
        <w:t>from Prem et al.</w:t>
      </w:r>
      <w:r w:rsidR="00A94BB5" w:rsidRPr="00F04787">
        <w:rPr>
          <w:rFonts w:eastAsiaTheme="minorEastAsia"/>
          <w:lang w:val="en-US" w:eastAsia="zh-CN"/>
        </w:rPr>
        <w:fldChar w:fldCharType="begin"/>
      </w:r>
      <w:r w:rsidR="000B5579">
        <w:rPr>
          <w:rFonts w:eastAsiaTheme="minorEastAsia"/>
          <w:lang w:val="en-US" w:eastAsia="zh-CN"/>
        </w:rPr>
        <w:instrText xml:space="preserve"> ADDIN ZOTERO_ITEM CSL_CITATION {"citationID":"CLroednE","properties":{"formattedCitation":"\\super 14,15\\nosupersub{}","plainCitation":"14,15","noteIndex":0},"citationItems":[{"id":102,"uris":["http://zotero.org/users/local/0pdZPGmr/items/QTYWCC5P","http://zotero.org/users/9596130/items/QTYWCC5P"],"itemData":{"id":102,"type":"article-journal","abstract":"Author summary The risk of infectious disease transmission varies in different settings, for instance at home, at work or in the community, as a result of the different social structures and mixing patterns in those locations. These social structures vary across countries in different stages of development and with different demographics. Social contact patterns have been measured in a small number of countries, but in large swathes of the world, contact patterns are unmeasured, which makes it challenging to build mathematical or computer models of disease spread and control. In this work, we developed a modelling framework to combine social contact data from the past studies of contact patterns within eight countries in the EU with data from multiple data sources including the Demographic Household Surveys, World Bank and UN Statistics Division, to provide validated approximations to age-and-location-specific contact rates for 152 countries covering 95.9% of the world’s population.","container-title":"PLOS Computational Biology","DOI":"10.1371/journal.pcbi.1005697","issue":"9","journalAbbreviation":"PLOS Computational Biology","note":"publisher: Public Library of Science","page":"e1005697","title":"Projecting social contact matrices in 152 countries using contact surveys and demographic data","volume":"13","author":[{"family":"Prem","given":"Kiesha"},{"family":"Cook","given":"Alex R."},{"family":"Jit","given":"Mark"}],"issued":{"date-parts":[["2017",9,12]]}}},{"id":41,"uris":["http://zotero.org/users/local/0pdZPGmr/items/Y9EYKFFU","http://zotero.org/users/9596130/items/Y9EYKFFU"],"itemData":{"id":41,"type":"article-journal","abstract":"Author summary The risk of contracting a directly transmitted infectious disease such as the Coronavirus Disease 2019 (COVID-19) depends on who interacts with whom. Such person-to-person interactions vary by age and locations—e.g., at home, at work, at school, or in the community—due to the different social structures. These social structures, and thus contact patterns, vary across and within countries. Although social contact patterns can be measured using contact surveys, the majority of countries around the world, particularly low- and middle-income countries, lack nationally representative contact surveys. A simple way to present contact data is to use matrices where the elements represent the rate of contact between subgroups such as age groups represented by the columns and rows. In 2017, we generated age- and location-specific synthetic contact matrices for 152 geographical regions by adapting contact pattern data from eight European countries using country-specific data on household size, school and workplace composition. We have now updated these matrices with the most recent data (Demographic Household Surveys, World Bank, UN Population Division) extending the coverage to 177 geographical locations, covering 97.2% of the world’s population. We also quantified contact patterns in rural and urban settings. When compared to out-of-sample empirically-measured contact patterns, we found that the synthetic matrices reproduce the main features of these contact patterns.","container-title":"PLOS Computational Biology","DOI":"10.1371/journal.pcbi.1009098","issue":"7","journalAbbreviation":"PLOS Computational Biology","note":"publisher: Public Library of Science","page":"e1009098","title":"Projecting contact matrices in 177 geographical regions: An update and comparison with empirical data for the COVID-19 era","volume":"17","author":[{"family":"Prem","given":"Kiesha"},{"family":"Zandvoort","given":"Kevin","dropping-particle":"van"},{"family":"Klepac","given":"Petra"},{"family":"Eggo","given":"Rosalind M."},{"family":"Davies","given":"Nicholas G."},{"literal":"Centre for the Mathematical Modelling of Infectious Diseases COVID-19 Working Group"},{"family":"Cook","given":"Alex R."},{"family":"Jit","given":"Mark"}],"issued":{"date-parts":[["2021",7,26]]}}}],"schema":"https://github.com/citation-style-language/schema/raw/master/csl-citation.json"} </w:instrText>
      </w:r>
      <w:r w:rsidR="00A94BB5" w:rsidRPr="00F04787">
        <w:rPr>
          <w:rFonts w:eastAsiaTheme="minorEastAsia"/>
          <w:lang w:val="en-US" w:eastAsia="zh-CN"/>
        </w:rPr>
        <w:fldChar w:fldCharType="separate"/>
      </w:r>
      <w:r w:rsidR="000B5579" w:rsidRPr="000B5579">
        <w:rPr>
          <w:vertAlign w:val="superscript"/>
          <w:lang w:val="en-US"/>
        </w:rPr>
        <w:t>14,15</w:t>
      </w:r>
      <w:r w:rsidR="00A94BB5" w:rsidRPr="00F04787">
        <w:rPr>
          <w:rFonts w:eastAsiaTheme="minorEastAsia"/>
          <w:lang w:val="en-US" w:eastAsia="zh-CN"/>
        </w:rPr>
        <w:fldChar w:fldCharType="end"/>
      </w:r>
      <w:r w:rsidR="00A94BB5" w:rsidRPr="00F04787">
        <w:rPr>
          <w:rFonts w:eastAsiaTheme="minorEastAsia"/>
          <w:lang w:val="en-US" w:eastAsia="zh-CN"/>
        </w:rPr>
        <w:t xml:space="preserve"> </w:t>
      </w:r>
      <w:r w:rsidR="006920CC" w:rsidRPr="00F04787">
        <w:rPr>
          <w:rFonts w:eastAsiaTheme="minorEastAsia"/>
          <w:lang w:val="en-US" w:eastAsia="zh-CN"/>
        </w:rPr>
        <w:t xml:space="preserve">The expected number of </w:t>
      </w:r>
      <w:r w:rsidR="00F932A8" w:rsidRPr="00F04787">
        <w:rPr>
          <w:rFonts w:eastAsiaTheme="minorEastAsia"/>
          <w:lang w:val="en-US" w:eastAsia="zh-CN"/>
        </w:rPr>
        <w:t>susceptible</w:t>
      </w:r>
      <w:r w:rsidR="006920CC" w:rsidRPr="00F04787">
        <w:rPr>
          <w:rFonts w:eastAsiaTheme="minorEastAsia"/>
          <w:lang w:val="en-US" w:eastAsia="zh-CN"/>
        </w:rPr>
        <w:t xml:space="preserve"> individuals of age group </w:t>
      </w:r>
      <m:oMath>
        <m:r>
          <w:rPr>
            <w:rFonts w:ascii="Cambria Math" w:eastAsiaTheme="minorEastAsia" w:hAnsi="Cambria Math"/>
            <w:lang w:val="en-US" w:eastAsia="zh-CN"/>
          </w:rPr>
          <m:t>a</m:t>
        </m:r>
      </m:oMath>
      <w:r w:rsidR="006920CC" w:rsidRPr="00F04787">
        <w:rPr>
          <w:rFonts w:eastAsiaTheme="minorEastAsia"/>
          <w:lang w:val="en-US" w:eastAsia="zh-CN"/>
        </w:rPr>
        <w:t xml:space="preserve"> that are traced to be given post-exposure prophylaxis on day </w:t>
      </w:r>
      <m:oMath>
        <m:r>
          <w:rPr>
            <w:rFonts w:ascii="Cambria Math" w:eastAsiaTheme="minorEastAsia" w:hAnsi="Cambria Math"/>
            <w:lang w:val="en-US" w:eastAsia="zh-CN"/>
          </w:rPr>
          <m:t>t</m:t>
        </m:r>
      </m:oMath>
      <w:r w:rsidR="006920CC" w:rsidRPr="00F04787">
        <w:rPr>
          <w:rFonts w:eastAsiaTheme="minorEastAsia"/>
          <w:lang w:val="en-US" w:eastAsia="zh-CN"/>
        </w:rPr>
        <w:t xml:space="preserve"> is then computed as: </w:t>
      </w:r>
    </w:p>
    <w:p w14:paraId="02A43375" w14:textId="7056C3E0" w:rsidR="006920CC" w:rsidRPr="00F04787" w:rsidRDefault="006920CC" w:rsidP="00A446F7">
      <w:pPr>
        <w:rPr>
          <w:rFonts w:eastAsiaTheme="minorEastAsia"/>
          <w:lang w:val="en-US"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6920CC" w:rsidRPr="00F04787" w14:paraId="340071A1" w14:textId="77777777" w:rsidTr="007508CC">
        <w:tc>
          <w:tcPr>
            <w:tcW w:w="8075" w:type="dxa"/>
            <w:vAlign w:val="center"/>
          </w:tcPr>
          <w:p w14:paraId="319E0222" w14:textId="52653933" w:rsidR="006920CC" w:rsidRPr="00F04787" w:rsidRDefault="00071619" w:rsidP="007508CC">
            <w:pPr>
              <w:rPr>
                <w:lang w:val="en-US"/>
              </w:rPr>
            </w:pPr>
            <m:oMathPara>
              <m:oMath>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t,a</m:t>
                    </m:r>
                  </m:sub>
                  <m:sup>
                    <m:r>
                      <w:rPr>
                        <w:rFonts w:ascii="Cambria Math" w:hAnsi="Cambria Math"/>
                        <w:lang w:val="en-US"/>
                      </w:rPr>
                      <m:t>PEP</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t,a</m:t>
                    </m:r>
                  </m:sub>
                </m:sSub>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t,a</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t-γ</m:t>
                            </m:r>
                          </m:sub>
                          <m:sup>
                            <m:r>
                              <w:rPr>
                                <w:rFonts w:ascii="Cambria Math" w:hAnsi="Cambria Math"/>
                                <w:lang w:val="en-US"/>
                              </w:rPr>
                              <m:t>t-1</m:t>
                            </m:r>
                          </m:sup>
                          <m:e>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t,a</m:t>
                                </m:r>
                              </m:sub>
                              <m:sup>
                                <m:r>
                                  <w:rPr>
                                    <w:rFonts w:ascii="Cambria Math" w:hAnsi="Cambria Math"/>
                                    <w:lang w:val="en-US"/>
                                  </w:rPr>
                                  <m:t>PEP</m:t>
                                </m:r>
                              </m:sup>
                            </m:sSubSup>
                          </m:e>
                        </m:nary>
                      </m:num>
                      <m:den>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m:t>
                            </m:r>
                          </m:sub>
                        </m:sSub>
                      </m:den>
                    </m:f>
                  </m:e>
                </m:d>
              </m:oMath>
            </m:oMathPara>
          </w:p>
        </w:tc>
        <w:tc>
          <w:tcPr>
            <w:tcW w:w="935" w:type="dxa"/>
            <w:vAlign w:val="center"/>
          </w:tcPr>
          <w:p w14:paraId="15C4A526" w14:textId="4669DBA3" w:rsidR="006920CC" w:rsidRPr="00F04787" w:rsidRDefault="006920CC" w:rsidP="007508CC">
            <w:pPr>
              <w:jc w:val="center"/>
              <w:rPr>
                <w:lang w:val="en-US"/>
              </w:rPr>
            </w:pPr>
            <m:oMathPara>
              <m:oMath>
                <m:r>
                  <w:rPr>
                    <w:rFonts w:ascii="Cambria Math" w:hAnsi="Cambria Math"/>
                    <w:lang w:val="en-US"/>
                  </w:rPr>
                  <m:t>(20)</m:t>
                </m:r>
              </m:oMath>
            </m:oMathPara>
          </w:p>
        </w:tc>
      </w:tr>
    </w:tbl>
    <w:p w14:paraId="0DDDB887" w14:textId="77777777" w:rsidR="00A77FE7" w:rsidRPr="00F04787" w:rsidRDefault="00A77FE7" w:rsidP="00A446F7">
      <w:pPr>
        <w:rPr>
          <w:rFonts w:eastAsiaTheme="minorEastAsia"/>
          <w:lang w:val="en-US" w:eastAsia="zh-CN"/>
        </w:rPr>
      </w:pPr>
    </w:p>
    <w:p w14:paraId="4971928E" w14:textId="7EB4B071" w:rsidR="00D339C7" w:rsidRPr="00F04787" w:rsidRDefault="00E53B07" w:rsidP="00A446F7">
      <w:pPr>
        <w:rPr>
          <w:rFonts w:eastAsiaTheme="minorEastAsia"/>
          <w:lang w:val="en-US" w:eastAsia="zh-CN"/>
        </w:rPr>
      </w:pPr>
      <w:r w:rsidRPr="00F04787">
        <w:rPr>
          <w:rFonts w:eastAsiaTheme="minorEastAsia"/>
          <w:lang w:val="en-US"/>
        </w:rPr>
        <w:t xml:space="preserve">In turn, the number of previously infected individuals of age group </w:t>
      </w:r>
      <m:oMath>
        <m:r>
          <w:rPr>
            <w:rFonts w:ascii="Cambria Math" w:hAnsi="Cambria Math"/>
            <w:lang w:val="en-US"/>
          </w:rPr>
          <m:t>a</m:t>
        </m:r>
      </m:oMath>
      <w:r w:rsidRPr="00F04787">
        <w:rPr>
          <w:rFonts w:eastAsiaTheme="minorEastAsia"/>
          <w:lang w:val="en-US"/>
        </w:rPr>
        <w:t xml:space="preserve"> who are given post-exposure prophylaxis on day </w:t>
      </w:r>
      <m:oMath>
        <m:r>
          <w:rPr>
            <w:rFonts w:ascii="Cambria Math" w:hAnsi="Cambria Math"/>
            <w:lang w:val="en-US"/>
          </w:rPr>
          <m:t>t</m:t>
        </m:r>
      </m:oMath>
      <w:r w:rsidRPr="00F04787">
        <w:rPr>
          <w:rFonts w:eastAsiaTheme="minorEastAsia"/>
          <w:lang w:val="en-US"/>
        </w:rPr>
        <w:t xml:space="preserve"> is equals to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t,a</m:t>
            </m:r>
          </m:sub>
        </m:sSub>
        <m:r>
          <w:rPr>
            <w:rFonts w:ascii="Cambria Math" w:hAnsi="Cambria Math"/>
            <w:lang w:val="en-US"/>
          </w:rPr>
          <m:t>-</m:t>
        </m:r>
        <m:sSubSup>
          <m:sSubSupPr>
            <m:ctrlPr>
              <w:rPr>
                <w:rFonts w:ascii="Cambria Math" w:eastAsiaTheme="minorEastAsia" w:hAnsi="Cambria Math"/>
                <w:i/>
                <w:lang w:val="en-US" w:eastAsia="zh-CN"/>
              </w:rPr>
            </m:ctrlPr>
          </m:sSubSupPr>
          <m:e>
            <m:r>
              <w:rPr>
                <w:rFonts w:ascii="Cambria Math" w:hAnsi="Cambria Math"/>
                <w:lang w:val="en-US"/>
              </w:rPr>
              <m:t>S</m:t>
            </m:r>
          </m:e>
          <m:sub>
            <m:r>
              <w:rPr>
                <w:rFonts w:ascii="Cambria Math" w:hAnsi="Cambria Math"/>
                <w:lang w:val="en-US"/>
              </w:rPr>
              <m:t>t,a</m:t>
            </m:r>
          </m:sub>
          <m:sup>
            <m:r>
              <w:rPr>
                <w:rFonts w:ascii="Cambria Math" w:hAnsi="Cambria Math"/>
                <w:lang w:val="en-US"/>
              </w:rPr>
              <m:t>PEP</m:t>
            </m:r>
          </m:sup>
        </m:sSubSup>
      </m:oMath>
      <w:r w:rsidRPr="00F04787">
        <w:rPr>
          <w:rFonts w:eastAsiaTheme="minorEastAsia"/>
          <w:lang w:val="en-US"/>
        </w:rPr>
        <w:t xml:space="preserve">. We assumed that only undiagnosed and untreated infected individuals (i.e. </w:t>
      </w: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τ</m:t>
            </m:r>
            <m:r>
              <m:rPr>
                <m:sty m:val="p"/>
              </m:rPr>
              <w:rPr>
                <w:rFonts w:ascii="Cambria Math" w:hAnsi="Cambria Math"/>
                <w:lang w:val="en-US"/>
              </w:rPr>
              <m:t>,</m:t>
            </m:r>
            <m:r>
              <w:rPr>
                <w:rFonts w:ascii="Cambria Math" w:hAnsi="Cambria Math"/>
                <w:lang w:val="en-US"/>
              </w:rPr>
              <m:t>y=0,a,d=0</m:t>
            </m:r>
          </m:sub>
        </m:sSub>
      </m:oMath>
      <w:r w:rsidRPr="00F04787">
        <w:rPr>
          <w:rFonts w:eastAsiaTheme="minorEastAsia"/>
          <w:lang w:val="en-US"/>
        </w:rPr>
        <w:t>)</w:t>
      </w:r>
      <w:r w:rsidR="00554BE8">
        <w:rPr>
          <w:rFonts w:eastAsiaTheme="minorEastAsia"/>
          <w:lang w:val="en-US"/>
        </w:rPr>
        <w:t>, including asymptomatic infected individuals,</w:t>
      </w:r>
      <w:r w:rsidRPr="00F04787">
        <w:rPr>
          <w:rFonts w:eastAsiaTheme="minorEastAsia"/>
          <w:lang w:val="en-US"/>
        </w:rPr>
        <w:t xml:space="preserve"> were given post-exposure prophylaxis which would lower their infectiousness that </w:t>
      </w:r>
      <w:r w:rsidR="008E5E90" w:rsidRPr="00F04787">
        <w:rPr>
          <w:rFonts w:eastAsiaTheme="minorEastAsia"/>
          <w:lang w:val="en-US"/>
        </w:rPr>
        <w:t>similarly depend</w:t>
      </w:r>
      <w:r w:rsidRPr="00F04787">
        <w:rPr>
          <w:rFonts w:eastAsiaTheme="minorEastAsia"/>
          <w:lang w:val="en-US"/>
        </w:rPr>
        <w:t>ed</w:t>
      </w:r>
      <w:r w:rsidR="008E5E90" w:rsidRPr="00F04787">
        <w:rPr>
          <w:rFonts w:eastAsiaTheme="minorEastAsia"/>
          <w:lang w:val="en-US"/>
        </w:rPr>
        <w:t xml:space="preserve"> on the age of their infection </w:t>
      </w:r>
      <m:oMath>
        <m:r>
          <w:rPr>
            <w:rFonts w:ascii="Cambria Math" w:eastAsiaTheme="minorEastAsia" w:hAnsi="Cambria Math"/>
            <w:lang w:val="en-US" w:eastAsia="zh-CN"/>
          </w:rPr>
          <m:t>τ</m:t>
        </m:r>
      </m:oMath>
      <w:r w:rsidR="008E5E90" w:rsidRPr="00F04787">
        <w:rPr>
          <w:rFonts w:eastAsiaTheme="minorEastAsia"/>
          <w:lang w:val="en-US" w:eastAsia="zh-CN"/>
        </w:rPr>
        <w:t xml:space="preserve"> when they </w:t>
      </w:r>
      <w:r w:rsidRPr="00F04787">
        <w:rPr>
          <w:rFonts w:eastAsiaTheme="minorEastAsia"/>
          <w:lang w:val="en-US" w:eastAsia="zh-CN"/>
        </w:rPr>
        <w:t>were</w:t>
      </w:r>
      <w:r w:rsidR="008E5E90" w:rsidRPr="00F04787">
        <w:rPr>
          <w:rFonts w:eastAsiaTheme="minorEastAsia"/>
          <w:lang w:val="en-US" w:eastAsia="zh-CN"/>
        </w:rPr>
        <w:t xml:space="preserve"> administered the drug. </w:t>
      </w:r>
      <w:r w:rsidR="00087980" w:rsidRPr="00F04787">
        <w:rPr>
          <w:rFonts w:eastAsiaTheme="minorEastAsia"/>
          <w:lang w:val="en-US" w:eastAsia="zh-CN"/>
        </w:rPr>
        <w:t xml:space="preserve">We assumed that post-exposure prophylaxis are distributed multinomially across individuals with infection age </w:t>
      </w:r>
      <m:oMath>
        <m:r>
          <w:rPr>
            <w:rFonts w:ascii="Cambria Math" w:eastAsiaTheme="minorEastAsia" w:hAnsi="Cambria Math"/>
            <w:lang w:val="en-US" w:eastAsia="zh-CN"/>
          </w:rPr>
          <m:t>τ</m:t>
        </m:r>
      </m:oMath>
      <w:r w:rsidR="00087980" w:rsidRPr="00F04787">
        <w:rPr>
          <w:rFonts w:eastAsiaTheme="minorEastAsia"/>
          <w:lang w:val="en-US" w:eastAsia="zh-CN"/>
        </w:rPr>
        <w:t xml:space="preserve">, employing the Sainte-Laguë apportionment method for integer allocation. </w:t>
      </w:r>
    </w:p>
    <w:p w14:paraId="0FC8AD09" w14:textId="77777777" w:rsidR="00D339C7" w:rsidRPr="00F04787" w:rsidRDefault="00D339C7" w:rsidP="00A446F7">
      <w:pPr>
        <w:rPr>
          <w:rFonts w:eastAsiaTheme="minorEastAsia"/>
          <w:lang w:val="en-US"/>
        </w:rPr>
      </w:pPr>
    </w:p>
    <w:p w14:paraId="74CE1EC7" w14:textId="77777777" w:rsidR="004A69FC" w:rsidRPr="00F04787" w:rsidRDefault="004A69FC" w:rsidP="0055385D">
      <w:pPr>
        <w:pStyle w:val="Heading2"/>
      </w:pPr>
      <w:bookmarkStart w:id="5" w:name="_Toc192246976"/>
      <w:r w:rsidRPr="00F04787">
        <w:t>Hospitalization and deaths</w:t>
      </w:r>
      <w:bookmarkEnd w:id="5"/>
      <w:r w:rsidRPr="00F04787">
        <w:t xml:space="preserve"> </w:t>
      </w:r>
    </w:p>
    <w:p w14:paraId="227FA1A5" w14:textId="4D0DAF34" w:rsidR="004A69FC" w:rsidRPr="00F04787" w:rsidRDefault="00C574AA" w:rsidP="004A69FC">
      <w:pPr>
        <w:rPr>
          <w:lang w:val="en-US"/>
        </w:rPr>
      </w:pPr>
      <w:r w:rsidRPr="00F04787">
        <w:rPr>
          <w:lang w:val="en-US"/>
        </w:rPr>
        <w:t>We assumed that t</w:t>
      </w:r>
      <w:r w:rsidR="004A69FC" w:rsidRPr="00F04787">
        <w:rPr>
          <w:lang w:val="en-US"/>
        </w:rPr>
        <w:t xml:space="preserve">he expected number of </w:t>
      </w:r>
      <w:r w:rsidRPr="00F04787">
        <w:rPr>
          <w:lang w:val="en-US"/>
        </w:rPr>
        <w:t xml:space="preserve">hospitalisations and deaths correlate with the number of infected individuals. The number of </w:t>
      </w:r>
      <w:r w:rsidR="004A69FC" w:rsidRPr="00F04787">
        <w:rPr>
          <w:lang w:val="en-US"/>
        </w:rPr>
        <w:t xml:space="preserve">individuals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t,α</m:t>
            </m:r>
          </m:sub>
        </m:sSub>
      </m:oMath>
      <w:r w:rsidR="004A69FC" w:rsidRPr="00F04787">
        <w:rPr>
          <w:lang w:val="en-US"/>
        </w:rPr>
        <w:t xml:space="preserve"> in group </w:t>
      </w:r>
      <m:oMath>
        <m:r>
          <w:rPr>
            <w:rFonts w:ascii="Cambria Math" w:hAnsi="Cambria Math"/>
            <w:lang w:val="en-US"/>
          </w:rPr>
          <m:t>α</m:t>
        </m:r>
      </m:oMath>
      <w:r w:rsidR="004A69FC" w:rsidRPr="00F04787">
        <w:rPr>
          <w:lang w:val="en-US"/>
        </w:rPr>
        <w:t xml:space="preserve"> that are hospital</w:t>
      </w:r>
      <w:r w:rsidR="00665561">
        <w:rPr>
          <w:lang w:val="en-US"/>
        </w:rPr>
        <w:t>ise</w:t>
      </w:r>
      <w:r w:rsidR="004A69FC" w:rsidRPr="00F04787">
        <w:rPr>
          <w:lang w:val="en-US"/>
        </w:rPr>
        <w:t xml:space="preserve">d on day </w:t>
      </w:r>
      <m:oMath>
        <m:r>
          <w:rPr>
            <w:rFonts w:ascii="Cambria Math" w:hAnsi="Cambria Math"/>
            <w:lang w:val="en-US"/>
          </w:rPr>
          <m:t>t</m:t>
        </m:r>
      </m:oMath>
      <w:r w:rsidR="004A69FC" w:rsidRPr="00F04787">
        <w:rPr>
          <w:lang w:val="en-US"/>
        </w:rPr>
        <w:t xml:space="preserve"> is: </w:t>
      </w:r>
    </w:p>
    <w:p w14:paraId="1568F968" w14:textId="77777777" w:rsidR="004A69FC" w:rsidRPr="00F04787" w:rsidRDefault="004A69FC" w:rsidP="004A69FC">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4A69FC" w:rsidRPr="00F04787" w14:paraId="062D1052" w14:textId="77777777" w:rsidTr="006933F4">
        <w:tc>
          <w:tcPr>
            <w:tcW w:w="8075" w:type="dxa"/>
            <w:vAlign w:val="center"/>
          </w:tcPr>
          <w:p w14:paraId="7734C2AD" w14:textId="50E3D199" w:rsidR="004A69FC" w:rsidRPr="00F04787" w:rsidRDefault="00071619" w:rsidP="006933F4">
            <w:pPr>
              <w:rPr>
                <w:lang w:val="en-US"/>
              </w:rPr>
            </w:pPr>
            <m:oMathPara>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t,α</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τ=0</m:t>
                    </m:r>
                  </m:sub>
                  <m:sup>
                    <m:r>
                      <w:rPr>
                        <w:rFonts w:ascii="Cambria Math" w:hAnsi="Cambria Math"/>
                        <w:lang w:val="en-US"/>
                      </w:rPr>
                      <m:t>t-1</m:t>
                    </m:r>
                  </m:sup>
                  <m:e>
                    <m:d>
                      <m:dPr>
                        <m:ctrlPr>
                          <w:rPr>
                            <w:rFonts w:ascii="Cambria Math" w:hAnsi="Cambria Math"/>
                            <w:i/>
                            <w:lang w:val="en-US"/>
                          </w:rPr>
                        </m:ctrlPr>
                      </m:dPr>
                      <m:e>
                        <m:nary>
                          <m:naryPr>
                            <m:chr m:val="∑"/>
                            <m:limLoc m:val="undOvr"/>
                            <m:ctrlPr>
                              <w:rPr>
                                <w:rFonts w:ascii="Cambria Math" w:hAnsi="Cambria Math"/>
                                <w:i/>
                                <w:lang w:val="en-US"/>
                              </w:rPr>
                            </m:ctrlPr>
                          </m:naryPr>
                          <m:sub>
                            <m:r>
                              <w:rPr>
                                <w:rFonts w:ascii="Cambria Math" w:hAnsi="Cambria Math"/>
                                <w:lang w:val="en-US"/>
                              </w:rPr>
                              <m:t xml:space="preserve">ξ=0 </m:t>
                            </m:r>
                          </m:sub>
                          <m:sup>
                            <m:r>
                              <w:rPr>
                                <w:rFonts w:ascii="Cambria Math" w:hAnsi="Cambria Math"/>
                                <w:lang w:val="en-US"/>
                              </w:rPr>
                              <m:t>t-τ</m:t>
                            </m:r>
                          </m:sup>
                          <m:e>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ξ</m:t>
                                </m:r>
                              </m:sub>
                            </m:sSub>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α</m:t>
                                </m:r>
                              </m:sub>
                              <m:sup>
                                <m:r>
                                  <w:rPr>
                                    <w:rFonts w:ascii="Cambria Math" w:hAnsi="Cambria Math"/>
                                    <w:lang w:val="en-US"/>
                                  </w:rPr>
                                  <m:t>hosp</m:t>
                                </m:r>
                              </m:sup>
                            </m:sSubSup>
                          </m:e>
                        </m:nary>
                      </m:e>
                    </m:d>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τ,α</m:t>
                        </m:r>
                      </m:sub>
                    </m:sSub>
                  </m:e>
                </m:nary>
              </m:oMath>
            </m:oMathPara>
          </w:p>
        </w:tc>
        <w:tc>
          <w:tcPr>
            <w:tcW w:w="935" w:type="dxa"/>
            <w:vAlign w:val="center"/>
          </w:tcPr>
          <w:p w14:paraId="3E1D5405" w14:textId="561A9B4F" w:rsidR="004A69FC" w:rsidRPr="00F04787" w:rsidRDefault="004A69FC" w:rsidP="006933F4">
            <w:pPr>
              <w:jc w:val="center"/>
              <w:rPr>
                <w:lang w:val="en-US"/>
              </w:rPr>
            </w:pPr>
            <m:oMathPara>
              <m:oMath>
                <m:r>
                  <w:rPr>
                    <w:rFonts w:ascii="Cambria Math" w:hAnsi="Cambria Math"/>
                    <w:lang w:val="en-US"/>
                  </w:rPr>
                  <m:t>(21)</m:t>
                </m:r>
              </m:oMath>
            </m:oMathPara>
          </w:p>
        </w:tc>
      </w:tr>
    </w:tbl>
    <w:p w14:paraId="09D7DEBA" w14:textId="77777777" w:rsidR="004A69FC" w:rsidRPr="00F04787" w:rsidRDefault="004A69FC" w:rsidP="004A69FC">
      <w:pPr>
        <w:rPr>
          <w:lang w:val="en-US"/>
        </w:rPr>
      </w:pPr>
    </w:p>
    <w:p w14:paraId="39883D3E" w14:textId="2B7F0EC1" w:rsidR="004A69FC" w:rsidRPr="00F04787" w:rsidRDefault="004A69FC" w:rsidP="004A69FC">
      <w:pPr>
        <w:rPr>
          <w:lang w:val="en-US"/>
        </w:rPr>
      </w:pPr>
      <w:r w:rsidRPr="00F04787">
        <w:rPr>
          <w:lang w:val="en-US"/>
        </w:rPr>
        <w:t xml:space="preserve">where </w:t>
      </w:r>
      <m:oMath>
        <m:sSubSup>
          <m:sSubSupPr>
            <m:ctrlPr>
              <w:rPr>
                <w:rFonts w:ascii="Cambria Math" w:eastAsiaTheme="minorEastAsia" w:hAnsi="Cambria Math"/>
                <w:i/>
                <w:lang w:val="en-US" w:eastAsia="zh-CN"/>
              </w:rPr>
            </m:ctrlPr>
          </m:sSubSupPr>
          <m:e>
            <m:r>
              <w:rPr>
                <w:rFonts w:ascii="Cambria Math" w:hAnsi="Cambria Math"/>
                <w:lang w:val="en-US"/>
              </w:rPr>
              <m:t>p</m:t>
            </m:r>
          </m:e>
          <m:sub>
            <m:r>
              <w:rPr>
                <w:rFonts w:ascii="Cambria Math" w:hAnsi="Cambria Math"/>
                <w:lang w:val="en-US"/>
              </w:rPr>
              <m:t>α</m:t>
            </m:r>
          </m:sub>
          <m:sup>
            <m:r>
              <w:rPr>
                <w:rFonts w:ascii="Cambria Math" w:hAnsi="Cambria Math"/>
                <w:lang w:val="en-US"/>
              </w:rPr>
              <m:t>hosp</m:t>
            </m:r>
          </m:sup>
        </m:sSubSup>
      </m:oMath>
      <w:r w:rsidRPr="00F04787">
        <w:rPr>
          <w:lang w:val="en-US"/>
        </w:rPr>
        <w:t xml:space="preserve"> is the probability that symptomatic individuals in group </w:t>
      </w:r>
      <m:oMath>
        <m:r>
          <w:rPr>
            <w:rFonts w:ascii="Cambria Math" w:hAnsi="Cambria Math"/>
            <w:lang w:val="en-US"/>
          </w:rPr>
          <m:t>α</m:t>
        </m:r>
      </m:oMath>
      <w:r w:rsidRPr="00F04787">
        <w:rPr>
          <w:lang w:val="en-US"/>
        </w:rPr>
        <w:t xml:space="preserve"> are hospital</w:t>
      </w:r>
      <w:r w:rsidR="00665561">
        <w:rPr>
          <w:lang w:val="en-US"/>
        </w:rPr>
        <w:t>ise</w:t>
      </w:r>
      <w:r w:rsidRPr="00F04787">
        <w:rPr>
          <w:lang w:val="en-US"/>
        </w:rPr>
        <w:t xml:space="preserve">d. </w:t>
      </w:r>
    </w:p>
    <w:p w14:paraId="6EA88D59" w14:textId="53437E26" w:rsidR="00C9431E" w:rsidRPr="00F04787" w:rsidRDefault="00C9431E" w:rsidP="004A69FC">
      <w:pPr>
        <w:rPr>
          <w:lang w:val="en-US"/>
        </w:rPr>
      </w:pPr>
    </w:p>
    <w:p w14:paraId="5F4B6A85" w14:textId="6DA09222" w:rsidR="00C9431E" w:rsidRPr="00F04787" w:rsidRDefault="00C9431E" w:rsidP="004A69FC">
      <w:pPr>
        <w:rPr>
          <w:rFonts w:eastAsiaTheme="minorEastAsia"/>
          <w:lang w:val="en-US"/>
        </w:rPr>
      </w:pPr>
      <w:r w:rsidRPr="00F04787">
        <w:rPr>
          <w:lang w:val="en-US"/>
        </w:rPr>
        <w:t xml:space="preserve">Analogously, the number of deaths in group </w:t>
      </w:r>
      <m:oMath>
        <m:r>
          <w:rPr>
            <w:rFonts w:ascii="Cambria Math" w:hAnsi="Cambria Math"/>
            <w:lang w:val="en-US"/>
          </w:rPr>
          <m:t>α</m:t>
        </m:r>
      </m:oMath>
      <w:r w:rsidRPr="00F04787">
        <w:rPr>
          <w:rFonts w:eastAsiaTheme="minorEastAsia"/>
          <w:lang w:val="en-US"/>
        </w:rPr>
        <w:t xml:space="preserve"> on day </w:t>
      </w:r>
      <m:oMath>
        <m:r>
          <w:rPr>
            <w:rFonts w:ascii="Cambria Math" w:hAnsi="Cambria Math"/>
            <w:lang w:val="en-US"/>
          </w:rPr>
          <m:t>t</m:t>
        </m:r>
      </m:oMath>
      <w:r w:rsidR="009C0D45" w:rsidRPr="00F04787">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t,α</m:t>
            </m:r>
          </m:sub>
        </m:sSub>
      </m:oMath>
      <w:r w:rsidR="009C0D45" w:rsidRPr="00F04787">
        <w:rPr>
          <w:rFonts w:eastAsiaTheme="minorEastAsia"/>
          <w:lang w:val="en-US"/>
        </w:rPr>
        <w:t>)</w:t>
      </w:r>
      <w:r w:rsidRPr="00F04787">
        <w:rPr>
          <w:rFonts w:eastAsiaTheme="minorEastAsia"/>
          <w:lang w:val="en-US"/>
        </w:rPr>
        <w:t xml:space="preserve"> is </w:t>
      </w:r>
    </w:p>
    <w:p w14:paraId="631C5AEC" w14:textId="77777777" w:rsidR="00C9431E" w:rsidRPr="00F04787" w:rsidRDefault="00C9431E" w:rsidP="004A69FC">
      <w:pPr>
        <w:rPr>
          <w:rFonts w:eastAsiaTheme="minorEastAsia"/>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C9431E" w:rsidRPr="00F04787" w14:paraId="621A2B31" w14:textId="77777777" w:rsidTr="007508CC">
        <w:tc>
          <w:tcPr>
            <w:tcW w:w="8075" w:type="dxa"/>
            <w:vAlign w:val="center"/>
          </w:tcPr>
          <w:p w14:paraId="41BD5E2C" w14:textId="5B4A20DF" w:rsidR="00C9431E" w:rsidRPr="00F04787" w:rsidRDefault="00071619" w:rsidP="007508CC">
            <w:pPr>
              <w:rPr>
                <w:lang w:val="en-US"/>
              </w:rPr>
            </w:pPr>
            <m:oMathPara>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t,α</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τ=0</m:t>
                    </m:r>
                  </m:sub>
                  <m:sup>
                    <m:r>
                      <w:rPr>
                        <w:rFonts w:ascii="Cambria Math" w:hAnsi="Cambria Math"/>
                        <w:lang w:val="en-US"/>
                      </w:rPr>
                      <m:t>t-1</m:t>
                    </m:r>
                  </m:sup>
                  <m:e>
                    <m:d>
                      <m:dPr>
                        <m:ctrlPr>
                          <w:rPr>
                            <w:rFonts w:ascii="Cambria Math" w:hAnsi="Cambria Math"/>
                            <w:i/>
                            <w:lang w:val="en-US"/>
                          </w:rPr>
                        </m:ctrlPr>
                      </m:dPr>
                      <m:e>
                        <m:nary>
                          <m:naryPr>
                            <m:chr m:val="∑"/>
                            <m:limLoc m:val="undOvr"/>
                            <m:ctrlPr>
                              <w:rPr>
                                <w:rFonts w:ascii="Cambria Math" w:hAnsi="Cambria Math"/>
                                <w:i/>
                                <w:lang w:val="en-US"/>
                              </w:rPr>
                            </m:ctrlPr>
                          </m:naryPr>
                          <m:sub>
                            <m:r>
                              <w:rPr>
                                <w:rFonts w:ascii="Cambria Math" w:hAnsi="Cambria Math"/>
                                <w:lang w:val="en-US"/>
                              </w:rPr>
                              <m:t xml:space="preserve">ξ=0 </m:t>
                            </m:r>
                          </m:sub>
                          <m:sup>
                            <m:r>
                              <w:rPr>
                                <w:rFonts w:ascii="Cambria Math" w:hAnsi="Cambria Math"/>
                                <w:lang w:val="en-US"/>
                              </w:rPr>
                              <m:t>t-τ</m:t>
                            </m:r>
                          </m:sup>
                          <m:e>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ξ</m:t>
                                </m:r>
                              </m:sub>
                            </m:sSub>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α</m:t>
                                </m:r>
                              </m:sub>
                              <m:sup>
                                <m:r>
                                  <w:rPr>
                                    <w:rFonts w:ascii="Cambria Math" w:hAnsi="Cambria Math"/>
                                    <w:lang w:val="en-US"/>
                                  </w:rPr>
                                  <m:t>dea</m:t>
                                </m:r>
                              </m:sup>
                            </m:sSubSup>
                          </m:e>
                        </m:nary>
                      </m:e>
                    </m:d>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τ,α</m:t>
                        </m:r>
                      </m:sub>
                    </m:sSub>
                  </m:e>
                </m:nary>
              </m:oMath>
            </m:oMathPara>
          </w:p>
        </w:tc>
        <w:tc>
          <w:tcPr>
            <w:tcW w:w="935" w:type="dxa"/>
            <w:vAlign w:val="center"/>
          </w:tcPr>
          <w:p w14:paraId="18D297E7" w14:textId="007DEEF7" w:rsidR="00C9431E" w:rsidRPr="00F04787" w:rsidRDefault="00C9431E" w:rsidP="007508CC">
            <w:pPr>
              <w:jc w:val="center"/>
              <w:rPr>
                <w:lang w:val="en-US"/>
              </w:rPr>
            </w:pPr>
            <m:oMathPara>
              <m:oMath>
                <m:r>
                  <w:rPr>
                    <w:rFonts w:ascii="Cambria Math" w:hAnsi="Cambria Math"/>
                    <w:lang w:val="en-US"/>
                  </w:rPr>
                  <m:t>(22)</m:t>
                </m:r>
              </m:oMath>
            </m:oMathPara>
          </w:p>
        </w:tc>
      </w:tr>
    </w:tbl>
    <w:p w14:paraId="62E68D08" w14:textId="77777777" w:rsidR="00C9431E" w:rsidRPr="00F04787" w:rsidRDefault="00C9431E" w:rsidP="004A69FC">
      <w:pPr>
        <w:rPr>
          <w:lang w:val="en-US"/>
        </w:rPr>
      </w:pPr>
    </w:p>
    <w:p w14:paraId="120F2DC4" w14:textId="5E127D9E" w:rsidR="00287C9F" w:rsidRDefault="009C0D45" w:rsidP="009C0D45">
      <w:pPr>
        <w:rPr>
          <w:lang w:val="en-US"/>
        </w:rPr>
      </w:pPr>
      <w:r w:rsidRPr="00F04787">
        <w:rPr>
          <w:lang w:val="en-US"/>
        </w:rPr>
        <w:t xml:space="preserve">where </w:t>
      </w:r>
      <m:oMath>
        <m:sSubSup>
          <m:sSubSupPr>
            <m:ctrlPr>
              <w:rPr>
                <w:rFonts w:ascii="Cambria Math" w:eastAsiaTheme="minorEastAsia" w:hAnsi="Cambria Math"/>
                <w:i/>
                <w:lang w:val="en-US" w:eastAsia="zh-CN"/>
              </w:rPr>
            </m:ctrlPr>
          </m:sSubSupPr>
          <m:e>
            <m:r>
              <w:rPr>
                <w:rFonts w:ascii="Cambria Math" w:hAnsi="Cambria Math"/>
                <w:lang w:val="en-US"/>
              </w:rPr>
              <m:t>p</m:t>
            </m:r>
          </m:e>
          <m:sub>
            <m:r>
              <w:rPr>
                <w:rFonts w:ascii="Cambria Math" w:hAnsi="Cambria Math"/>
                <w:lang w:val="en-US"/>
              </w:rPr>
              <m:t>α</m:t>
            </m:r>
          </m:sub>
          <m:sup>
            <m:r>
              <w:rPr>
                <w:rFonts w:ascii="Cambria Math" w:hAnsi="Cambria Math"/>
                <w:lang w:val="en-US"/>
              </w:rPr>
              <m:t>dea</m:t>
            </m:r>
          </m:sup>
        </m:sSubSup>
      </m:oMath>
      <w:r w:rsidRPr="00F04787">
        <w:rPr>
          <w:lang w:val="en-US"/>
        </w:rPr>
        <w:t xml:space="preserve"> is the probability that symptomatic individuals in group </w:t>
      </w:r>
      <m:oMath>
        <m:r>
          <w:rPr>
            <w:rFonts w:ascii="Cambria Math" w:hAnsi="Cambria Math"/>
            <w:lang w:val="en-US"/>
          </w:rPr>
          <m:t>α</m:t>
        </m:r>
      </m:oMath>
      <w:r w:rsidR="00DB323B">
        <w:rPr>
          <w:rFonts w:eastAsiaTheme="minorEastAsia"/>
          <w:lang w:val="en-US"/>
        </w:rPr>
        <w:t xml:space="preserve"> that</w:t>
      </w:r>
      <w:r w:rsidRPr="00F04787">
        <w:rPr>
          <w:lang w:val="en-US"/>
        </w:rPr>
        <w:t xml:space="preserve"> died. </w:t>
      </w:r>
    </w:p>
    <w:p w14:paraId="49B770EE" w14:textId="1D7445FC" w:rsidR="00BD00C6" w:rsidRDefault="00BD00C6" w:rsidP="009C0D45">
      <w:pPr>
        <w:rPr>
          <w:lang w:val="en-US"/>
        </w:rPr>
      </w:pPr>
    </w:p>
    <w:p w14:paraId="10ADA120" w14:textId="2CDB16B3" w:rsidR="00BD00C6" w:rsidRPr="00F04787" w:rsidRDefault="00805038" w:rsidP="009C0D45">
      <w:pPr>
        <w:rPr>
          <w:lang w:val="en-US"/>
        </w:rPr>
      </w:pPr>
      <w:r>
        <w:rPr>
          <w:lang w:val="en-US"/>
        </w:rPr>
        <w:t xml:space="preserve">Extended Data Table </w:t>
      </w:r>
      <w:r w:rsidR="0050665A">
        <w:rPr>
          <w:lang w:val="en-US"/>
        </w:rPr>
        <w:t>1</w:t>
      </w:r>
      <w:r w:rsidR="00163FD7">
        <w:rPr>
          <w:lang w:val="en-US"/>
        </w:rPr>
        <w:t xml:space="preserve"> </w:t>
      </w:r>
      <w:r w:rsidR="00BD00C6">
        <w:rPr>
          <w:lang w:val="en-US"/>
        </w:rPr>
        <w:t xml:space="preserve">tabulates </w:t>
      </w:r>
      <w:r w:rsidR="00370A32">
        <w:rPr>
          <w:lang w:val="en-US"/>
        </w:rPr>
        <w:t>the</w:t>
      </w:r>
      <w:r w:rsidR="00BD00C6">
        <w:rPr>
          <w:lang w:val="en-US"/>
        </w:rPr>
        <w:t xml:space="preserve"> parameters </w:t>
      </w:r>
      <w:r w:rsidR="00163FD7">
        <w:rPr>
          <w:lang w:val="en-US"/>
        </w:rPr>
        <w:t xml:space="preserve">used in </w:t>
      </w:r>
      <w:r w:rsidR="00AB372B">
        <w:rPr>
          <w:lang w:val="en-US"/>
        </w:rPr>
        <w:t>the</w:t>
      </w:r>
      <w:r w:rsidR="00163FD7">
        <w:rPr>
          <w:lang w:val="en-US"/>
        </w:rPr>
        <w:t xml:space="preserve"> between-host</w:t>
      </w:r>
      <w:r w:rsidR="00BD00C6">
        <w:rPr>
          <w:lang w:val="en-US"/>
        </w:rPr>
        <w:t xml:space="preserve"> </w:t>
      </w:r>
      <w:r w:rsidR="00163FD7">
        <w:rPr>
          <w:lang w:val="en-US"/>
        </w:rPr>
        <w:t xml:space="preserve">transmission </w:t>
      </w:r>
      <w:r w:rsidR="00BD00C6">
        <w:rPr>
          <w:lang w:val="en-US"/>
        </w:rPr>
        <w:t>model.</w:t>
      </w:r>
    </w:p>
    <w:p w14:paraId="65C54E36" w14:textId="77777777" w:rsidR="004D778B" w:rsidRPr="00F04787" w:rsidRDefault="004D778B" w:rsidP="00A446F7">
      <w:pPr>
        <w:rPr>
          <w:lang w:val="en-US"/>
        </w:rPr>
      </w:pPr>
    </w:p>
    <w:p w14:paraId="0F27C304" w14:textId="03B44649" w:rsidR="00575E1A" w:rsidRPr="00F04787" w:rsidRDefault="009551BB" w:rsidP="00AE66B8">
      <w:pPr>
        <w:pStyle w:val="Heading1"/>
      </w:pPr>
      <w:bookmarkStart w:id="6" w:name="_Toc192246977"/>
      <w:r w:rsidRPr="00F04787">
        <w:t>Bayesian multilevel model</w:t>
      </w:r>
      <w:bookmarkEnd w:id="6"/>
      <w:r w:rsidRPr="00F04787">
        <w:t xml:space="preserve"> </w:t>
      </w:r>
    </w:p>
    <w:p w14:paraId="670D63AF" w14:textId="4C719515" w:rsidR="00FC4C97" w:rsidRPr="00F04787" w:rsidRDefault="00054693">
      <w:pPr>
        <w:rPr>
          <w:rFonts w:eastAsiaTheme="minorEastAsia"/>
          <w:lang w:val="en-US"/>
        </w:rPr>
      </w:pPr>
      <w:r w:rsidRPr="00F04787">
        <w:rPr>
          <w:lang w:val="en-US"/>
        </w:rPr>
        <w:t>To determine the impact of delays to population distribution and individual treatment, different antiviral distribution strategies including extending the treatment window period since symptom onset, instituting age restrictions on access to treatment and providing prophylactic treatment to exposed contacts, as well as the spread of antiviral resistance, w</w:t>
      </w:r>
      <w:r w:rsidR="00FC4C97" w:rsidRPr="00F04787">
        <w:rPr>
          <w:lang w:val="en-US"/>
        </w:rPr>
        <w:t xml:space="preserve">e </w:t>
      </w:r>
      <w:r w:rsidRPr="00F04787">
        <w:rPr>
          <w:lang w:val="en-US"/>
        </w:rPr>
        <w:t xml:space="preserve">used a Bayesian multilevel model that partially pooled </w:t>
      </w:r>
      <w:r w:rsidR="00F15139" w:rsidRPr="00F04787">
        <w:rPr>
          <w:lang w:val="en-US"/>
        </w:rPr>
        <w:t xml:space="preserve">simulation </w:t>
      </w:r>
      <w:r w:rsidRPr="00F04787">
        <w:rPr>
          <w:lang w:val="en-US"/>
        </w:rPr>
        <w:t xml:space="preserve">estimates </w:t>
      </w:r>
      <w:r w:rsidRPr="00F04787">
        <w:rPr>
          <w:rFonts w:eastAsiaTheme="minorEastAsia"/>
          <w:lang w:val="en-US"/>
        </w:rPr>
        <w:t>of percentage of deaths averted by antiviral use and the amount of antivirals demand relative to population size for a range of the aforementioned factors across countries and pandemic scenarios.</w:t>
      </w:r>
      <w:r w:rsidR="00FC4C97" w:rsidRPr="00F04787">
        <w:rPr>
          <w:lang w:val="en-US"/>
        </w:rPr>
        <w:t xml:space="preserve"> </w:t>
      </w:r>
      <w:r w:rsidRPr="00F04787">
        <w:rPr>
          <w:lang w:val="en-US"/>
        </w:rPr>
        <w:t xml:space="preserve">We assumed a linear correlation </w:t>
      </w:r>
      <w:r w:rsidR="00FC4C97" w:rsidRPr="00F04787">
        <w:rPr>
          <w:lang w:val="en-US"/>
        </w:rPr>
        <w:t>between the</w:t>
      </w:r>
      <w:r w:rsidRPr="00F04787">
        <w:rPr>
          <w:lang w:val="en-US"/>
        </w:rPr>
        <w:t xml:space="preserve"> predicted mean-centered</w:t>
      </w:r>
      <w:r w:rsidR="00FC4C97" w:rsidRPr="00F04787">
        <w:rPr>
          <w:lang w:val="en-US"/>
        </w:rPr>
        <w:t xml:space="preserve"> </w:t>
      </w:r>
      <w:r w:rsidR="002E29E8" w:rsidRPr="00F04787">
        <w:rPr>
          <w:lang w:val="en-US"/>
        </w:rPr>
        <w:t>response</w:t>
      </w:r>
      <w:r w:rsidR="00AD2420" w:rsidRPr="00F04787">
        <w:rPr>
          <w:lang w:val="en-US"/>
        </w:rPr>
        <w:t xml:space="preserve"> </w:t>
      </w:r>
      <w:r w:rsidR="00F15139" w:rsidRPr="00F04787">
        <w:rPr>
          <w:lang w:val="en-US"/>
        </w:rPr>
        <w:t>variable</w:t>
      </w:r>
      <w:r w:rsidR="00FC4C97" w:rsidRPr="00F04787">
        <w:rPr>
          <w:lang w:val="en-US"/>
        </w:rPr>
        <w:t xml:space="preserve"> </w:t>
      </w:r>
      <w:r w:rsidR="00AD2420" w:rsidRPr="00F04787">
        <w:rPr>
          <w:lang w:val="en-US"/>
        </w:rPr>
        <w:t>(</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c,p</m:t>
            </m:r>
          </m:sub>
        </m:sSub>
      </m:oMath>
      <w:r w:rsidR="00AD2420" w:rsidRPr="00F04787">
        <w:rPr>
          <w:rFonts w:eastAsiaTheme="minorEastAsia"/>
          <w:lang w:val="en-US"/>
        </w:rPr>
        <w:t>)</w:t>
      </w:r>
      <w:r w:rsidRPr="00F04787">
        <w:rPr>
          <w:rFonts w:eastAsiaTheme="minorEastAsia"/>
          <w:lang w:val="en-US"/>
        </w:rPr>
        <w:t xml:space="preserve"> </w:t>
      </w:r>
      <w:r w:rsidRPr="00F04787">
        <w:rPr>
          <w:lang w:val="en-US"/>
        </w:rPr>
        <w:t xml:space="preserve">for pandemic </w:t>
      </w:r>
      <m:oMath>
        <m:r>
          <w:rPr>
            <w:rFonts w:ascii="Cambria Math" w:hAnsi="Cambria Math"/>
            <w:lang w:val="en-US"/>
          </w:rPr>
          <m:t>p</m:t>
        </m:r>
      </m:oMath>
      <w:r w:rsidRPr="00F04787">
        <w:rPr>
          <w:rFonts w:eastAsiaTheme="minorEastAsia"/>
          <w:lang w:val="en-US"/>
        </w:rPr>
        <w:t xml:space="preserve"> in country </w:t>
      </w:r>
      <m:oMath>
        <m:r>
          <w:rPr>
            <w:rFonts w:ascii="Cambria Math" w:eastAsiaTheme="minorEastAsia" w:hAnsi="Cambria Math"/>
            <w:lang w:val="en-US"/>
          </w:rPr>
          <m:t>c</m:t>
        </m:r>
      </m:oMath>
      <w:r w:rsidR="00FC4C97" w:rsidRPr="00F04787">
        <w:rPr>
          <w:rFonts w:eastAsiaTheme="minorEastAsia"/>
          <w:lang w:val="en-US"/>
        </w:rPr>
        <w:t xml:space="preserve"> and predictor variables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oMath>
      <w:r w:rsidR="00FC4C97" w:rsidRPr="00F04787">
        <w:rPr>
          <w:rFonts w:eastAsiaTheme="minorEastAsia"/>
          <w:lang w:val="en-US"/>
        </w:rPr>
        <w:t xml:space="preserve">: </w:t>
      </w:r>
    </w:p>
    <w:p w14:paraId="1E32DA0B" w14:textId="77777777" w:rsidR="00A26B67" w:rsidRPr="00F04787" w:rsidRDefault="00A26B67">
      <w:pPr>
        <w:rPr>
          <w:rFonts w:eastAsiaTheme="minorEastAsia"/>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A26B67" w:rsidRPr="00F04787" w14:paraId="6B124559" w14:textId="77777777" w:rsidTr="007508CC">
        <w:tc>
          <w:tcPr>
            <w:tcW w:w="8075" w:type="dxa"/>
            <w:vAlign w:val="center"/>
          </w:tcPr>
          <w:p w14:paraId="7C129CDF" w14:textId="2A921B65" w:rsidR="00A26B67" w:rsidRPr="00F04787" w:rsidRDefault="00071619" w:rsidP="007508CC">
            <w:pPr>
              <w:rPr>
                <w:lang w:val="en-US"/>
              </w:rPr>
            </w:pPr>
            <m:oMathPara>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Y</m:t>
                        </m:r>
                      </m:e>
                    </m:acc>
                  </m:e>
                  <m:sub>
                    <m:r>
                      <w:rPr>
                        <w:rFonts w:ascii="Cambria Math" w:hAnsi="Cambria Math"/>
                        <w:lang w:val="en-US"/>
                      </w:rPr>
                      <m:t>c,p</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k=1</m:t>
                    </m:r>
                  </m:sub>
                  <m:sup>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k</m:t>
                        </m:r>
                      </m:sub>
                    </m:sSub>
                  </m:sup>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k</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k,c</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k,p</m:t>
                            </m:r>
                          </m:sub>
                        </m:sSub>
                      </m:e>
                    </m:d>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k,c,p</m:t>
                        </m:r>
                      </m:sub>
                    </m:sSub>
                  </m:e>
                </m:nary>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0,c</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0,p</m:t>
                        </m:r>
                      </m:sub>
                    </m:sSub>
                  </m:e>
                </m:d>
              </m:oMath>
            </m:oMathPara>
          </w:p>
        </w:tc>
        <w:tc>
          <w:tcPr>
            <w:tcW w:w="935" w:type="dxa"/>
            <w:vAlign w:val="center"/>
          </w:tcPr>
          <w:p w14:paraId="71191A49" w14:textId="791C7F19" w:rsidR="00A26B67" w:rsidRPr="00F04787" w:rsidRDefault="00A26B67" w:rsidP="007508CC">
            <w:pPr>
              <w:jc w:val="center"/>
              <w:rPr>
                <w:lang w:val="en-US"/>
              </w:rPr>
            </w:pPr>
            <m:oMathPara>
              <m:oMath>
                <m:r>
                  <w:rPr>
                    <w:rFonts w:ascii="Cambria Math" w:hAnsi="Cambria Math"/>
                    <w:lang w:val="en-US"/>
                  </w:rPr>
                  <m:t>(23)</m:t>
                </m:r>
              </m:oMath>
            </m:oMathPara>
          </w:p>
        </w:tc>
      </w:tr>
    </w:tbl>
    <w:p w14:paraId="445E98A4" w14:textId="77777777" w:rsidR="00A26B67" w:rsidRPr="00F04787" w:rsidRDefault="00A26B67">
      <w:pPr>
        <w:rPr>
          <w:rFonts w:eastAsiaTheme="minorEastAsia"/>
          <w:lang w:val="en-US"/>
        </w:rPr>
      </w:pPr>
    </w:p>
    <w:p w14:paraId="39F069E4" w14:textId="109D495F" w:rsidR="004A43D9" w:rsidRPr="00614232" w:rsidRDefault="00A26B67">
      <w:pPr>
        <w:rPr>
          <w:rFonts w:eastAsiaTheme="minorEastAsia"/>
          <w:lang w:val="en-US"/>
        </w:rPr>
      </w:pPr>
      <w:r w:rsidRPr="00F04787">
        <w:rPr>
          <w:rFonts w:eastAsiaTheme="minorEastAsia"/>
          <w:lang w:val="en-US"/>
        </w:rPr>
        <w:t xml:space="preserve">where </w:t>
      </w:r>
      <m:oMath>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k</m:t>
            </m:r>
          </m:sub>
        </m:sSub>
        <m:r>
          <w:rPr>
            <w:rFonts w:ascii="Cambria Math" w:eastAsiaTheme="minorEastAsia" w:hAnsi="Cambria Math"/>
            <w:lang w:val="en-US"/>
          </w:rPr>
          <m:t>,</m:t>
        </m:r>
      </m:oMath>
      <w:r w:rsidRPr="00F04787">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k,c</m:t>
            </m:r>
          </m:sub>
        </m:sSub>
      </m:oMath>
      <w:r w:rsidRPr="00F04787">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k,p</m:t>
            </m:r>
          </m:sub>
        </m:sSub>
      </m:oMath>
      <w:r w:rsidRPr="00F04787">
        <w:rPr>
          <w:rFonts w:eastAsiaTheme="minorEastAsia"/>
          <w:lang w:val="en-US"/>
        </w:rPr>
        <w:t xml:space="preserve"> are the respective normal</w:t>
      </w:r>
      <w:r w:rsidR="00665561">
        <w:rPr>
          <w:rFonts w:eastAsiaTheme="minorEastAsia"/>
          <w:lang w:val="en-US"/>
        </w:rPr>
        <w:t>ise</w:t>
      </w:r>
      <w:r w:rsidRPr="00F04787">
        <w:rPr>
          <w:rFonts w:eastAsiaTheme="minorEastAsia"/>
          <w:lang w:val="en-US"/>
        </w:rPr>
        <w:t xml:space="preserve">d </w:t>
      </w:r>
      <w:r w:rsidR="00D1473C" w:rsidRPr="00F04787">
        <w:rPr>
          <w:rFonts w:eastAsiaTheme="minorEastAsia"/>
          <w:lang w:val="en-US"/>
        </w:rPr>
        <w:t>fixed</w:t>
      </w:r>
      <w:r w:rsidRPr="00F04787">
        <w:rPr>
          <w:rFonts w:eastAsiaTheme="minorEastAsia"/>
          <w:lang w:val="en-US"/>
        </w:rPr>
        <w:t xml:space="preserve">, country- and pandemic-specific </w:t>
      </w:r>
      <w:r w:rsidR="00D1473C" w:rsidRPr="00F04787">
        <w:rPr>
          <w:rFonts w:eastAsiaTheme="minorEastAsia"/>
          <w:lang w:val="en-US"/>
        </w:rPr>
        <w:t>effects</w:t>
      </w:r>
      <w:r w:rsidRPr="00F04787">
        <w:rPr>
          <w:rFonts w:eastAsiaTheme="minorEastAsia"/>
          <w:lang w:val="en-US"/>
        </w:rPr>
        <w:t xml:space="preserve"> of predictor variable </w:t>
      </w:r>
      <m:oMath>
        <m:r>
          <w:rPr>
            <w:rFonts w:ascii="Cambria Math" w:eastAsiaTheme="minorEastAsia" w:hAnsi="Cambria Math"/>
            <w:lang w:val="en-US"/>
          </w:rPr>
          <m:t>k</m:t>
        </m:r>
      </m:oMath>
      <w:r w:rsidRPr="00F04787">
        <w:rPr>
          <w:rFonts w:eastAsiaTheme="minorEastAsia"/>
          <w:lang w:val="en-US"/>
        </w:rPr>
        <w:t xml:space="preserve"> while </w:t>
      </w:r>
      <m:oMath>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0</m:t>
            </m:r>
          </m:sub>
        </m:sSub>
      </m:oMath>
      <w:r w:rsidRPr="00F04787">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0,c</m:t>
            </m:r>
          </m:sub>
        </m:sSub>
      </m:oMath>
      <w:r w:rsidRPr="00F04787">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0,p</m:t>
            </m:r>
          </m:sub>
        </m:sSub>
      </m:oMath>
      <w:r w:rsidRPr="00F04787">
        <w:rPr>
          <w:rFonts w:eastAsiaTheme="minorEastAsia"/>
          <w:lang w:val="en-US"/>
        </w:rPr>
        <w:t xml:space="preserve"> are the corresponding </w:t>
      </w:r>
      <w:r w:rsidR="00D1473C" w:rsidRPr="00F04787">
        <w:rPr>
          <w:rFonts w:eastAsiaTheme="minorEastAsia"/>
          <w:lang w:val="en-US"/>
        </w:rPr>
        <w:t>fixed</w:t>
      </w:r>
      <w:r w:rsidRPr="00F04787">
        <w:rPr>
          <w:rFonts w:eastAsiaTheme="minorEastAsia"/>
          <w:lang w:val="en-US"/>
        </w:rPr>
        <w:t>, country- and pandemic-specific intercepts.</w:t>
      </w:r>
      <w:r w:rsidR="00717F95" w:rsidRPr="00F04787">
        <w:rPr>
          <w:rFonts w:eastAsiaTheme="minorEastAsia"/>
          <w:lang w:val="en-US"/>
        </w:rPr>
        <w:t xml:space="preserve"> </w:t>
      </w:r>
      <w:r w:rsidR="005B71F4" w:rsidRPr="00F04787">
        <w:rPr>
          <w:rFonts w:eastAsiaTheme="minorEastAsia"/>
          <w:lang w:val="en-US"/>
        </w:rPr>
        <w:t>Following Gelman et al.,</w:t>
      </w:r>
      <w:r w:rsidR="005B71F4" w:rsidRPr="00F04787">
        <w:rPr>
          <w:rFonts w:eastAsiaTheme="minorEastAsia"/>
          <w:lang w:val="en-US"/>
        </w:rPr>
        <w:fldChar w:fldCharType="begin"/>
      </w:r>
      <w:r w:rsidR="000B5579">
        <w:rPr>
          <w:rFonts w:eastAsiaTheme="minorEastAsia"/>
          <w:lang w:val="en-US"/>
        </w:rPr>
        <w:instrText xml:space="preserve"> ADDIN ZOTERO_ITEM CSL_CITATION {"citationID":"C23Yj5x0","properties":{"formattedCitation":"\\super 25\\nosupersub{}","plainCitation":"25","noteIndex":0},"citationItems":[{"id":185,"uris":["http://zotero.org/users/local/0pdZPGmr/items/RUUNY33S","http://zotero.org/users/9596130/items/RUUNY33S"],"itemData":{"id":185,"type":"article-journal","container-title":"The Annals of Applied Statistics","DOI":"10.1214/08-AOAS191","issue":"4","journalAbbreviation":"The Annals of Applied Statistics","page":"1360-1383","title":"A weakly informative default prior distribution for logistic and other regression models","volume":"2","author":[{"literal":"Andrew Gelman"},{"literal":"Aleks Jakulin"},{"literal":"Maria Grazia Pittau"},{"literal":"Yu-Sung Su"}],"issued":{"date-parts":[["2008",12,1]]}}}],"schema":"https://github.com/citation-style-language/schema/raw/master/csl-citation.json"} </w:instrText>
      </w:r>
      <w:r w:rsidR="005B71F4" w:rsidRPr="00F04787">
        <w:rPr>
          <w:rFonts w:eastAsiaTheme="minorEastAsia"/>
          <w:lang w:val="en-US"/>
        </w:rPr>
        <w:fldChar w:fldCharType="separate"/>
      </w:r>
      <w:r w:rsidR="000B5579" w:rsidRPr="000B5579">
        <w:rPr>
          <w:vertAlign w:val="superscript"/>
          <w:lang w:val="en-US"/>
        </w:rPr>
        <w:t>25</w:t>
      </w:r>
      <w:r w:rsidR="005B71F4" w:rsidRPr="00F04787">
        <w:rPr>
          <w:rFonts w:eastAsiaTheme="minorEastAsia"/>
          <w:lang w:val="en-US"/>
        </w:rPr>
        <w:fldChar w:fldCharType="end"/>
      </w:r>
      <w:r w:rsidR="005B71F4" w:rsidRPr="00F04787">
        <w:rPr>
          <w:rFonts w:eastAsiaTheme="minorEastAsia"/>
          <w:lang w:val="en-US"/>
        </w:rPr>
        <w:t xml:space="preserve"> w</w:t>
      </w:r>
      <w:r w:rsidR="00D1473C" w:rsidRPr="00F04787">
        <w:rPr>
          <w:rFonts w:eastAsiaTheme="minorEastAsia"/>
          <w:lang w:val="en-US"/>
        </w:rPr>
        <w:t xml:space="preserve">e </w:t>
      </w:r>
      <w:r w:rsidR="005B71F4" w:rsidRPr="00F04787">
        <w:rPr>
          <w:rFonts w:eastAsiaTheme="minorEastAsia"/>
          <w:lang w:val="en-US"/>
        </w:rPr>
        <w:t>used</w:t>
      </w:r>
      <w:r w:rsidR="00D1473C" w:rsidRPr="00F04787">
        <w:rPr>
          <w:rFonts w:eastAsiaTheme="minorEastAsia"/>
          <w:lang w:val="en-US"/>
        </w:rPr>
        <w:t xml:space="preserve"> </w:t>
      </w:r>
      <w:r w:rsidR="00614232">
        <w:rPr>
          <w:rFonts w:eastAsiaTheme="minorEastAsia"/>
          <w:lang w:val="en-US"/>
        </w:rPr>
        <w:t xml:space="preserve">weakly informative </w:t>
      </w:r>
      <w:r w:rsidR="00D1473C" w:rsidRPr="00F04787">
        <w:rPr>
          <w:rFonts w:eastAsiaTheme="minorEastAsia"/>
          <w:lang w:val="en-US"/>
        </w:rPr>
        <w:t>S</w:t>
      </w:r>
      <w:r w:rsidR="002E29E8" w:rsidRPr="00F04787">
        <w:rPr>
          <w:rFonts w:eastAsiaTheme="minorEastAsia"/>
          <w:lang w:val="en-US"/>
        </w:rPr>
        <w:t>tudent-</w:t>
      </w:r>
      <w:r w:rsidR="00D1473C" w:rsidRPr="00F04787">
        <w:rPr>
          <w:rFonts w:eastAsiaTheme="minorEastAsia"/>
          <w:i/>
          <w:lang w:val="en-US"/>
        </w:rPr>
        <w:t>t</w:t>
      </w:r>
      <w:r w:rsidR="002E29E8" w:rsidRPr="00F04787">
        <w:rPr>
          <w:rFonts w:eastAsiaTheme="minorEastAsia"/>
          <w:lang w:val="en-US"/>
        </w:rPr>
        <w:t xml:space="preserve"> priors</w:t>
      </w:r>
      <w:r w:rsidR="00D1473C" w:rsidRPr="00F04787">
        <w:rPr>
          <w:rFonts w:eastAsiaTheme="minorEastAsia"/>
          <w:lang w:val="en-US"/>
        </w:rPr>
        <w:t xml:space="preserve"> with </w:t>
      </w:r>
      <w:r w:rsidR="004A43D9" w:rsidRPr="00F04787">
        <w:rPr>
          <w:rFonts w:eastAsiaTheme="minorEastAsia"/>
          <w:lang w:val="en-US"/>
        </w:rPr>
        <w:t>three</w:t>
      </w:r>
      <w:r w:rsidR="00D1473C" w:rsidRPr="00F04787">
        <w:rPr>
          <w:rFonts w:eastAsiaTheme="minorEastAsia"/>
          <w:lang w:val="en-US"/>
        </w:rPr>
        <w:t xml:space="preserve"> degrees of freedom, mean of </w:t>
      </w:r>
      <w:r w:rsidR="004A43D9" w:rsidRPr="00F04787">
        <w:rPr>
          <w:rFonts w:eastAsiaTheme="minorEastAsia"/>
          <w:lang w:val="en-US"/>
        </w:rPr>
        <w:t>zero</w:t>
      </w:r>
      <w:r w:rsidR="00D1473C" w:rsidRPr="00F04787">
        <w:rPr>
          <w:rFonts w:eastAsiaTheme="minorEastAsia"/>
          <w:lang w:val="en-US"/>
        </w:rPr>
        <w:t xml:space="preserve"> and standard deviation (s.d.) of 2.5 </w:t>
      </w:r>
      <w:r w:rsidR="002E29E8" w:rsidRPr="00F04787">
        <w:rPr>
          <w:rFonts w:eastAsiaTheme="minorEastAsia"/>
          <w:lang w:val="en-US"/>
        </w:rPr>
        <w:t xml:space="preserve">for all </w:t>
      </w:r>
      <w:r w:rsidR="00D1473C" w:rsidRPr="00F04787">
        <w:rPr>
          <w:rFonts w:eastAsiaTheme="minorEastAsia"/>
          <w:lang w:val="en-US"/>
        </w:rPr>
        <w:t>effects</w:t>
      </w:r>
      <w:r w:rsidR="002E29E8" w:rsidRPr="00F04787">
        <w:rPr>
          <w:rFonts w:eastAsiaTheme="minorEastAsia"/>
          <w:lang w:val="en-US"/>
        </w:rPr>
        <w:t xml:space="preserve"> (</w:t>
      </w:r>
      <w:r w:rsidR="00D1473C" w:rsidRPr="00F04787">
        <w:rPr>
          <w:rFonts w:eastAsiaTheme="minorEastAsia"/>
          <w:lang w:val="en-US"/>
        </w:rPr>
        <w:t xml:space="preserve">i.e. </w:t>
      </w:r>
      <m:oMath>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k</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k,c</m:t>
            </m:r>
          </m:sub>
        </m:sSub>
      </m:oMath>
      <w:r w:rsidR="00D1473C" w:rsidRPr="00F04787">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k,p</m:t>
            </m:r>
          </m:sub>
        </m:sSub>
      </m:oMath>
      <w:r w:rsidR="002E29E8" w:rsidRPr="00F04787">
        <w:rPr>
          <w:rFonts w:eastAsiaTheme="minorEastAsia"/>
          <w:lang w:val="en-US"/>
        </w:rPr>
        <w:t>) while</w:t>
      </w:r>
      <w:r w:rsidR="005B71F4" w:rsidRPr="00F04787">
        <w:rPr>
          <w:rFonts w:eastAsiaTheme="minorEastAsia"/>
          <w:lang w:val="en-US"/>
        </w:rPr>
        <w:t xml:space="preserve"> normal priors with mean of </w:t>
      </w:r>
      <w:r w:rsidR="004A43D9" w:rsidRPr="00F04787">
        <w:rPr>
          <w:rFonts w:eastAsiaTheme="minorEastAsia"/>
          <w:lang w:val="en-US"/>
        </w:rPr>
        <w:t>zero</w:t>
      </w:r>
      <w:r w:rsidR="005B71F4" w:rsidRPr="00F04787">
        <w:rPr>
          <w:rFonts w:eastAsiaTheme="minorEastAsia"/>
          <w:lang w:val="en-US"/>
        </w:rPr>
        <w:t xml:space="preserve"> and s.d. of </w:t>
      </w:r>
      <w:r w:rsidR="004A43D9" w:rsidRPr="00F04787">
        <w:rPr>
          <w:rFonts w:eastAsiaTheme="minorEastAsia"/>
          <w:lang w:val="en-US"/>
        </w:rPr>
        <w:t>one</w:t>
      </w:r>
      <w:r w:rsidR="005B71F4" w:rsidRPr="00F04787">
        <w:rPr>
          <w:rFonts w:eastAsiaTheme="minorEastAsia"/>
          <w:lang w:val="en-US"/>
        </w:rPr>
        <w:t xml:space="preserve"> were placed for</w:t>
      </w:r>
      <w:r w:rsidR="002E29E8" w:rsidRPr="00F04787">
        <w:rPr>
          <w:rFonts w:eastAsiaTheme="minorEastAsia"/>
          <w:lang w:val="en-US"/>
        </w:rPr>
        <w:t xml:space="preserve"> intercepts (</w:t>
      </w:r>
      <m:oMath>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0</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0,c</m:t>
            </m:r>
          </m:sub>
        </m:sSub>
      </m:oMath>
      <w:r w:rsidR="00D1473C" w:rsidRPr="00F04787">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0,p</m:t>
            </m:r>
          </m:sub>
        </m:sSub>
      </m:oMath>
      <w:r w:rsidR="005B71F4" w:rsidRPr="00F04787">
        <w:rPr>
          <w:rFonts w:eastAsiaTheme="minorEastAsia"/>
          <w:lang w:val="en-US"/>
        </w:rPr>
        <w:t>)</w:t>
      </w:r>
      <w:r w:rsidR="00D1473C" w:rsidRPr="00F04787">
        <w:rPr>
          <w:rFonts w:eastAsiaTheme="minorEastAsia"/>
          <w:lang w:val="en-US"/>
        </w:rPr>
        <w:t>.</w:t>
      </w:r>
      <w:r w:rsidR="005B71F4" w:rsidRPr="00F04787">
        <w:rPr>
          <w:rFonts w:eastAsiaTheme="minorEastAsia"/>
          <w:lang w:val="en-US"/>
        </w:rPr>
        <w:t xml:space="preserve"> </w:t>
      </w:r>
      <w:r w:rsidR="004A43D9" w:rsidRPr="00F04787">
        <w:rPr>
          <w:rFonts w:eastAsiaTheme="minorEastAsia"/>
          <w:lang w:val="en-US"/>
        </w:rPr>
        <w:t>Half-normal priors with mean of zero and s.d. of one were used for a</w:t>
      </w:r>
      <w:r w:rsidR="005B71F4" w:rsidRPr="00F04787">
        <w:rPr>
          <w:rFonts w:eastAsiaTheme="minorEastAsia"/>
          <w:lang w:val="en-US"/>
        </w:rPr>
        <w:t>ll standard deviations of effects, intercepts and residuals</w:t>
      </w:r>
      <w:r w:rsidR="004A43D9" w:rsidRPr="00F04787">
        <w:rPr>
          <w:rFonts w:eastAsiaTheme="minorEastAsia"/>
          <w:lang w:val="en-US"/>
        </w:rPr>
        <w:t xml:space="preserve">. </w:t>
      </w:r>
      <w:r w:rsidR="005B71F4" w:rsidRPr="00F04787">
        <w:rPr>
          <w:rFonts w:eastAsiaTheme="minorEastAsia"/>
          <w:lang w:val="en-US"/>
        </w:rPr>
        <w:t>For correlation between country- and pandemic-level effects, we used the Lewandowski-Kurowicka-Joe correlation prior with shape parameter of</w:t>
      </w:r>
      <w:r w:rsidR="004A43D9" w:rsidRPr="00F04787">
        <w:rPr>
          <w:rFonts w:eastAsiaTheme="minorEastAsia"/>
          <w:lang w:val="en-US"/>
        </w:rPr>
        <w:t xml:space="preserve"> one</w:t>
      </w:r>
      <w:r w:rsidR="005B71F4" w:rsidRPr="00F04787">
        <w:rPr>
          <w:rFonts w:eastAsiaTheme="minorEastAsia"/>
          <w:lang w:val="en-US"/>
        </w:rPr>
        <w:t xml:space="preserve">. </w:t>
      </w:r>
      <w:r w:rsidR="004A43D9" w:rsidRPr="00F04787">
        <w:rPr>
          <w:rFonts w:eastAsiaTheme="minorEastAsia"/>
          <w:lang w:val="en-US"/>
        </w:rPr>
        <w:t>Posterior sampling was performed using four</w:t>
      </w:r>
      <w:r w:rsidR="0016535E" w:rsidRPr="00F04787">
        <w:rPr>
          <w:rFonts w:eastAsiaTheme="minorEastAsia"/>
          <w:lang w:val="en-US"/>
        </w:rPr>
        <w:t xml:space="preserve"> MCMC</w:t>
      </w:r>
      <w:r w:rsidR="004A43D9" w:rsidRPr="00F04787">
        <w:rPr>
          <w:rFonts w:eastAsiaTheme="minorEastAsia"/>
          <w:lang w:val="en-US"/>
        </w:rPr>
        <w:t xml:space="preserve"> chains, </w:t>
      </w:r>
      <w:r w:rsidR="0016535E" w:rsidRPr="00F04787">
        <w:rPr>
          <w:rFonts w:eastAsiaTheme="minorEastAsia"/>
          <w:lang w:val="en-US"/>
        </w:rPr>
        <w:t xml:space="preserve">with </w:t>
      </w:r>
      <w:r w:rsidR="004A43D9" w:rsidRPr="00F04787">
        <w:rPr>
          <w:rFonts w:eastAsiaTheme="minorEastAsia"/>
          <w:lang w:val="en-US"/>
        </w:rPr>
        <w:t>1000-iteration burn-in</w:t>
      </w:r>
      <w:r w:rsidR="0016535E" w:rsidRPr="00F04787">
        <w:rPr>
          <w:rFonts w:eastAsiaTheme="minorEastAsia"/>
          <w:lang w:val="en-US"/>
        </w:rPr>
        <w:t xml:space="preserve"> and 1000-iteration of saved posterior samples, using</w:t>
      </w:r>
      <w:r w:rsidR="004A43D9" w:rsidRPr="00F04787">
        <w:rPr>
          <w:rFonts w:eastAsiaTheme="minorEastAsia"/>
          <w:lang w:val="en-US"/>
        </w:rPr>
        <w:t xml:space="preserve"> a </w:t>
      </w:r>
      <w:r w:rsidR="0016535E" w:rsidRPr="00F04787">
        <w:rPr>
          <w:rFonts w:eastAsiaTheme="minorEastAsia"/>
          <w:lang w:val="en-US"/>
        </w:rPr>
        <w:t>no-u-turn sampler</w:t>
      </w:r>
      <w:r w:rsidR="004A43D9" w:rsidRPr="00F04787">
        <w:rPr>
          <w:rFonts w:eastAsiaTheme="minorEastAsia"/>
          <w:lang w:val="en-US"/>
        </w:rPr>
        <w:t xml:space="preserve"> implemented in the ‘brms’ package</w:t>
      </w:r>
      <w:r w:rsidR="0089185C" w:rsidRPr="00F04787">
        <w:rPr>
          <w:rFonts w:eastAsiaTheme="minorEastAsia"/>
          <w:lang w:val="en-US"/>
        </w:rPr>
        <w:fldChar w:fldCharType="begin"/>
      </w:r>
      <w:r w:rsidR="000B5579">
        <w:rPr>
          <w:rFonts w:eastAsiaTheme="minorEastAsia"/>
          <w:lang w:val="en-US"/>
        </w:rPr>
        <w:instrText xml:space="preserve"> ADDIN ZOTERO_ITEM CSL_CITATION {"citationID":"ZnayNCrk","properties":{"formattedCitation":"\\super 26\\nosupersub{}","plainCitation":"26","noteIndex":0},"citationItems":[{"id":186,"uris":["http://zotero.org/users/local/0pdZPGmr/items/K72HUECP","http://zotero.org/users/9596130/items/K72HUECP"],"itemData":{"id":186,"type":"article-journal","abstract":"The brms package implements Bayesian multilevel models in R using the probabilistic programming language Stan. A wide range of distributions and link functions are supported, allowing users to fit  -  among others  -  linear, robust linear, binomial, Poisson, survival, ordinal, zero-inflated, hurdle, and even non-linear models all in a multilevel context. Further modeling options include autocorrelation of the response variable, user defined covariance structures, censored data, as well as meta-analytic standard errors. Prior specifications are flexible and explicitly encourage users to apply prior distributions that actually reflect their beliefs. In addition, model fit can easily be assessed and compared with the Watanabe-Akaike information criterion and leave-one-out cross-validation.","container-title":"Journal of Statistical Software","DOI":"10.18637/jss.v080.i01","issue":"1","journalAbbreviation":"J. Stat. Soft.","note":"section: Articles","page":"1 - 28","title":"brms: An R Package for Bayesian Multilevel Models Using Stan","volume":"80","author":[{"family":"Bürkner","given":"Paul-Christian"}],"issued":{"date-parts":[["2017",8,29]]}}}],"schema":"https://github.com/citation-style-language/schema/raw/master/csl-citation.json"} </w:instrText>
      </w:r>
      <w:r w:rsidR="0089185C" w:rsidRPr="00F04787">
        <w:rPr>
          <w:rFonts w:eastAsiaTheme="minorEastAsia"/>
          <w:lang w:val="en-US"/>
        </w:rPr>
        <w:fldChar w:fldCharType="separate"/>
      </w:r>
      <w:r w:rsidR="000B5579" w:rsidRPr="000B5579">
        <w:rPr>
          <w:vertAlign w:val="superscript"/>
          <w:lang w:val="en-US"/>
        </w:rPr>
        <w:t>26</w:t>
      </w:r>
      <w:r w:rsidR="0089185C" w:rsidRPr="00F04787">
        <w:rPr>
          <w:rFonts w:eastAsiaTheme="minorEastAsia"/>
          <w:lang w:val="en-US"/>
        </w:rPr>
        <w:fldChar w:fldCharType="end"/>
      </w:r>
      <w:r w:rsidR="004A43D9" w:rsidRPr="00F04787">
        <w:rPr>
          <w:rFonts w:eastAsiaTheme="minorEastAsia"/>
          <w:lang w:val="en-US"/>
        </w:rPr>
        <w:t xml:space="preserve"> in R.</w:t>
      </w:r>
      <w:r w:rsidR="0089185C" w:rsidRPr="00F04787">
        <w:rPr>
          <w:rFonts w:eastAsiaTheme="minorEastAsia"/>
          <w:lang w:val="en-US"/>
        </w:rPr>
        <w:fldChar w:fldCharType="begin"/>
      </w:r>
      <w:r w:rsidR="000B5579">
        <w:rPr>
          <w:rFonts w:eastAsiaTheme="minorEastAsia"/>
          <w:lang w:val="en-US"/>
        </w:rPr>
        <w:instrText xml:space="preserve"> ADDIN ZOTERO_ITEM CSL_CITATION {"citationID":"pTc2RaZR","properties":{"formattedCitation":"\\super 27\\nosupersub{}","plainCitation":"27","noteIndex":0},"citationItems":[{"id":187,"uris":["http://zotero.org/users/local/0pdZPGmr/items/YIQT4BK4","http://zotero.org/users/9596130/items/YIQT4BK4"],"itemData":{"id":187,"type":"software","publisher":"CRAN","title":"R: A Language and Environment for Statistical Computing","URL":"https://www.R-project.org/","author":[{"family":"Core Team","given":"R"}],"issued":{"date-parts":[["2024"]]}}}],"schema":"https://github.com/citation-style-language/schema/raw/master/csl-citation.json"} </w:instrText>
      </w:r>
      <w:r w:rsidR="0089185C" w:rsidRPr="00F04787">
        <w:rPr>
          <w:rFonts w:eastAsiaTheme="minorEastAsia"/>
          <w:lang w:val="en-US"/>
        </w:rPr>
        <w:fldChar w:fldCharType="separate"/>
      </w:r>
      <w:r w:rsidR="000B5579" w:rsidRPr="000B5579">
        <w:rPr>
          <w:vertAlign w:val="superscript"/>
          <w:lang w:val="en-US"/>
        </w:rPr>
        <w:t>27</w:t>
      </w:r>
      <w:r w:rsidR="0089185C" w:rsidRPr="00F04787">
        <w:rPr>
          <w:rFonts w:eastAsiaTheme="minorEastAsia"/>
          <w:lang w:val="en-US"/>
        </w:rPr>
        <w:fldChar w:fldCharType="end"/>
      </w:r>
      <w:r w:rsidR="004A43D9" w:rsidRPr="00F04787">
        <w:rPr>
          <w:rFonts w:eastAsiaTheme="minorEastAsia"/>
          <w:lang w:val="en-US"/>
        </w:rPr>
        <w:t xml:space="preserve"> </w:t>
      </w:r>
      <w:r w:rsidR="0016535E" w:rsidRPr="00F04787">
        <w:rPr>
          <w:rFonts w:eastAsiaTheme="minorEastAsia"/>
          <w:lang w:val="en-US"/>
        </w:rPr>
        <w:t xml:space="preserve">Chain convergence was determined by checking traceplots, ensuring all Rhat values &lt; 1.05 with sufficient effective sample size (&gt;200). </w:t>
      </w:r>
    </w:p>
    <w:p w14:paraId="23AC40FC" w14:textId="63B9C0E6" w:rsidR="00101368" w:rsidRPr="00F04787" w:rsidRDefault="00C57E4E" w:rsidP="00101368">
      <w:pPr>
        <w:pStyle w:val="Heading1"/>
      </w:pPr>
      <w:r>
        <w:lastRenderedPageBreak/>
        <w:t>Extended Data Figures</w:t>
      </w:r>
    </w:p>
    <w:p w14:paraId="09CA0C50" w14:textId="77777777" w:rsidR="00710F83" w:rsidRDefault="003E4B26">
      <w:r>
        <w:rPr>
          <w:noProof/>
        </w:rPr>
        <w:drawing>
          <wp:inline distT="0" distB="0" distL="0" distR="0" wp14:anchorId="25D4D507" wp14:editId="62A9B554">
            <wp:extent cx="5727700" cy="35947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S0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7700" cy="3594735"/>
                    </a:xfrm>
                    <a:prstGeom prst="rect">
                      <a:avLst/>
                    </a:prstGeom>
                  </pic:spPr>
                </pic:pic>
              </a:graphicData>
            </a:graphic>
          </wp:inline>
        </w:drawing>
      </w:r>
    </w:p>
    <w:p w14:paraId="2EDE2108" w14:textId="07A2ED8C" w:rsidR="00B13B68" w:rsidRDefault="004F373C">
      <w:r>
        <w:rPr>
          <w:b/>
        </w:rPr>
        <w:t xml:space="preserve">Extended Data Fig. </w:t>
      </w:r>
      <w:r w:rsidR="00710F83">
        <w:rPr>
          <w:b/>
        </w:rPr>
        <w:t>1</w:t>
      </w:r>
      <w:r w:rsidR="00710F83" w:rsidRPr="005528F0">
        <w:rPr>
          <w:b/>
        </w:rPr>
        <w:t xml:space="preserve">: </w:t>
      </w:r>
      <w:r w:rsidR="001666CE">
        <w:rPr>
          <w:b/>
          <w:lang w:val="en-US"/>
        </w:rPr>
        <w:t>Sensitivity analysis to account for uncertainty around transmission risk reduction estimate of</w:t>
      </w:r>
      <w:r w:rsidR="00710F83">
        <w:rPr>
          <w:b/>
          <w:lang w:val="en-US"/>
        </w:rPr>
        <w:t xml:space="preserve"> baloxavir marboxil</w:t>
      </w:r>
      <w:r w:rsidR="001666CE">
        <w:rPr>
          <w:b/>
          <w:lang w:val="en-US"/>
        </w:rPr>
        <w:t xml:space="preserve"> (BXM)</w:t>
      </w:r>
      <w:r w:rsidR="00710F83" w:rsidRPr="00F04787">
        <w:rPr>
          <w:b/>
          <w:lang w:val="en-US"/>
        </w:rPr>
        <w:t>.</w:t>
      </w:r>
      <w:r w:rsidR="00710F83" w:rsidRPr="00F04787">
        <w:rPr>
          <w:lang w:val="en-US"/>
        </w:rPr>
        <w:t xml:space="preserve"> </w:t>
      </w:r>
      <w:r w:rsidR="001666CE">
        <w:rPr>
          <w:lang w:val="en-US"/>
        </w:rPr>
        <w:t>BXM</w:t>
      </w:r>
      <w:r w:rsidR="001666CE" w:rsidRPr="00616399">
        <w:rPr>
          <w:lang w:val="en-US"/>
        </w:rPr>
        <w:t xml:space="preserve"> was administered to all individuals that were positively diagnosed, using a rapid test with 70% test sensitivity, within two days of symptom onset. All symptomatic individuals were assumed to have sought testing within one day after symptom onset on average. Distribution of oral antivirals for treatment began one week after the pandemic was initiated in the country with ten infections.</w:t>
      </w:r>
      <w:r w:rsidR="001666CE">
        <w:rPr>
          <w:lang w:val="en-US"/>
        </w:rPr>
        <w:t xml:space="preserve"> Each circle </w:t>
      </w:r>
      <w:r w:rsidR="002D5CD8">
        <w:rPr>
          <w:lang w:val="en-US"/>
        </w:rPr>
        <w:t xml:space="preserve">plot </w:t>
      </w:r>
      <w:r w:rsidR="001666CE">
        <w:rPr>
          <w:lang w:val="en-US"/>
        </w:rPr>
        <w:t xml:space="preserve">represents a country </w:t>
      </w:r>
      <w:r w:rsidR="00F31C5C">
        <w:rPr>
          <w:lang w:val="en-US"/>
        </w:rPr>
        <w:t>colour</w:t>
      </w:r>
      <w:r w:rsidR="001666CE">
        <w:rPr>
          <w:lang w:val="en-US"/>
        </w:rPr>
        <w:t xml:space="preserve">ed by its </w:t>
      </w:r>
      <w:r w:rsidR="001666CE" w:rsidRPr="00616399">
        <w:rPr>
          <w:lang w:val="en-US"/>
        </w:rPr>
        <w:t>gross national income (GNI) per capita is US dollars (USD) in 2023</w:t>
      </w:r>
      <w:r w:rsidR="001666CE">
        <w:rPr>
          <w:lang w:val="en-US"/>
        </w:rPr>
        <w:t>.</w:t>
      </w:r>
      <w:r w:rsidR="002D5CD8">
        <w:rPr>
          <w:lang w:val="en-US"/>
        </w:rPr>
        <w:t xml:space="preserve"> Linear regression line is plotted for each pandemic scenario with the estimated slope (m) and coefficient of determination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oMath>
      <w:r w:rsidR="002D5CD8">
        <w:rPr>
          <w:rFonts w:eastAsiaTheme="minorEastAsia"/>
          <w:lang w:val="en-US"/>
        </w:rPr>
        <w:t>) stated in subplot title.</w:t>
      </w:r>
      <w:r w:rsidR="002D5CD8">
        <w:rPr>
          <w:lang w:val="en-US"/>
        </w:rPr>
        <w:t xml:space="preserve"> (</w:t>
      </w:r>
      <w:r w:rsidR="002D5CD8" w:rsidRPr="001666CE">
        <w:rPr>
          <w:b/>
          <w:lang w:val="en-US"/>
        </w:rPr>
        <w:t>A</w:t>
      </w:r>
      <w:r w:rsidR="002D5CD8">
        <w:rPr>
          <w:lang w:val="en-US"/>
        </w:rPr>
        <w:t>) Mean percentage deaths averted by test-and-treat. (</w:t>
      </w:r>
      <w:r w:rsidR="002D5CD8" w:rsidRPr="001666CE">
        <w:rPr>
          <w:b/>
          <w:lang w:val="en-US"/>
        </w:rPr>
        <w:t>B</w:t>
      </w:r>
      <w:r w:rsidR="002D5CD8">
        <w:rPr>
          <w:lang w:val="en-US"/>
        </w:rPr>
        <w:t>) Maximum BXM demand.</w:t>
      </w:r>
      <w:r w:rsidR="001666CE">
        <w:rPr>
          <w:lang w:val="en-US"/>
        </w:rPr>
        <w:t xml:space="preserve">  </w:t>
      </w:r>
      <w:r w:rsidR="00B13B68">
        <w:br w:type="page"/>
      </w:r>
    </w:p>
    <w:p w14:paraId="57392793" w14:textId="77777777" w:rsidR="00C35BB8" w:rsidRDefault="00C35BB8">
      <w:r>
        <w:rPr>
          <w:noProof/>
        </w:rPr>
        <w:lastRenderedPageBreak/>
        <w:drawing>
          <wp:inline distT="0" distB="0" distL="0" distR="0" wp14:anchorId="2615AA24" wp14:editId="2C7C767D">
            <wp:extent cx="5727700" cy="35947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S0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7700" cy="3594735"/>
                    </a:xfrm>
                    <a:prstGeom prst="rect">
                      <a:avLst/>
                    </a:prstGeom>
                  </pic:spPr>
                </pic:pic>
              </a:graphicData>
            </a:graphic>
          </wp:inline>
        </w:drawing>
      </w:r>
    </w:p>
    <w:p w14:paraId="28AE2BDF" w14:textId="0F62B330" w:rsidR="005B0080" w:rsidRDefault="004F373C">
      <w:pPr>
        <w:rPr>
          <w:lang w:val="en-US"/>
        </w:rPr>
      </w:pPr>
      <w:r>
        <w:rPr>
          <w:b/>
        </w:rPr>
        <w:t xml:space="preserve">Extended Data Fig. </w:t>
      </w:r>
      <w:r w:rsidR="00C35BB8">
        <w:rPr>
          <w:b/>
        </w:rPr>
        <w:t>2</w:t>
      </w:r>
      <w:r w:rsidR="00C35BB8" w:rsidRPr="005528F0">
        <w:rPr>
          <w:b/>
        </w:rPr>
        <w:t xml:space="preserve">: </w:t>
      </w:r>
      <w:r w:rsidR="00C35BB8">
        <w:rPr>
          <w:b/>
          <w:lang w:val="en-US"/>
        </w:rPr>
        <w:t>Sensitivity analysis to account for uncertainty around probability of asymptomatic infection</w:t>
      </w:r>
      <w:r w:rsidR="00F27E2E">
        <w:rPr>
          <w:b/>
          <w:lang w:val="en-US"/>
        </w:rPr>
        <w:t>: Treatment with BXM</w:t>
      </w:r>
      <w:r w:rsidR="00C35BB8" w:rsidRPr="00F04787">
        <w:rPr>
          <w:b/>
          <w:lang w:val="en-US"/>
        </w:rPr>
        <w:t>.</w:t>
      </w:r>
      <w:r w:rsidR="00C35BB8" w:rsidRPr="00F04787">
        <w:rPr>
          <w:lang w:val="en-US"/>
        </w:rPr>
        <w:t xml:space="preserve"> </w:t>
      </w:r>
      <w:r w:rsidR="00C35BB8">
        <w:rPr>
          <w:lang w:val="en-US"/>
        </w:rPr>
        <w:t>BXM</w:t>
      </w:r>
      <w:r w:rsidR="00C35BB8" w:rsidRPr="00616399">
        <w:rPr>
          <w:lang w:val="en-US"/>
        </w:rPr>
        <w:t xml:space="preserve"> was administered to all individuals that were positively diagnosed, using a rapid test with 70% test sensitivity, within two days of symptom onset. All symptomatic individuals were assumed to have sought testing within one day after symptom onset on average. Distribution of oral antivirals for treatment began one week after the pandemic was initiated in the country with ten infections.</w:t>
      </w:r>
      <w:r w:rsidR="00C35BB8">
        <w:rPr>
          <w:lang w:val="en-US"/>
        </w:rPr>
        <w:t xml:space="preserve"> Each circle plot represents a country </w:t>
      </w:r>
      <w:r w:rsidR="00F31C5C">
        <w:rPr>
          <w:lang w:val="en-US"/>
        </w:rPr>
        <w:t>colour</w:t>
      </w:r>
      <w:r w:rsidR="00C35BB8">
        <w:rPr>
          <w:lang w:val="en-US"/>
        </w:rPr>
        <w:t xml:space="preserve">ed by its </w:t>
      </w:r>
      <w:r w:rsidR="00C35BB8" w:rsidRPr="00616399">
        <w:rPr>
          <w:lang w:val="en-US"/>
        </w:rPr>
        <w:t>gross national income (GNI) per capita is US dollars (USD) in 2023</w:t>
      </w:r>
      <w:r w:rsidR="00C35BB8">
        <w:rPr>
          <w:lang w:val="en-US"/>
        </w:rPr>
        <w:t>. Linear regression line is plotted for each pandemic scenario with the estimated slope (m) and coefficient of determination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oMath>
      <w:r w:rsidR="00C35BB8">
        <w:rPr>
          <w:rFonts w:eastAsiaTheme="minorEastAsia"/>
          <w:lang w:val="en-US"/>
        </w:rPr>
        <w:t>) stated in subplot title.</w:t>
      </w:r>
      <w:r w:rsidR="00C35BB8">
        <w:rPr>
          <w:lang w:val="en-US"/>
        </w:rPr>
        <w:t xml:space="preserve"> (</w:t>
      </w:r>
      <w:r w:rsidR="00C35BB8" w:rsidRPr="001666CE">
        <w:rPr>
          <w:b/>
          <w:lang w:val="en-US"/>
        </w:rPr>
        <w:t>A</w:t>
      </w:r>
      <w:r w:rsidR="00C35BB8">
        <w:rPr>
          <w:lang w:val="en-US"/>
        </w:rPr>
        <w:t>) Mean percentage deaths averted by test-and-treat. (</w:t>
      </w:r>
      <w:r w:rsidR="00C35BB8" w:rsidRPr="001666CE">
        <w:rPr>
          <w:b/>
          <w:lang w:val="en-US"/>
        </w:rPr>
        <w:t>B</w:t>
      </w:r>
      <w:r w:rsidR="00C35BB8">
        <w:rPr>
          <w:lang w:val="en-US"/>
        </w:rPr>
        <w:t>) Maximum BXM demand.</w:t>
      </w:r>
    </w:p>
    <w:p w14:paraId="72C428B0" w14:textId="77777777" w:rsidR="005B0080" w:rsidRDefault="005B0080">
      <w:r>
        <w:br w:type="page"/>
      </w:r>
    </w:p>
    <w:p w14:paraId="0ADB9F6F" w14:textId="77777777" w:rsidR="005B0080" w:rsidRDefault="005B0080">
      <w:r>
        <w:rPr>
          <w:noProof/>
        </w:rPr>
        <w:lastRenderedPageBreak/>
        <w:drawing>
          <wp:inline distT="0" distB="0" distL="0" distR="0" wp14:anchorId="06B89745" wp14:editId="7AF063AA">
            <wp:extent cx="5727700" cy="35947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S0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7700" cy="3594735"/>
                    </a:xfrm>
                    <a:prstGeom prst="rect">
                      <a:avLst/>
                    </a:prstGeom>
                  </pic:spPr>
                </pic:pic>
              </a:graphicData>
            </a:graphic>
          </wp:inline>
        </w:drawing>
      </w:r>
    </w:p>
    <w:p w14:paraId="26801EA5" w14:textId="64DEA211" w:rsidR="005B0080" w:rsidRDefault="004F373C" w:rsidP="005B0080">
      <w:pPr>
        <w:rPr>
          <w:lang w:val="en-US"/>
        </w:rPr>
      </w:pPr>
      <w:r>
        <w:rPr>
          <w:b/>
        </w:rPr>
        <w:t xml:space="preserve">Extended Data Fig. </w:t>
      </w:r>
      <w:r w:rsidR="005B0080">
        <w:rPr>
          <w:b/>
        </w:rPr>
        <w:t>3</w:t>
      </w:r>
      <w:r w:rsidR="005B0080" w:rsidRPr="005528F0">
        <w:rPr>
          <w:b/>
        </w:rPr>
        <w:t xml:space="preserve">: </w:t>
      </w:r>
      <w:r w:rsidR="005B0080">
        <w:rPr>
          <w:b/>
          <w:lang w:val="en-US"/>
        </w:rPr>
        <w:t>Sensitivity analysis to account for uncertainty around probability of asymptomatic infection: Treatment with oseltamivir</w:t>
      </w:r>
      <w:r w:rsidR="005B0080" w:rsidRPr="00F04787">
        <w:rPr>
          <w:b/>
          <w:lang w:val="en-US"/>
        </w:rPr>
        <w:t>.</w:t>
      </w:r>
      <w:r w:rsidR="005B0080" w:rsidRPr="00F04787">
        <w:rPr>
          <w:lang w:val="en-US"/>
        </w:rPr>
        <w:t xml:space="preserve"> </w:t>
      </w:r>
      <w:r w:rsidR="005B0080">
        <w:rPr>
          <w:lang w:val="en-US"/>
        </w:rPr>
        <w:t>Oseltamivir</w:t>
      </w:r>
      <w:r w:rsidR="005B0080" w:rsidRPr="00616399">
        <w:rPr>
          <w:lang w:val="en-US"/>
        </w:rPr>
        <w:t xml:space="preserve"> was administered to all individuals that were positively diagnosed, using a rapid test with 70% test sensitivity, within two days of symptom onset. All symptomatic individuals were assumed to have sought testing within one day after symptom onset on average. Distribution of oral antivirals for treatment began one week after the pandemic was initiated in the country with ten infections.</w:t>
      </w:r>
      <w:r w:rsidR="005B0080">
        <w:rPr>
          <w:lang w:val="en-US"/>
        </w:rPr>
        <w:t xml:space="preserve"> Each circle plot represents a country </w:t>
      </w:r>
      <w:r w:rsidR="00F31C5C">
        <w:rPr>
          <w:lang w:val="en-US"/>
        </w:rPr>
        <w:t>colour</w:t>
      </w:r>
      <w:r w:rsidR="005B0080">
        <w:rPr>
          <w:lang w:val="en-US"/>
        </w:rPr>
        <w:t xml:space="preserve">ed by its </w:t>
      </w:r>
      <w:r w:rsidR="005B0080" w:rsidRPr="00616399">
        <w:rPr>
          <w:lang w:val="en-US"/>
        </w:rPr>
        <w:t>gross national income (GNI) per capita is US dollars (USD) in 2023</w:t>
      </w:r>
      <w:r w:rsidR="005B0080">
        <w:rPr>
          <w:lang w:val="en-US"/>
        </w:rPr>
        <w:t>. Linear regression line is plotted for each pandemic scenario with the estimated slope (m) and coefficient of determination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oMath>
      <w:r w:rsidR="005B0080">
        <w:rPr>
          <w:rFonts w:eastAsiaTheme="minorEastAsia"/>
          <w:lang w:val="en-US"/>
        </w:rPr>
        <w:t>) stated in subplot title.</w:t>
      </w:r>
      <w:r w:rsidR="005B0080">
        <w:rPr>
          <w:lang w:val="en-US"/>
        </w:rPr>
        <w:t xml:space="preserve"> (</w:t>
      </w:r>
      <w:r w:rsidR="005B0080" w:rsidRPr="001666CE">
        <w:rPr>
          <w:b/>
          <w:lang w:val="en-US"/>
        </w:rPr>
        <w:t>A</w:t>
      </w:r>
      <w:r w:rsidR="005B0080">
        <w:rPr>
          <w:lang w:val="en-US"/>
        </w:rPr>
        <w:t>) Mean percentage deaths averted by test-and-treat. (</w:t>
      </w:r>
      <w:r w:rsidR="005B0080" w:rsidRPr="001666CE">
        <w:rPr>
          <w:b/>
          <w:lang w:val="en-US"/>
        </w:rPr>
        <w:t>B</w:t>
      </w:r>
      <w:r w:rsidR="005B0080">
        <w:rPr>
          <w:lang w:val="en-US"/>
        </w:rPr>
        <w:t>) Maximum BXM demand.</w:t>
      </w:r>
    </w:p>
    <w:p w14:paraId="6BD6F854" w14:textId="4FD07314" w:rsidR="00B13B68" w:rsidRDefault="00B13B68">
      <w:r>
        <w:br w:type="page"/>
      </w:r>
    </w:p>
    <w:p w14:paraId="5375B27A" w14:textId="1AA5F5E4" w:rsidR="007C6093" w:rsidRDefault="007C6093" w:rsidP="00101368">
      <w:r>
        <w:rPr>
          <w:noProof/>
        </w:rPr>
        <w:lastRenderedPageBreak/>
        <w:drawing>
          <wp:inline distT="0" distB="0" distL="0" distR="0" wp14:anchorId="6885C474" wp14:editId="112E0D5A">
            <wp:extent cx="5727700" cy="24117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ancetID_fig_s0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7700" cy="2411730"/>
                    </a:xfrm>
                    <a:prstGeom prst="rect">
                      <a:avLst/>
                    </a:prstGeom>
                  </pic:spPr>
                </pic:pic>
              </a:graphicData>
            </a:graphic>
          </wp:inline>
        </w:drawing>
      </w:r>
    </w:p>
    <w:p w14:paraId="1F32D1DA" w14:textId="0E1A0350" w:rsidR="00DB79D0" w:rsidRDefault="004F373C" w:rsidP="00101368">
      <w:r>
        <w:rPr>
          <w:b/>
        </w:rPr>
        <w:t xml:space="preserve">Extended Data Fig. </w:t>
      </w:r>
      <w:r w:rsidR="00471BF0">
        <w:rPr>
          <w:b/>
        </w:rPr>
        <w:t>4</w:t>
      </w:r>
      <w:r w:rsidR="005528F0" w:rsidRPr="005528F0">
        <w:rPr>
          <w:b/>
        </w:rPr>
        <w:t xml:space="preserve">: </w:t>
      </w:r>
      <w:r w:rsidR="005528F0">
        <w:rPr>
          <w:b/>
          <w:lang w:val="en-US"/>
        </w:rPr>
        <w:t xml:space="preserve">Estimated infectiousness viral load </w:t>
      </w:r>
      <w:r w:rsidR="00E70BF3">
        <w:rPr>
          <w:b/>
          <w:lang w:val="en-US"/>
        </w:rPr>
        <w:t>when treated with baloxavir marboxil at different days since infection (</w:t>
      </w:r>
      <m:oMath>
        <m:sSub>
          <m:sSubPr>
            <m:ctrlPr>
              <w:rPr>
                <w:rFonts w:ascii="Cambria Math" w:hAnsi="Cambria Math"/>
                <w:b/>
                <w:i/>
                <w:lang w:val="en-US"/>
              </w:rPr>
            </m:ctrlPr>
          </m:sSubPr>
          <m:e>
            <m:r>
              <m:rPr>
                <m:sty m:val="bi"/>
              </m:rPr>
              <w:rPr>
                <w:rFonts w:ascii="Cambria Math" w:hAnsi="Cambria Math"/>
                <w:lang w:val="en-US"/>
              </w:rPr>
              <m:t>t</m:t>
            </m:r>
          </m:e>
          <m:sub>
            <m:r>
              <m:rPr>
                <m:sty m:val="bi"/>
              </m:rPr>
              <w:rPr>
                <w:rFonts w:ascii="Cambria Math" w:hAnsi="Cambria Math"/>
                <w:lang w:val="en-US"/>
              </w:rPr>
              <m:t>treatment</m:t>
            </m:r>
          </m:sub>
        </m:sSub>
      </m:oMath>
      <w:r w:rsidR="00E70BF3">
        <w:rPr>
          <w:rFonts w:eastAsiaTheme="minorEastAsia"/>
          <w:b/>
          <w:lang w:val="en-US"/>
        </w:rPr>
        <w:t>)</w:t>
      </w:r>
      <w:r w:rsidR="005528F0" w:rsidRPr="00F04787">
        <w:rPr>
          <w:b/>
          <w:lang w:val="en-US"/>
        </w:rPr>
        <w:t>.</w:t>
      </w:r>
      <w:r w:rsidR="005528F0" w:rsidRPr="00F04787">
        <w:rPr>
          <w:lang w:val="en-US"/>
        </w:rPr>
        <w:t xml:space="preserve"> </w:t>
      </w:r>
      <w:r w:rsidR="00867FF0">
        <w:rPr>
          <w:lang w:val="en-US"/>
        </w:rPr>
        <w:t>W</w:t>
      </w:r>
      <w:r w:rsidR="005528F0" w:rsidRPr="00F04787">
        <w:rPr>
          <w:lang w:val="en-US"/>
        </w:rPr>
        <w:t>ithin-host viral load trajectories</w:t>
      </w:r>
      <w:r w:rsidR="00E70BF3">
        <w:rPr>
          <w:lang w:val="en-US"/>
        </w:rPr>
        <w:t xml:space="preserve"> estimated by </w:t>
      </w:r>
      <w:r w:rsidR="00867FF0">
        <w:rPr>
          <w:lang w:val="en-US"/>
        </w:rPr>
        <w:t>applying maximum-likelihood parameter estimates to our</w:t>
      </w:r>
      <w:r w:rsidR="00E70BF3">
        <w:rPr>
          <w:lang w:val="en-US"/>
        </w:rPr>
        <w:t xml:space="preserve"> within-host model</w:t>
      </w:r>
      <w:r w:rsidR="00867FF0">
        <w:rPr>
          <w:lang w:val="en-US"/>
        </w:rPr>
        <w:t xml:space="preserve"> and varying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treatment</m:t>
            </m:r>
          </m:sub>
        </m:sSub>
      </m:oMath>
      <w:r w:rsidR="00E70BF3">
        <w:rPr>
          <w:lang w:val="en-US"/>
        </w:rPr>
        <w:t xml:space="preserve">. </w:t>
      </w:r>
    </w:p>
    <w:p w14:paraId="04D4618B" w14:textId="77777777" w:rsidR="007C6093" w:rsidRDefault="007C6093" w:rsidP="00101368"/>
    <w:p w14:paraId="4A86D720" w14:textId="77777777" w:rsidR="001A3D8C" w:rsidRDefault="001A3D8C">
      <w:r>
        <w:br w:type="page"/>
      </w:r>
    </w:p>
    <w:p w14:paraId="77654236" w14:textId="6CCE89BC" w:rsidR="00CB0EB6" w:rsidRPr="00F04787" w:rsidRDefault="00CB0EB6" w:rsidP="00101368">
      <w:r w:rsidRPr="00F04787">
        <w:rPr>
          <w:noProof/>
        </w:rPr>
        <w:lastRenderedPageBreak/>
        <w:drawing>
          <wp:inline distT="0" distB="0" distL="0" distR="0" wp14:anchorId="52D36784" wp14:editId="059007DA">
            <wp:extent cx="5727700" cy="3520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S2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7700" cy="3520880"/>
                    </a:xfrm>
                    <a:prstGeom prst="rect">
                      <a:avLst/>
                    </a:prstGeom>
                  </pic:spPr>
                </pic:pic>
              </a:graphicData>
            </a:graphic>
          </wp:inline>
        </w:drawing>
      </w:r>
    </w:p>
    <w:p w14:paraId="78D52A97" w14:textId="14AAE1A7" w:rsidR="0055185F" w:rsidRPr="00F04787" w:rsidRDefault="004F373C" w:rsidP="00101368">
      <w:pPr>
        <w:rPr>
          <w:lang w:val="en-US"/>
        </w:rPr>
      </w:pPr>
      <w:r>
        <w:rPr>
          <w:b/>
          <w:lang w:val="en-US"/>
        </w:rPr>
        <w:t xml:space="preserve">Extended Data Fig. </w:t>
      </w:r>
      <w:r w:rsidR="00471BF0">
        <w:rPr>
          <w:b/>
          <w:lang w:val="en-US"/>
        </w:rPr>
        <w:t>5</w:t>
      </w:r>
      <w:r w:rsidR="0055185F" w:rsidRPr="00F04787">
        <w:rPr>
          <w:b/>
          <w:lang w:val="en-US"/>
        </w:rPr>
        <w:t xml:space="preserve">: Country-level effects of treatment delays, distribution strategies, post-exposure prophylaxis and antiviral resistance on </w:t>
      </w:r>
      <w:r w:rsidR="00F6282C">
        <w:rPr>
          <w:b/>
          <w:lang w:val="en-US"/>
        </w:rPr>
        <w:t>mean</w:t>
      </w:r>
      <w:r w:rsidR="0055185F" w:rsidRPr="00F04787">
        <w:rPr>
          <w:b/>
          <w:lang w:val="en-US"/>
        </w:rPr>
        <w:t xml:space="preserve"> percentage deaths averted by </w:t>
      </w:r>
      <w:r w:rsidR="002865FF" w:rsidRPr="00F04787">
        <w:rPr>
          <w:b/>
          <w:lang w:val="en-US"/>
        </w:rPr>
        <w:t>baloxavir marboxil</w:t>
      </w:r>
      <w:r w:rsidR="0055185F" w:rsidRPr="00F04787">
        <w:rPr>
          <w:b/>
          <w:lang w:val="en-US"/>
        </w:rPr>
        <w:t xml:space="preserve"> </w:t>
      </w:r>
      <w:r w:rsidR="00EB5FE1" w:rsidRPr="00F04787">
        <w:rPr>
          <w:b/>
          <w:lang w:val="en-US"/>
        </w:rPr>
        <w:t xml:space="preserve">(BXM) </w:t>
      </w:r>
      <w:r w:rsidR="0055185F" w:rsidRPr="00F04787">
        <w:rPr>
          <w:b/>
          <w:lang w:val="en-US"/>
        </w:rPr>
        <w:t>distribution</w:t>
      </w:r>
      <w:r w:rsidR="0055185F" w:rsidRPr="00F04787">
        <w:rPr>
          <w:lang w:val="en-US"/>
        </w:rPr>
        <w:t>. Relative to the ideal</w:t>
      </w:r>
      <w:r w:rsidR="00665561">
        <w:rPr>
          <w:lang w:val="en-US"/>
        </w:rPr>
        <w:t>ise</w:t>
      </w:r>
      <w:r w:rsidR="0055185F" w:rsidRPr="00F04787">
        <w:rPr>
          <w:lang w:val="en-US"/>
        </w:rPr>
        <w:t xml:space="preserve">d scenario (i.e. </w:t>
      </w:r>
      <w:r w:rsidR="00EB5FE1" w:rsidRPr="00F04787">
        <w:rPr>
          <w:lang w:val="en-US"/>
        </w:rPr>
        <w:t>BXM</w:t>
      </w:r>
      <w:r w:rsidR="0055185F" w:rsidRPr="00F04787">
        <w:rPr>
          <w:lang w:val="en-US"/>
        </w:rPr>
        <w:t xml:space="preserve"> are swiftly distributed to patients across the country one week after the first infection in the country, with no limits on access and availability of tests and antivirals; &gt;95% of all symptomatic individuals are treated within two days after symptom onset if positively diagnosed by a rapid diagnostic test; </w:t>
      </w:r>
      <w:r w:rsidR="00483462">
        <w:rPr>
          <w:lang w:val="en-US"/>
        </w:rPr>
        <w:t>n</w:t>
      </w:r>
      <w:r w:rsidR="0055185F" w:rsidRPr="00F04787">
        <w:rPr>
          <w:lang w:val="en-US"/>
        </w:rPr>
        <w:t xml:space="preserve">o emergence and spread of BXM-resistant viruses), mean changes in </w:t>
      </w:r>
      <w:r w:rsidR="00F6282C">
        <w:rPr>
          <w:lang w:val="en-US"/>
        </w:rPr>
        <w:t>mean</w:t>
      </w:r>
      <w:r w:rsidR="0055185F" w:rsidRPr="00F04787">
        <w:rPr>
          <w:lang w:val="en-US"/>
        </w:rPr>
        <w:t xml:space="preserve"> percentage deaths averted</w:t>
      </w:r>
      <w:r w:rsidR="008D2B1E" w:rsidRPr="00F04787">
        <w:rPr>
          <w:lang w:val="en-US"/>
        </w:rPr>
        <w:t xml:space="preserve"> due to country-level effects</w:t>
      </w:r>
      <w:r w:rsidR="0055185F" w:rsidRPr="00F04787">
        <w:rPr>
          <w:lang w:val="en-US"/>
        </w:rPr>
        <w:t xml:space="preserve"> (</w:t>
      </w:r>
      <w:r w:rsidR="008D2B1E" w:rsidRPr="00F04787">
        <w:rPr>
          <w:lang w:val="en-US"/>
        </w:rPr>
        <w:t>each circle</w:t>
      </w:r>
      <w:r w:rsidR="00024C8D" w:rsidRPr="00F04787">
        <w:rPr>
          <w:lang w:val="en-US"/>
        </w:rPr>
        <w:t xml:space="preserve"> and line</w:t>
      </w:r>
      <w:r w:rsidR="008D2B1E" w:rsidRPr="00F04787">
        <w:rPr>
          <w:lang w:val="en-US"/>
        </w:rPr>
        <w:t xml:space="preserve"> denotes</w:t>
      </w:r>
      <w:r w:rsidR="00024C8D" w:rsidRPr="00F04787">
        <w:rPr>
          <w:lang w:val="en-US"/>
        </w:rPr>
        <w:t xml:space="preserve"> the</w:t>
      </w:r>
      <w:r w:rsidR="008D2B1E" w:rsidRPr="00F04787">
        <w:rPr>
          <w:lang w:val="en-US"/>
        </w:rPr>
        <w:t xml:space="preserve"> </w:t>
      </w:r>
      <w:r w:rsidR="00024C8D" w:rsidRPr="00F04787">
        <w:rPr>
          <w:lang w:val="en-US"/>
        </w:rPr>
        <w:t>posterior mean and 95% highest posterior density interval estimated</w:t>
      </w:r>
      <w:r w:rsidR="008D2B1E" w:rsidRPr="00F04787">
        <w:rPr>
          <w:lang w:val="en-US"/>
        </w:rPr>
        <w:t xml:space="preserve"> for </w:t>
      </w:r>
      <w:r w:rsidR="00024C8D" w:rsidRPr="00F04787">
        <w:rPr>
          <w:lang w:val="en-US"/>
        </w:rPr>
        <w:t>each</w:t>
      </w:r>
      <w:r w:rsidR="008D2B1E" w:rsidRPr="00F04787">
        <w:rPr>
          <w:lang w:val="en-US"/>
        </w:rPr>
        <w:t xml:space="preserve"> country, shading denotes median age of country’s population</w:t>
      </w:r>
      <w:r w:rsidR="00024C8D" w:rsidRPr="00F04787">
        <w:rPr>
          <w:lang w:val="en-US"/>
        </w:rPr>
        <w:t>)</w:t>
      </w:r>
      <w:r w:rsidR="00251AB5" w:rsidRPr="00F04787">
        <w:rPr>
          <w:lang w:val="en-US"/>
        </w:rPr>
        <w:t xml:space="preserve"> are plotted against countries’ gross national income (GNI) per capita is US dollars (USD) in 2023</w:t>
      </w:r>
      <w:r w:rsidR="00EE3FC2" w:rsidRPr="00F04787">
        <w:rPr>
          <w:lang w:val="en-US"/>
        </w:rPr>
        <w:t xml:space="preserve">. </w:t>
      </w:r>
      <w:r w:rsidR="008D2B1E" w:rsidRPr="00F04787">
        <w:rPr>
          <w:lang w:val="en-US"/>
        </w:rPr>
        <w:t>Background shading denotes the range of GNI per capita distinguishing between different country income groups as classified by the World Bank in 2024 (low income country, LIC; lower-middle income country, LMIC; upper-middle income country, UMIC; and high income country, HIC).</w:t>
      </w:r>
    </w:p>
    <w:p w14:paraId="6FA740AF" w14:textId="7E696D56" w:rsidR="000C44DA" w:rsidRPr="00F04787" w:rsidRDefault="000C44DA" w:rsidP="00101368"/>
    <w:p w14:paraId="07C4F0BC" w14:textId="77777777" w:rsidR="001A3D8C" w:rsidRDefault="001A3D8C">
      <w:r>
        <w:br w:type="page"/>
      </w:r>
    </w:p>
    <w:p w14:paraId="2D946E82" w14:textId="31F7BAC5" w:rsidR="000C44DA" w:rsidRPr="00F04787" w:rsidRDefault="000C44DA" w:rsidP="00101368">
      <w:r w:rsidRPr="00F04787">
        <w:rPr>
          <w:noProof/>
        </w:rPr>
        <w:lastRenderedPageBreak/>
        <w:drawing>
          <wp:inline distT="0" distB="0" distL="0" distR="0" wp14:anchorId="2E16DE01" wp14:editId="1EFC758F">
            <wp:extent cx="5727700" cy="2035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S03.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7700" cy="2035175"/>
                    </a:xfrm>
                    <a:prstGeom prst="rect">
                      <a:avLst/>
                    </a:prstGeom>
                  </pic:spPr>
                </pic:pic>
              </a:graphicData>
            </a:graphic>
          </wp:inline>
        </w:drawing>
      </w:r>
    </w:p>
    <w:p w14:paraId="0FAB4BF7" w14:textId="4BB6E6BC" w:rsidR="001F7136" w:rsidRPr="00F04787" w:rsidRDefault="004F373C" w:rsidP="00101368">
      <w:r>
        <w:rPr>
          <w:b/>
          <w:lang w:val="en-US"/>
        </w:rPr>
        <w:t xml:space="preserve">Extended Data Fig. </w:t>
      </w:r>
      <w:r w:rsidR="00471BF0">
        <w:rPr>
          <w:b/>
          <w:lang w:val="en-US"/>
        </w:rPr>
        <w:t>6</w:t>
      </w:r>
      <w:r w:rsidR="001F7136" w:rsidRPr="00F04787">
        <w:rPr>
          <w:b/>
          <w:lang w:val="en-US"/>
        </w:rPr>
        <w:t xml:space="preserve">: </w:t>
      </w:r>
      <w:r w:rsidR="00A537CB" w:rsidRPr="00F04787">
        <w:rPr>
          <w:b/>
          <w:lang w:val="en-US"/>
        </w:rPr>
        <w:t xml:space="preserve">Correlation between </w:t>
      </w:r>
      <w:r w:rsidR="00F6282C">
        <w:rPr>
          <w:b/>
          <w:lang w:val="en-US"/>
        </w:rPr>
        <w:t>mean</w:t>
      </w:r>
      <w:r w:rsidR="002A7D73" w:rsidRPr="00F04787">
        <w:rPr>
          <w:b/>
          <w:lang w:val="en-US"/>
        </w:rPr>
        <w:t xml:space="preserve"> household size</w:t>
      </w:r>
      <w:r w:rsidR="00A537CB" w:rsidRPr="00F04787">
        <w:rPr>
          <w:b/>
          <w:lang w:val="en-US"/>
        </w:rPr>
        <w:t xml:space="preserve"> and country-level effect on </w:t>
      </w:r>
      <w:r w:rsidR="00F6282C">
        <w:rPr>
          <w:b/>
          <w:lang w:val="en-US"/>
        </w:rPr>
        <w:t>mean</w:t>
      </w:r>
      <w:r w:rsidR="00A537CB" w:rsidRPr="00F04787">
        <w:rPr>
          <w:b/>
          <w:lang w:val="en-US"/>
        </w:rPr>
        <w:t xml:space="preserve"> percentage deaths averted by distributing baloxavir marboxil (BXM) as post-exposure prophylaxis to household members</w:t>
      </w:r>
      <w:r w:rsidR="001F7136" w:rsidRPr="00F04787">
        <w:rPr>
          <w:lang w:val="en-US"/>
        </w:rPr>
        <w:t xml:space="preserve">. </w:t>
      </w:r>
      <w:r w:rsidR="004379B5" w:rsidRPr="00F04787">
        <w:rPr>
          <w:lang w:val="en-US"/>
        </w:rPr>
        <w:t>(</w:t>
      </w:r>
      <w:r w:rsidR="004379B5" w:rsidRPr="00F04787">
        <w:rPr>
          <w:b/>
          <w:lang w:val="en-US"/>
        </w:rPr>
        <w:t>A</w:t>
      </w:r>
      <w:r w:rsidR="004379B5" w:rsidRPr="00F04787">
        <w:rPr>
          <w:lang w:val="en-US"/>
        </w:rPr>
        <w:t>)</w:t>
      </w:r>
      <w:r w:rsidR="002E46FB" w:rsidRPr="00F04787">
        <w:rPr>
          <w:lang w:val="en-US"/>
        </w:rPr>
        <w:t xml:space="preserve"> </w:t>
      </w:r>
      <w:r w:rsidR="00F6282C">
        <w:rPr>
          <w:lang w:val="en-US"/>
        </w:rPr>
        <w:t>Mean</w:t>
      </w:r>
      <w:r w:rsidR="002E46FB" w:rsidRPr="00F04787">
        <w:rPr>
          <w:lang w:val="en-US"/>
        </w:rPr>
        <w:t xml:space="preserve"> household size of each country</w:t>
      </w:r>
      <w:r w:rsidR="0079653B" w:rsidRPr="00F04787">
        <w:rPr>
          <w:lang w:val="en-US"/>
        </w:rPr>
        <w:fldChar w:fldCharType="begin"/>
      </w:r>
      <w:r w:rsidR="000B5579">
        <w:rPr>
          <w:lang w:val="en-US"/>
        </w:rPr>
        <w:instrText xml:space="preserve"> ADDIN ZOTERO_ITEM CSL_CITATION {"citationID":"mQN2Smzq","properties":{"formattedCitation":"\\super 24\\nosupersub{}","plainCitation":"24","noteIndex":0},"citationItems":[{"id":175,"uris":["http://zotero.org/users/local/0pdZPGmr/items/UW6QBSYW","http://zotero.org/users/9596130/items/UW6QBSYW"],"itemData":{"id":175,"type":"webpage","title":"World Population Prospects","URL":"https://population.un.org/wpp/","author":[{"literal":"United Nations"}],"accessed":{"date-parts":[["2025",1,6]]},"issued":{"date-parts":[["2024"]]}}}],"schema":"https://github.com/citation-style-language/schema/raw/master/csl-citation.json"} </w:instrText>
      </w:r>
      <w:r w:rsidR="0079653B" w:rsidRPr="00F04787">
        <w:rPr>
          <w:lang w:val="en-US"/>
        </w:rPr>
        <w:fldChar w:fldCharType="separate"/>
      </w:r>
      <w:r w:rsidR="000B5579" w:rsidRPr="000B5579">
        <w:rPr>
          <w:vertAlign w:val="superscript"/>
          <w:lang w:val="en-US"/>
        </w:rPr>
        <w:t>24</w:t>
      </w:r>
      <w:r w:rsidR="0079653B" w:rsidRPr="00F04787">
        <w:rPr>
          <w:lang w:val="en-US"/>
        </w:rPr>
        <w:fldChar w:fldCharType="end"/>
      </w:r>
      <w:r w:rsidR="002E46FB" w:rsidRPr="00F04787">
        <w:rPr>
          <w:lang w:val="en-US"/>
        </w:rPr>
        <w:t xml:space="preserve"> (circle</w:t>
      </w:r>
      <w:r w:rsidR="009875E9" w:rsidRPr="00F04787">
        <w:rPr>
          <w:lang w:val="en-US"/>
        </w:rPr>
        <w:t>, shading denotes median age of country’s population</w:t>
      </w:r>
      <w:r w:rsidR="002E46FB" w:rsidRPr="00F04787">
        <w:rPr>
          <w:lang w:val="en-US"/>
        </w:rPr>
        <w:t>) plotted against their gross national income (GNI) per capita is US dollars (USD) in 2023. Background shading denotes the range of GNI per capita distinguishing between different country income groups as classified by the World Bank in 2024 (low income country, LIC; lower-middle income country, LMIC; upper-middle income country, UMIC; and high income country, HIC). (</w:t>
      </w:r>
      <w:r w:rsidR="002E46FB" w:rsidRPr="00F04787">
        <w:rPr>
          <w:b/>
          <w:lang w:val="en-US"/>
        </w:rPr>
        <w:t>B</w:t>
      </w:r>
      <w:r w:rsidR="002E46FB" w:rsidRPr="00F04787">
        <w:rPr>
          <w:lang w:val="en-US"/>
        </w:rPr>
        <w:t>)</w:t>
      </w:r>
      <w:r w:rsidR="00EE55C6" w:rsidRPr="00F04787">
        <w:rPr>
          <w:lang w:val="en-US"/>
        </w:rPr>
        <w:t xml:space="preserve"> </w:t>
      </w:r>
      <w:r w:rsidR="00F6282C">
        <w:rPr>
          <w:lang w:val="en-US"/>
        </w:rPr>
        <w:t>Mean</w:t>
      </w:r>
      <w:r w:rsidR="00EE55C6" w:rsidRPr="00F04787">
        <w:rPr>
          <w:lang w:val="en-US"/>
        </w:rPr>
        <w:t xml:space="preserve"> household size of each country (circle, shading denotes median age of country’s population) plotted against mean changes in </w:t>
      </w:r>
      <w:r w:rsidR="00F6282C">
        <w:rPr>
          <w:lang w:val="en-US"/>
        </w:rPr>
        <w:t>mean</w:t>
      </w:r>
      <w:r w:rsidR="00EE55C6" w:rsidRPr="00F04787">
        <w:rPr>
          <w:lang w:val="en-US"/>
        </w:rPr>
        <w:t xml:space="preserve"> percentage deaths averted due to country-level effects (each circle and line denotes the posterior mean and 95% highest posterior density interval estimated for each country, shading denotes median age of country’s population).</w:t>
      </w:r>
      <w:r w:rsidR="00A45B26" w:rsidRPr="00F04787">
        <w:rPr>
          <w:lang w:val="en-US"/>
        </w:rPr>
        <w:t xml:space="preserve"> Dash line denotes the best-fit linear regression line</w:t>
      </w:r>
      <w:r w:rsidR="00E107CC" w:rsidRPr="00F04787">
        <w:rPr>
          <w:lang w:val="en-US"/>
        </w:rPr>
        <w:t xml:space="preserve">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eastAsiaTheme="minorEastAsia" w:hAnsi="Cambria Math"/>
            <w:lang w:val="en-US"/>
          </w:rPr>
          <m:t>=0.80</m:t>
        </m:r>
      </m:oMath>
      <w:r w:rsidR="00E107CC" w:rsidRPr="00F04787">
        <w:rPr>
          <w:lang w:val="en-US"/>
        </w:rPr>
        <w:t>)</w:t>
      </w:r>
      <w:r w:rsidR="00A45B26" w:rsidRPr="00F04787">
        <w:rPr>
          <w:lang w:val="en-US"/>
        </w:rPr>
        <w:t xml:space="preserve">. </w:t>
      </w:r>
    </w:p>
    <w:p w14:paraId="0BFD234B" w14:textId="77777777" w:rsidR="00CB0EB6" w:rsidRPr="00F04787" w:rsidRDefault="00CB0EB6" w:rsidP="00101368"/>
    <w:p w14:paraId="35B386D8" w14:textId="56BFE7B7" w:rsidR="00CB0EB6" w:rsidRPr="00F04787" w:rsidRDefault="00CB0EB6" w:rsidP="00101368"/>
    <w:p w14:paraId="19CE2684" w14:textId="77777777" w:rsidR="001A3D8C" w:rsidRDefault="001A3D8C">
      <w:r>
        <w:br w:type="page"/>
      </w:r>
    </w:p>
    <w:p w14:paraId="1B2928EE" w14:textId="2954159E" w:rsidR="00CB0EB6" w:rsidRPr="00F04787" w:rsidRDefault="00CB0EB6" w:rsidP="00101368">
      <w:r w:rsidRPr="00F04787">
        <w:rPr>
          <w:noProof/>
        </w:rPr>
        <w:lastRenderedPageBreak/>
        <w:drawing>
          <wp:inline distT="0" distB="0" distL="0" distR="0" wp14:anchorId="19B62B7F" wp14:editId="2434EA14">
            <wp:extent cx="5727700" cy="3520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S2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7700" cy="3520880"/>
                    </a:xfrm>
                    <a:prstGeom prst="rect">
                      <a:avLst/>
                    </a:prstGeom>
                  </pic:spPr>
                </pic:pic>
              </a:graphicData>
            </a:graphic>
          </wp:inline>
        </w:drawing>
      </w:r>
    </w:p>
    <w:p w14:paraId="3364229B" w14:textId="56C0E90A" w:rsidR="00115295" w:rsidRPr="00F04787" w:rsidRDefault="004F373C" w:rsidP="00115295">
      <w:pPr>
        <w:rPr>
          <w:lang w:val="en-US"/>
        </w:rPr>
      </w:pPr>
      <w:r>
        <w:rPr>
          <w:b/>
          <w:lang w:val="en-US"/>
        </w:rPr>
        <w:t xml:space="preserve">Extended Data Fig. </w:t>
      </w:r>
      <w:r w:rsidR="00471BF0">
        <w:rPr>
          <w:b/>
          <w:lang w:val="en-US"/>
        </w:rPr>
        <w:t>7</w:t>
      </w:r>
      <w:r w:rsidR="00115295" w:rsidRPr="00F04787">
        <w:rPr>
          <w:b/>
          <w:lang w:val="en-US"/>
        </w:rPr>
        <w:t xml:space="preserve">: Country-level effects of treatment delays, distribution strategies, post-exposure prophylaxis and antiviral resistance on </w:t>
      </w:r>
      <w:r w:rsidR="00F6282C">
        <w:rPr>
          <w:b/>
          <w:lang w:val="en-US"/>
        </w:rPr>
        <w:t>mean</w:t>
      </w:r>
      <w:r w:rsidR="00115295" w:rsidRPr="00F04787">
        <w:rPr>
          <w:b/>
          <w:lang w:val="en-US"/>
        </w:rPr>
        <w:t xml:space="preserve"> baloxavir marboxil (BXM) demand</w:t>
      </w:r>
      <w:r w:rsidR="00115295" w:rsidRPr="00F04787">
        <w:rPr>
          <w:lang w:val="en-US"/>
        </w:rPr>
        <w:t>. Relative to the ideal</w:t>
      </w:r>
      <w:r w:rsidR="00665561">
        <w:rPr>
          <w:lang w:val="en-US"/>
        </w:rPr>
        <w:t>ise</w:t>
      </w:r>
      <w:r w:rsidR="00115295" w:rsidRPr="00F04787">
        <w:rPr>
          <w:lang w:val="en-US"/>
        </w:rPr>
        <w:t xml:space="preserve">d scenario (i.e. </w:t>
      </w:r>
      <w:r w:rsidR="00B7473E" w:rsidRPr="00F04787">
        <w:rPr>
          <w:lang w:val="en-US"/>
        </w:rPr>
        <w:t>BXM</w:t>
      </w:r>
      <w:r w:rsidR="00115295" w:rsidRPr="00F04787">
        <w:rPr>
          <w:lang w:val="en-US"/>
        </w:rPr>
        <w:t xml:space="preserve"> are swiftly distributed to patients across the country one week after the first infection in the country, with no limits on access and availability of tests and antivirals; &gt;95% of all symptomatic individuals are treated within two days after symptom onset if positively diagnosed by a rapid diagnostic test; </w:t>
      </w:r>
      <w:r w:rsidR="00483462">
        <w:rPr>
          <w:lang w:val="en-US"/>
        </w:rPr>
        <w:t>n</w:t>
      </w:r>
      <w:r w:rsidR="00115295" w:rsidRPr="00F04787">
        <w:rPr>
          <w:lang w:val="en-US"/>
        </w:rPr>
        <w:t xml:space="preserve">o emergence and spread of BXM-resistant viruses), mean changes in </w:t>
      </w:r>
      <w:r w:rsidR="005C3D6E" w:rsidRPr="00F04787">
        <w:rPr>
          <w:lang w:val="en-US"/>
        </w:rPr>
        <w:t>BXM demand</w:t>
      </w:r>
      <w:r w:rsidR="00115295" w:rsidRPr="00F04787">
        <w:rPr>
          <w:lang w:val="en-US"/>
        </w:rPr>
        <w:t xml:space="preserve"> due to country-level effects (each circle and line denotes the posterior mean and 95% highest posterior density interval estimated for each country, shading denotes median age of country’s population) are plotted against countries’ gross national income (GNI) per capita is US dollars (USD) in 2023. Background shading denotes the range of GNI per capita distinguishing between different country income groups as classified by the World Bank in 2024 (low income country, LIC; lower-middle income country, LMIC; upper-middle income country, UMIC; and high income country, HIC).</w:t>
      </w:r>
    </w:p>
    <w:p w14:paraId="725487FE" w14:textId="2FF20646" w:rsidR="00115295" w:rsidRPr="00F04787" w:rsidRDefault="00115295" w:rsidP="00101368"/>
    <w:p w14:paraId="72E76D97" w14:textId="77777777" w:rsidR="00115295" w:rsidRPr="00F04787" w:rsidRDefault="00115295" w:rsidP="00101368"/>
    <w:p w14:paraId="1A96AA49" w14:textId="77777777" w:rsidR="001A3D8C" w:rsidRDefault="001A3D8C">
      <w:r>
        <w:br w:type="page"/>
      </w:r>
    </w:p>
    <w:p w14:paraId="53E8B7BA" w14:textId="77777777" w:rsidR="00B91DA1" w:rsidRDefault="00B91DA1">
      <w:r w:rsidRPr="00B91DA1">
        <w:rPr>
          <w:noProof/>
        </w:rPr>
        <w:lastRenderedPageBreak/>
        <w:drawing>
          <wp:inline distT="0" distB="0" distL="0" distR="0" wp14:anchorId="0BE5F8FD" wp14:editId="0D250F25">
            <wp:extent cx="5727700" cy="34575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7700" cy="3457575"/>
                    </a:xfrm>
                    <a:prstGeom prst="rect">
                      <a:avLst/>
                    </a:prstGeom>
                  </pic:spPr>
                </pic:pic>
              </a:graphicData>
            </a:graphic>
          </wp:inline>
        </w:drawing>
      </w:r>
    </w:p>
    <w:p w14:paraId="66770BB6" w14:textId="034FA4CE" w:rsidR="00B91DA1" w:rsidRDefault="004F373C">
      <w:r>
        <w:rPr>
          <w:b/>
          <w:lang w:val="en-US"/>
        </w:rPr>
        <w:t xml:space="preserve">Extended Data Fig. </w:t>
      </w:r>
      <w:r w:rsidR="00471BF0">
        <w:rPr>
          <w:b/>
          <w:lang w:val="en-US"/>
        </w:rPr>
        <w:t>8</w:t>
      </w:r>
      <w:r w:rsidR="00B91DA1" w:rsidRPr="00F04787">
        <w:rPr>
          <w:b/>
          <w:lang w:val="en-US"/>
        </w:rPr>
        <w:t xml:space="preserve">: </w:t>
      </w:r>
      <w:r w:rsidR="00B91DA1">
        <w:rPr>
          <w:b/>
          <w:lang w:val="en-US"/>
        </w:rPr>
        <w:t>Within-host model schematic diagram summarizing equations 1-6.</w:t>
      </w:r>
      <w:r w:rsidR="00B91DA1">
        <w:br w:type="page"/>
      </w:r>
    </w:p>
    <w:p w14:paraId="38D09F12" w14:textId="542D3C81" w:rsidR="00101368" w:rsidRPr="00F04787" w:rsidRDefault="00101368" w:rsidP="00101368">
      <w:r w:rsidRPr="00F04787">
        <w:rPr>
          <w:noProof/>
        </w:rPr>
        <w:lastRenderedPageBreak/>
        <w:drawing>
          <wp:inline distT="0" distB="0" distL="0" distR="0" wp14:anchorId="0200BF2C" wp14:editId="5724EF1E">
            <wp:extent cx="5615754" cy="23983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ncetID_fig_s0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5754" cy="2398395"/>
                    </a:xfrm>
                    <a:prstGeom prst="rect">
                      <a:avLst/>
                    </a:prstGeom>
                  </pic:spPr>
                </pic:pic>
              </a:graphicData>
            </a:graphic>
          </wp:inline>
        </w:drawing>
      </w:r>
    </w:p>
    <w:p w14:paraId="367357EC" w14:textId="317710C9" w:rsidR="00101368" w:rsidRPr="00F04787" w:rsidRDefault="004F373C" w:rsidP="00101368">
      <w:pPr>
        <w:rPr>
          <w:lang w:val="en-US"/>
        </w:rPr>
      </w:pPr>
      <w:r>
        <w:rPr>
          <w:b/>
          <w:lang w:val="en-US"/>
        </w:rPr>
        <w:t xml:space="preserve">Extended Data Fig. </w:t>
      </w:r>
      <w:r w:rsidR="00044468">
        <w:rPr>
          <w:b/>
          <w:lang w:val="en-US"/>
        </w:rPr>
        <w:t>9</w:t>
      </w:r>
      <w:r w:rsidR="00101368" w:rsidRPr="00F04787">
        <w:rPr>
          <w:b/>
          <w:lang w:val="en-US"/>
        </w:rPr>
        <w:t>: Data fitting for time to symptom onset since infection and time to treatment administration since symptom onset.</w:t>
      </w:r>
      <w:r w:rsidR="00101368" w:rsidRPr="00F04787">
        <w:rPr>
          <w:lang w:val="en-US"/>
        </w:rPr>
        <w:t xml:space="preserve"> (</w:t>
      </w:r>
      <w:r w:rsidR="00101368" w:rsidRPr="00F04787">
        <w:rPr>
          <w:b/>
          <w:lang w:val="en-US"/>
        </w:rPr>
        <w:t>A</w:t>
      </w:r>
      <w:r w:rsidR="00101368" w:rsidRPr="00F04787">
        <w:rPr>
          <w:lang w:val="en-US"/>
        </w:rPr>
        <w:t>) Continuous (black line) and discrete (blue bars) probability distribution function (PDF) of lognormal distribution fit to pooled data of the time of symptom onset since influenza virus infection as reported in Lessler et al.</w:t>
      </w:r>
      <w:r w:rsidR="00101368" w:rsidRPr="00F04787">
        <w:rPr>
          <w:lang w:val="en-US"/>
        </w:rPr>
        <w:fldChar w:fldCharType="begin"/>
      </w:r>
      <w:r w:rsidR="000B5579">
        <w:rPr>
          <w:lang w:val="en-US"/>
        </w:rPr>
        <w:instrText xml:space="preserve"> ADDIN ZOTERO_ITEM CSL_CITATION {"citationID":"W8UuGGw9","properties":{"formattedCitation":"\\super 3\\nosupersub{}","plainCitation":"3","noteIndex":0},"citationItems":[{"id":11,"uris":["http://zotero.org/users/local/0pdZPGmr/items/5IH5IJHG","http://zotero.org/users/9596130/items/5IH5IJHG"],"itemData":{"id":11,"type":"article-journal","container-title":"The Lancet Infectious Diseases","DOI":"10.1016/S1473-3099(09)70069-6","ISSN":"1473-3099, 1474-4457","issue":"5","journalAbbreviation":"The Lancet Infectious Diseases","language":"English","note":"publisher: Elsevier\nPMID: 19393959","page":"291-300","source":"www.thelancet.com","title":"Incubation periods of acute respiratory viral infections: a systematic review","title-short":"Incubation periods of acute respiratory viral infections","volume":"9","author":[{"family":"Lessler","given":"Justin"},{"family":"Reich","given":"Nicholas G."},{"family":"Brookmeyer","given":"Ron"},{"family":"Perl","given":"Trish M."},{"family":"Nelson","given":"Kenrad E."},{"family":"Cummings","given":"Derek AT"}],"issued":{"date-parts":[["2009",5,1]]}}}],"schema":"https://github.com/citation-style-language/schema/raw/master/csl-citation.json"} </w:instrText>
      </w:r>
      <w:r w:rsidR="00101368" w:rsidRPr="00F04787">
        <w:rPr>
          <w:lang w:val="en-US"/>
        </w:rPr>
        <w:fldChar w:fldCharType="separate"/>
      </w:r>
      <w:r w:rsidR="000B5579" w:rsidRPr="000B5579">
        <w:rPr>
          <w:vertAlign w:val="superscript"/>
          <w:lang w:val="en-US"/>
        </w:rPr>
        <w:t>3</w:t>
      </w:r>
      <w:r w:rsidR="00101368" w:rsidRPr="00F04787">
        <w:rPr>
          <w:lang w:val="en-US"/>
        </w:rPr>
        <w:fldChar w:fldCharType="end"/>
      </w:r>
      <w:r w:rsidR="00101368" w:rsidRPr="00F04787">
        <w:rPr>
          <w:lang w:val="en-US"/>
        </w:rPr>
        <w:t xml:space="preserve"> (</w:t>
      </w:r>
      <w:r w:rsidR="00101368" w:rsidRPr="00F04787">
        <w:rPr>
          <w:b/>
          <w:lang w:val="en-US"/>
        </w:rPr>
        <w:t>B-D</w:t>
      </w:r>
      <w:r w:rsidR="00101368" w:rsidRPr="00F04787">
        <w:rPr>
          <w:lang w:val="en-US"/>
        </w:rPr>
        <w:t>) Continuous (black line) cumulative distribution function of gamma distribution fit to time of treatment initiation since symptom onset in the phase 3 clinical trial of baloxavir marboxil (red circles);</w:t>
      </w:r>
      <w:r w:rsidR="00101368" w:rsidRPr="00F04787">
        <w:rPr>
          <w:lang w:val="en-US"/>
        </w:rPr>
        <w:fldChar w:fldCharType="begin"/>
      </w:r>
      <w:r w:rsidR="000B5579">
        <w:rPr>
          <w:lang w:val="en-US"/>
        </w:rPr>
        <w:instrText xml:space="preserve"> ADDIN ZOTERO_ITEM CSL_CITATION {"citationID":"WCFhb7BO","properties":{"formattedCitation":"\\super 1,2\\nosupersub{}","plainCitation":"1,2","noteIndex":0},"citationItems":[{"id":14,"uris":["http://zotero.org/users/local/0pdZPGmr/items/Q75YUA7U","http://zotero.org/users/9596130/items/Q75YUA7U"],"itemData":{"id":14,"type":"article-journal","abstract":"Single-dose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00101368" w:rsidRPr="00F04787">
        <w:rPr>
          <w:lang w:val="en-US"/>
        </w:rPr>
        <w:fldChar w:fldCharType="separate"/>
      </w:r>
      <w:r w:rsidR="000B5579" w:rsidRPr="000B5579">
        <w:rPr>
          <w:vertAlign w:val="superscript"/>
          <w:lang w:val="en-US"/>
        </w:rPr>
        <w:t>1,2</w:t>
      </w:r>
      <w:r w:rsidR="00101368" w:rsidRPr="00F04787">
        <w:rPr>
          <w:lang w:val="en-US"/>
        </w:rPr>
        <w:fldChar w:fldCharType="end"/>
      </w:r>
      <w:r w:rsidR="00101368" w:rsidRPr="00F04787">
        <w:rPr>
          <w:lang w:val="en-US"/>
        </w:rPr>
        <w:t xml:space="preserve"> (</w:t>
      </w:r>
      <w:r w:rsidR="00101368" w:rsidRPr="00F04787">
        <w:rPr>
          <w:b/>
          <w:lang w:val="en-US"/>
        </w:rPr>
        <w:t>B</w:t>
      </w:r>
      <w:r w:rsidR="00101368" w:rsidRPr="00F04787">
        <w:rPr>
          <w:lang w:val="en-US"/>
        </w:rPr>
        <w:t xml:space="preserve">) </w:t>
      </w:r>
      <w:r w:rsidR="002A4D31">
        <w:rPr>
          <w:lang w:val="en-US"/>
        </w:rPr>
        <w:t>p</w:t>
      </w:r>
      <w:r w:rsidR="002A4D31" w:rsidRPr="00F04787">
        <w:rPr>
          <w:lang w:val="en-US"/>
        </w:rPr>
        <w:t>lacebo</w:t>
      </w:r>
      <w:r w:rsidR="00101368" w:rsidRPr="00F04787">
        <w:rPr>
          <w:lang w:val="en-US"/>
        </w:rPr>
        <w:t>, (</w:t>
      </w:r>
      <w:r w:rsidR="00101368" w:rsidRPr="00F04787">
        <w:rPr>
          <w:b/>
          <w:lang w:val="en-US"/>
        </w:rPr>
        <w:t>C</w:t>
      </w:r>
      <w:r w:rsidR="00101368" w:rsidRPr="00F04787">
        <w:rPr>
          <w:lang w:val="en-US"/>
        </w:rPr>
        <w:t xml:space="preserve">) </w:t>
      </w:r>
      <w:r w:rsidR="002A4D31">
        <w:rPr>
          <w:lang w:val="en-US"/>
        </w:rPr>
        <w:t>b</w:t>
      </w:r>
      <w:r w:rsidR="002A4D31" w:rsidRPr="00F04787">
        <w:rPr>
          <w:lang w:val="en-US"/>
        </w:rPr>
        <w:t xml:space="preserve">aloxavir </w:t>
      </w:r>
      <w:r w:rsidR="00101368" w:rsidRPr="00F04787">
        <w:rPr>
          <w:lang w:val="en-US"/>
        </w:rPr>
        <w:t>marboxil, and (</w:t>
      </w:r>
      <w:r w:rsidR="00101368" w:rsidRPr="00F04787">
        <w:rPr>
          <w:b/>
          <w:lang w:val="en-US"/>
        </w:rPr>
        <w:t>D</w:t>
      </w:r>
      <w:r w:rsidR="00101368" w:rsidRPr="00F04787">
        <w:rPr>
          <w:lang w:val="en-US"/>
        </w:rPr>
        <w:t xml:space="preserve">) </w:t>
      </w:r>
      <w:r w:rsidR="002A4D31">
        <w:rPr>
          <w:lang w:val="en-US"/>
        </w:rPr>
        <w:t>o</w:t>
      </w:r>
      <w:r w:rsidR="00101368" w:rsidRPr="00F04787">
        <w:rPr>
          <w:lang w:val="en-US"/>
        </w:rPr>
        <w:t xml:space="preserve">seltamivir. </w:t>
      </w:r>
    </w:p>
    <w:p w14:paraId="25704B3C" w14:textId="30026522" w:rsidR="00101368" w:rsidRPr="00F04787" w:rsidRDefault="00101368"/>
    <w:p w14:paraId="66EE904E" w14:textId="77777777" w:rsidR="000221BB" w:rsidRPr="00F04787" w:rsidRDefault="000221BB"/>
    <w:p w14:paraId="69805A02" w14:textId="77777777" w:rsidR="001A3D8C" w:rsidRDefault="001A3D8C">
      <w:pPr>
        <w:rPr>
          <w:lang w:val="en-US"/>
        </w:rPr>
      </w:pPr>
      <w:r>
        <w:rPr>
          <w:lang w:val="en-US"/>
        </w:rPr>
        <w:br w:type="page"/>
      </w:r>
    </w:p>
    <w:p w14:paraId="600313F0" w14:textId="210F7821" w:rsidR="00101368" w:rsidRPr="00F04787" w:rsidRDefault="00101368" w:rsidP="00101368">
      <w:pPr>
        <w:rPr>
          <w:lang w:val="en-US"/>
        </w:rPr>
      </w:pPr>
      <w:r w:rsidRPr="00F04787">
        <w:rPr>
          <w:noProof/>
          <w:lang w:val="en-US"/>
        </w:rPr>
        <w:lastRenderedPageBreak/>
        <w:drawing>
          <wp:inline distT="0" distB="0" distL="0" distR="0" wp14:anchorId="10ADC5CB" wp14:editId="7589BD8E">
            <wp:extent cx="5727073" cy="2869565"/>
            <wp:effectExtent l="0" t="0" r="63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ncetID_fig_s0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27073" cy="2869565"/>
                    </a:xfrm>
                    <a:prstGeom prst="rect">
                      <a:avLst/>
                    </a:prstGeom>
                  </pic:spPr>
                </pic:pic>
              </a:graphicData>
            </a:graphic>
          </wp:inline>
        </w:drawing>
      </w:r>
    </w:p>
    <w:p w14:paraId="7120C18A" w14:textId="03846409" w:rsidR="00101368" w:rsidRPr="00F04787" w:rsidRDefault="004F373C" w:rsidP="00101368">
      <w:pPr>
        <w:rPr>
          <w:lang w:val="en-US"/>
        </w:rPr>
      </w:pPr>
      <w:r>
        <w:rPr>
          <w:b/>
          <w:lang w:val="en-US"/>
        </w:rPr>
        <w:t xml:space="preserve">Extended Data Fig. </w:t>
      </w:r>
      <w:r w:rsidR="00CC2E95">
        <w:rPr>
          <w:b/>
          <w:lang w:val="en-US"/>
        </w:rPr>
        <w:t>10</w:t>
      </w:r>
      <w:r w:rsidR="00101368" w:rsidRPr="00F04787">
        <w:rPr>
          <w:b/>
          <w:lang w:val="en-US"/>
        </w:rPr>
        <w:t>: Within-host viral load model fitted to clinical trial data.</w:t>
      </w:r>
      <w:r w:rsidR="00101368" w:rsidRPr="00F04787">
        <w:rPr>
          <w:lang w:val="en-US"/>
        </w:rPr>
        <w:t xml:space="preserve"> Maximum-likelihood within-host viral load trajectories for drug-sensitive wild type (blue solid line) and drug-resistant mutant (red dashed line) viruses by fitting to </w:t>
      </w:r>
      <w:r w:rsidR="00F6282C">
        <w:rPr>
          <w:lang w:val="en-US"/>
        </w:rPr>
        <w:t>mean</w:t>
      </w:r>
      <w:r w:rsidR="00101368" w:rsidRPr="00F04787">
        <w:rPr>
          <w:lang w:val="en-US"/>
        </w:rPr>
        <w:t xml:space="preserve"> viral load data (gray circles) obtained in the phase 3 clinical trial of baloxavir marboxil.</w:t>
      </w:r>
      <w:r w:rsidR="00101368" w:rsidRPr="00F04787">
        <w:rPr>
          <w:lang w:val="en-US"/>
        </w:rPr>
        <w:fldChar w:fldCharType="begin"/>
      </w:r>
      <w:r w:rsidR="000B5579">
        <w:rPr>
          <w:lang w:val="en-US"/>
        </w:rPr>
        <w:instrText xml:space="preserve"> ADDIN ZOTERO_ITEM CSL_CITATION {"citationID":"7w48skwK","properties":{"formattedCitation":"\\super 1,2\\nosupersub{}","plainCitation":"1,2","noteIndex":0},"citationItems":[{"id":14,"uris":["http://zotero.org/users/local/0pdZPGmr/items/Q75YUA7U","http://zotero.org/users/9596130/items/Q75YUA7U"],"itemData":{"id":14,"type":"article-journal","abstract":"Single-dose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00101368" w:rsidRPr="00F04787">
        <w:rPr>
          <w:lang w:val="en-US"/>
        </w:rPr>
        <w:fldChar w:fldCharType="separate"/>
      </w:r>
      <w:r w:rsidR="000B5579" w:rsidRPr="000B5579">
        <w:rPr>
          <w:vertAlign w:val="superscript"/>
          <w:lang w:val="en-US"/>
        </w:rPr>
        <w:t>1,2</w:t>
      </w:r>
      <w:r w:rsidR="00101368" w:rsidRPr="00F04787">
        <w:rPr>
          <w:lang w:val="en-US"/>
        </w:rPr>
        <w:fldChar w:fldCharType="end"/>
      </w:r>
    </w:p>
    <w:p w14:paraId="5571A87A" w14:textId="04593E8B" w:rsidR="005B5593" w:rsidRPr="00F04787" w:rsidRDefault="005B5593"/>
    <w:p w14:paraId="7FAF82A3" w14:textId="77777777" w:rsidR="00CB0EB6" w:rsidRPr="00F04787" w:rsidRDefault="00CB0EB6"/>
    <w:p w14:paraId="61D8E68D" w14:textId="0358E023" w:rsidR="005B5593" w:rsidRPr="00F04787" w:rsidRDefault="005B5593">
      <w:pPr>
        <w:rPr>
          <w:rFonts w:eastAsia="Times New Roman"/>
          <w:b/>
          <w:lang w:val="en-US"/>
        </w:rPr>
      </w:pPr>
      <w:r w:rsidRPr="00F04787">
        <w:br w:type="page"/>
      </w:r>
    </w:p>
    <w:p w14:paraId="02EFA828" w14:textId="77777777" w:rsidR="00860AEA" w:rsidRDefault="00860AEA">
      <w:r>
        <w:rPr>
          <w:noProof/>
        </w:rPr>
        <w:lastRenderedPageBreak/>
        <w:drawing>
          <wp:inline distT="0" distB="0" distL="0" distR="0" wp14:anchorId="7247BCBB" wp14:editId="199D74D5">
            <wp:extent cx="5727700" cy="29838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ancetID_fig_s04.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7700" cy="2983865"/>
                    </a:xfrm>
                    <a:prstGeom prst="rect">
                      <a:avLst/>
                    </a:prstGeom>
                  </pic:spPr>
                </pic:pic>
              </a:graphicData>
            </a:graphic>
          </wp:inline>
        </w:drawing>
      </w:r>
    </w:p>
    <w:p w14:paraId="37F0F576" w14:textId="28F9B690" w:rsidR="00860AEA" w:rsidRDefault="004F373C">
      <w:pPr>
        <w:rPr>
          <w:rFonts w:eastAsia="Times New Roman"/>
          <w:b/>
          <w:lang w:val="en-US"/>
        </w:rPr>
      </w:pPr>
      <w:r>
        <w:rPr>
          <w:b/>
          <w:lang w:val="en-US"/>
        </w:rPr>
        <w:t xml:space="preserve">Extended Data Fig. </w:t>
      </w:r>
      <w:r w:rsidR="00B02EE8">
        <w:rPr>
          <w:b/>
          <w:lang w:val="en-US"/>
        </w:rPr>
        <w:t>1</w:t>
      </w:r>
      <w:r w:rsidR="007E2D5B">
        <w:rPr>
          <w:b/>
          <w:lang w:val="en-US"/>
        </w:rPr>
        <w:t>1</w:t>
      </w:r>
      <w:r w:rsidR="006407FC" w:rsidRPr="00F04787">
        <w:rPr>
          <w:b/>
          <w:lang w:val="en-US"/>
        </w:rPr>
        <w:t xml:space="preserve">: </w:t>
      </w:r>
      <w:r w:rsidR="005F7E81">
        <w:rPr>
          <w:b/>
          <w:lang w:val="en-US"/>
        </w:rPr>
        <w:t>Model validation</w:t>
      </w:r>
      <w:r w:rsidR="00F33A2C">
        <w:rPr>
          <w:b/>
          <w:lang w:val="en-US"/>
        </w:rPr>
        <w:t>; e</w:t>
      </w:r>
      <w:r w:rsidR="006407FC">
        <w:rPr>
          <w:b/>
          <w:lang w:val="en-US"/>
        </w:rPr>
        <w:t xml:space="preserve">stimated incidence using our multiscale modelling approach </w:t>
      </w:r>
      <w:r w:rsidR="00EA15FF">
        <w:rPr>
          <w:b/>
          <w:lang w:val="en-US"/>
        </w:rPr>
        <w:t>when</w:t>
      </w:r>
      <w:r w:rsidR="006407FC">
        <w:rPr>
          <w:b/>
          <w:lang w:val="en-US"/>
        </w:rPr>
        <w:t xml:space="preserve"> apply</w:t>
      </w:r>
      <w:r w:rsidR="00EA15FF">
        <w:rPr>
          <w:b/>
          <w:lang w:val="en-US"/>
        </w:rPr>
        <w:t>ing</w:t>
      </w:r>
      <w:r w:rsidR="006407FC">
        <w:rPr>
          <w:b/>
          <w:lang w:val="en-US"/>
        </w:rPr>
        <w:t xml:space="preserve"> different within-host viral load to infectiousness</w:t>
      </w:r>
      <w:r w:rsidR="00CE6653">
        <w:rPr>
          <w:b/>
          <w:lang w:val="en-US"/>
        </w:rPr>
        <w:t xml:space="preserve"> correlative</w:t>
      </w:r>
      <w:r w:rsidR="006407FC">
        <w:rPr>
          <w:b/>
          <w:lang w:val="en-US"/>
        </w:rPr>
        <w:t xml:space="preserve"> models</w:t>
      </w:r>
      <w:r w:rsidR="006407FC" w:rsidRPr="00F04787">
        <w:rPr>
          <w:b/>
          <w:lang w:val="en-US"/>
        </w:rPr>
        <w:t>.</w:t>
      </w:r>
      <w:r w:rsidR="006407FC" w:rsidRPr="00F04787">
        <w:rPr>
          <w:lang w:val="en-US"/>
        </w:rPr>
        <w:t xml:space="preserve"> </w:t>
      </w:r>
      <w:r w:rsidR="000D6702">
        <w:rPr>
          <w:lang w:val="en-US"/>
        </w:rPr>
        <w:t>We compared the output of our multiscale model, applying</w:t>
      </w:r>
      <w:r w:rsidR="001A5A8C">
        <w:rPr>
          <w:lang w:val="en-US"/>
        </w:rPr>
        <w:t xml:space="preserve"> seasonal influenza</w:t>
      </w:r>
      <w:r w:rsidR="000D6702">
        <w:rPr>
          <w:lang w:val="en-US"/>
        </w:rPr>
        <w:t xml:space="preserve"> parameters</w:t>
      </w:r>
      <w:r w:rsidR="00485DAB">
        <w:rPr>
          <w:lang w:val="en-US"/>
        </w:rPr>
        <w:fldChar w:fldCharType="begin"/>
      </w:r>
      <w:r w:rsidR="000B5579">
        <w:rPr>
          <w:lang w:val="en-US"/>
        </w:rPr>
        <w:instrText xml:space="preserve"> ADDIN ZOTERO_ITEM CSL_CITATION {"citationID":"6WAOmdJv","properties":{"formattedCitation":"\\super 16\\nosupersub{}","plainCitation":"16","noteIndex":0},"citationItems":[{"id":103,"uris":["http://zotero.org/users/local/0pdZPGmr/items/ETJ2898P","http://zotero.org/users/9596130/items/ETJ2898P"],"itemData":{"id":103,"type":"article-journal","abstract":"Understanding the seasonal patterns of influenza transmission is critical to help plan public health measures for the management and control of epidemics. Mathematical models of infectious disease transmission have been widely used to quantify the transmissibility of and susceptibility to past influenza seasons in many countries. The objective of this study was to obtain a detailed picture of the transmission dynamics of seasonal influenza in Switzerland from 2003 to 2015. To this end, we developed a compartmental influenza transmission model taking into account social mixing between different age groups and seasonal forcing. We applied a Bayesian approach using Markov chain Monte Carlo (MCMC) methods to fit the model to the reported incidence of influenza-like-illness (ILI) and virological data from Sentinella, the Swiss Sentinel Surveillance Network. The maximal basic reproduction number, R0, ranged from 1.46 to 1.81 (median). Median estimates of susceptibility to influenza ranged from 29% to 98% for different age groups, and typically decreased with age. We also found a decline in ascertainability of influenza cases with age. Our study illustrates how influenza surveillance data from Switzerland can be integrated into a Bayesian modeling framework in order to assess age-specific transmission of and susceptibility to influenza.","container-title":"Epidemics","DOI":"10.1016/j.epidem.2019.100373","ISSN":"1755-4365","journalAbbreviation":"Epidemics","page":"100373","title":"Transmission of and susceptibility to seasonal influenza in Switzerland from 2003 to 2015","volume":"30","author":[{"family":"Brugger","given":"Jon"},{"family":"Althaus","given":"Christian L."}],"issued":{"date-parts":[["2020",3,1]]}}}],"schema":"https://github.com/citation-style-language/schema/raw/master/csl-citation.json"} </w:instrText>
      </w:r>
      <w:r w:rsidR="00485DAB">
        <w:rPr>
          <w:lang w:val="en-US"/>
        </w:rPr>
        <w:fldChar w:fldCharType="separate"/>
      </w:r>
      <w:r w:rsidR="000B5579" w:rsidRPr="000B5579">
        <w:rPr>
          <w:vertAlign w:val="superscript"/>
          <w:lang w:val="en-US"/>
        </w:rPr>
        <w:t>16</w:t>
      </w:r>
      <w:r w:rsidR="00485DAB">
        <w:rPr>
          <w:lang w:val="en-US"/>
        </w:rPr>
        <w:fldChar w:fldCharType="end"/>
      </w:r>
      <w:r w:rsidR="000D6702">
        <w:rPr>
          <w:lang w:val="en-US"/>
        </w:rPr>
        <w:t xml:space="preserve"> to estimate the incidence during the 2017/2018 influenza season</w:t>
      </w:r>
      <w:r w:rsidR="002B0C95">
        <w:rPr>
          <w:lang w:val="en-US"/>
        </w:rPr>
        <w:t xml:space="preserve">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r>
          <w:rPr>
            <w:rFonts w:ascii="Cambria Math" w:hAnsi="Cambria Math"/>
            <w:lang w:val="en-US"/>
          </w:rPr>
          <m:t>=1.3</m:t>
        </m:r>
      </m:oMath>
      <w:r w:rsidR="002B0C95">
        <w:rPr>
          <w:rFonts w:eastAsiaTheme="minorEastAsia"/>
          <w:lang w:val="en-US"/>
        </w:rPr>
        <w:t>)</w:t>
      </w:r>
      <w:r w:rsidR="002B0C95">
        <w:rPr>
          <w:rFonts w:eastAsiaTheme="minorEastAsia"/>
          <w:lang w:val="en-US"/>
        </w:rPr>
        <w:fldChar w:fldCharType="begin"/>
      </w:r>
      <w:r w:rsidR="000B5579">
        <w:rPr>
          <w:rFonts w:eastAsiaTheme="minorEastAsia"/>
          <w:lang w:val="en-US"/>
        </w:rPr>
        <w:instrText xml:space="preserve"> ADDIN ZOTERO_ITEM CSL_CITATION {"citationID":"TUYLQVd7","properties":{"formattedCitation":"\\super 28\\nosupersub{}","plainCitation":"28","noteIndex":0},"citationItems":[{"id":7,"uris":["http://zotero.org/users/local/0pdZPGmr/items/GTQ2MMFT","http://zotero.org/users/9596130/items/GTQ2MMFT"],"itemData":{"id":7,"type":"article-journal","abstract":"Influenza viruses annually kill 290,000–650,000 people worldwide. Antivirals can reduce death tolls. Baloxavir, the recently approved influenza antiviral, inhibits initiation of viral mRNA synthesis, whereas oseltamivir, an older drug, inhibits release of virus progeny. Baloxavir blocks virus replication more rapidly and completely than oseltamivir, reducing the duration of infectiousness. Hence, early baloxavir treatment may indirectly prevent transmission. Here, we estimate impacts of ramping up and accelerating baloxavir treatment on population-level incidence using a new model that links viral load dynamics from clinical trial data to between-host transmission. We estimate that ~22 million infections and &gt;6,000 deaths would have been averted in the 2017–2018 epidemic season by administering baloxavir to 30% of infected cases within 48 h after symptom onset. Treatment within 24 h would almost double the impact. Consequently, scaling up early baloxavir treatment would substantially reduce influenza morbidity and mortality every year. The development of antivirals against the SARS-CoV2 virus that function like baloxavir might similarly curtail transmission and save lives.","container-title":"Nature Communications","DOI":"10.1038/s41467-020-16585-y","ISSN":"2041-1723","issue":"1","journalAbbreviation":"Nature Communications","page":"2750","title":"Modeling mitigation of influenza epidemics by baloxavir","volume":"11","author":[{"family":"Du","given":"Zhanwei"},{"family":"Nugent","given":"Ciara"},{"family":"Galvani","given":"Alison P."},{"family":"Krug","given":"Robert M."},{"family":"Meyers","given":"Lauren Ancel"}],"issued":{"date-parts":[["2020",6,2]]}}}],"schema":"https://github.com/citation-style-language/schema/raw/master/csl-citation.json"} </w:instrText>
      </w:r>
      <w:r w:rsidR="002B0C95">
        <w:rPr>
          <w:rFonts w:eastAsiaTheme="minorEastAsia"/>
          <w:lang w:val="en-US"/>
        </w:rPr>
        <w:fldChar w:fldCharType="separate"/>
      </w:r>
      <w:r w:rsidR="000B5579" w:rsidRPr="000B5579">
        <w:rPr>
          <w:vertAlign w:val="superscript"/>
          <w:lang w:val="en-US"/>
        </w:rPr>
        <w:t>28</w:t>
      </w:r>
      <w:r w:rsidR="002B0C95">
        <w:rPr>
          <w:rFonts w:eastAsiaTheme="minorEastAsia"/>
          <w:lang w:val="en-US"/>
        </w:rPr>
        <w:fldChar w:fldCharType="end"/>
      </w:r>
      <w:r w:rsidR="000D6702">
        <w:rPr>
          <w:lang w:val="en-US"/>
        </w:rPr>
        <w:t xml:space="preserve"> in the United States (US), against </w:t>
      </w:r>
      <w:r w:rsidR="00977BA6">
        <w:rPr>
          <w:lang w:val="en-US"/>
        </w:rPr>
        <w:t xml:space="preserve">reported </w:t>
      </w:r>
      <w:r w:rsidR="000D6702">
        <w:rPr>
          <w:lang w:val="en-US"/>
        </w:rPr>
        <w:t>influenza-like (ILI) data</w:t>
      </w:r>
      <w:r w:rsidR="00977BA6">
        <w:rPr>
          <w:lang w:val="en-US"/>
        </w:rPr>
        <w:t xml:space="preserve"> (</w:t>
      </w:r>
      <w:hyperlink r:id="rId20" w:history="1">
        <w:r w:rsidR="00977BA6" w:rsidRPr="003632ED">
          <w:rPr>
            <w:rStyle w:val="Hyperlink"/>
            <w:lang w:val="en-US"/>
          </w:rPr>
          <w:t>https://www.cdc.gov/flu/weekly/fluviewinteractive.htm</w:t>
        </w:r>
      </w:hyperlink>
      <w:r w:rsidR="00977BA6">
        <w:rPr>
          <w:lang w:val="en-US"/>
        </w:rPr>
        <w:t xml:space="preserve">; </w:t>
      </w:r>
      <w:r w:rsidR="00076EEF">
        <w:rPr>
          <w:lang w:val="en-US"/>
        </w:rPr>
        <w:t>black circles)</w:t>
      </w:r>
      <w:r w:rsidR="000D6702">
        <w:rPr>
          <w:lang w:val="en-US"/>
        </w:rPr>
        <w:t>. We find minimal difference in total incidence (&lt;10% difference) when applying different within-host viral load to infectiousness correlative models</w:t>
      </w:r>
      <w:r w:rsidR="00076EEF">
        <w:rPr>
          <w:lang w:val="en-US"/>
        </w:rPr>
        <w:t xml:space="preserve"> (differently </w:t>
      </w:r>
      <w:r w:rsidR="00F31C5C">
        <w:rPr>
          <w:lang w:val="en-US"/>
        </w:rPr>
        <w:t>colour</w:t>
      </w:r>
      <w:r w:rsidR="00076EEF">
        <w:rPr>
          <w:lang w:val="en-US"/>
        </w:rPr>
        <w:t>ed lines)</w:t>
      </w:r>
      <w:r w:rsidR="000D6702">
        <w:rPr>
          <w:lang w:val="en-US"/>
        </w:rPr>
        <w:t xml:space="preserve">.   </w:t>
      </w:r>
      <w:r w:rsidR="00860AEA">
        <w:br w:type="page"/>
      </w:r>
    </w:p>
    <w:p w14:paraId="4F0D4B60" w14:textId="40E2F165" w:rsidR="00103F19" w:rsidRDefault="00805038" w:rsidP="00370A32">
      <w:pPr>
        <w:pStyle w:val="Heading1"/>
      </w:pPr>
      <w:r>
        <w:lastRenderedPageBreak/>
        <w:t>Extended Data Tables</w:t>
      </w:r>
    </w:p>
    <w:p w14:paraId="1BF6403D" w14:textId="4DD62C58" w:rsidR="00257ABA" w:rsidRDefault="00805038">
      <w:pPr>
        <w:rPr>
          <w:b/>
        </w:rPr>
      </w:pPr>
      <w:r>
        <w:rPr>
          <w:b/>
        </w:rPr>
        <w:t xml:space="preserve">Extended Data Table </w:t>
      </w:r>
      <w:bookmarkStart w:id="7" w:name="_GoBack"/>
      <w:bookmarkEnd w:id="7"/>
      <w:r w:rsidR="00370A32">
        <w:rPr>
          <w:b/>
        </w:rPr>
        <w:t>1</w:t>
      </w:r>
      <w:r w:rsidR="002851F2" w:rsidRPr="00257ABA">
        <w:rPr>
          <w:b/>
        </w:rPr>
        <w:t xml:space="preserve">. </w:t>
      </w:r>
      <w:r w:rsidR="00257ABA" w:rsidRPr="00257ABA">
        <w:rPr>
          <w:b/>
        </w:rPr>
        <w:t>Parameters used in</w:t>
      </w:r>
      <w:r w:rsidR="000E6E23">
        <w:rPr>
          <w:b/>
        </w:rPr>
        <w:t xml:space="preserve"> the</w:t>
      </w:r>
      <w:r w:rsidR="00257ABA" w:rsidRPr="00257ABA">
        <w:rPr>
          <w:b/>
        </w:rPr>
        <w:t xml:space="preserve"> </w:t>
      </w:r>
      <w:r w:rsidR="00833826">
        <w:rPr>
          <w:b/>
        </w:rPr>
        <w:t>between</w:t>
      </w:r>
      <w:r w:rsidR="00257ABA" w:rsidRPr="00257ABA">
        <w:rPr>
          <w:b/>
        </w:rPr>
        <w:t>-host</w:t>
      </w:r>
      <w:r w:rsidR="00833826">
        <w:rPr>
          <w:b/>
        </w:rPr>
        <w:t xml:space="preserve"> transmission</w:t>
      </w:r>
      <w:r w:rsidR="00257ABA" w:rsidRPr="00257ABA">
        <w:rPr>
          <w:b/>
        </w:rPr>
        <w:t xml:space="preserve"> model.</w:t>
      </w:r>
    </w:p>
    <w:p w14:paraId="479ABEF4" w14:textId="77777777" w:rsidR="00DB7E22" w:rsidRPr="00257ABA" w:rsidRDefault="00257ABA">
      <w:pPr>
        <w:rPr>
          <w:b/>
        </w:rPr>
      </w:pPr>
      <w:r w:rsidRPr="00257ABA">
        <w:rPr>
          <w:b/>
        </w:rPr>
        <w:t xml:space="preserve">  </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3849"/>
        <w:gridCol w:w="1050"/>
      </w:tblGrid>
      <w:tr w:rsidR="00DB323B" w:rsidRPr="00370A32" w14:paraId="62A6C466" w14:textId="77777777" w:rsidTr="00DB323B">
        <w:tc>
          <w:tcPr>
            <w:tcW w:w="4111" w:type="dxa"/>
            <w:tcBorders>
              <w:top w:val="single" w:sz="4" w:space="0" w:color="auto"/>
              <w:bottom w:val="single" w:sz="4" w:space="0" w:color="auto"/>
            </w:tcBorders>
          </w:tcPr>
          <w:p w14:paraId="169C75CD" w14:textId="77777777" w:rsidR="00DB7E22" w:rsidRPr="00370A32" w:rsidRDefault="00DB7E22" w:rsidP="00370A32">
            <w:pPr>
              <w:spacing w:line="288" w:lineRule="auto"/>
              <w:rPr>
                <w:rFonts w:ascii="Arial" w:hAnsi="Arial" w:cs="Arial"/>
                <w:b/>
                <w:sz w:val="15"/>
                <w:szCs w:val="15"/>
              </w:rPr>
            </w:pPr>
            <w:r w:rsidRPr="00370A32">
              <w:rPr>
                <w:rFonts w:ascii="Arial" w:hAnsi="Arial" w:cs="Arial"/>
                <w:b/>
                <w:sz w:val="15"/>
                <w:szCs w:val="15"/>
              </w:rPr>
              <w:t>Parameter</w:t>
            </w:r>
          </w:p>
        </w:tc>
        <w:tc>
          <w:tcPr>
            <w:tcW w:w="3849" w:type="dxa"/>
            <w:tcBorders>
              <w:top w:val="single" w:sz="4" w:space="0" w:color="auto"/>
              <w:bottom w:val="single" w:sz="4" w:space="0" w:color="auto"/>
            </w:tcBorders>
          </w:tcPr>
          <w:p w14:paraId="0B60072D" w14:textId="77777777" w:rsidR="00DB7E22" w:rsidRPr="00370A32" w:rsidRDefault="00DB7E22" w:rsidP="00370A32">
            <w:pPr>
              <w:spacing w:line="288" w:lineRule="auto"/>
              <w:rPr>
                <w:rFonts w:ascii="Arial" w:hAnsi="Arial" w:cs="Arial"/>
                <w:b/>
                <w:sz w:val="15"/>
                <w:szCs w:val="15"/>
              </w:rPr>
            </w:pPr>
            <w:r w:rsidRPr="00370A32">
              <w:rPr>
                <w:rFonts w:ascii="Arial" w:hAnsi="Arial" w:cs="Arial"/>
                <w:b/>
                <w:sz w:val="15"/>
                <w:szCs w:val="15"/>
              </w:rPr>
              <w:t>Value</w:t>
            </w:r>
          </w:p>
        </w:tc>
        <w:tc>
          <w:tcPr>
            <w:tcW w:w="1050" w:type="dxa"/>
            <w:tcBorders>
              <w:top w:val="single" w:sz="4" w:space="0" w:color="auto"/>
              <w:bottom w:val="single" w:sz="4" w:space="0" w:color="auto"/>
            </w:tcBorders>
          </w:tcPr>
          <w:p w14:paraId="7E000AAF" w14:textId="77777777" w:rsidR="00DB7E22" w:rsidRPr="00370A32" w:rsidRDefault="00DB7E22" w:rsidP="00370A32">
            <w:pPr>
              <w:spacing w:line="288" w:lineRule="auto"/>
              <w:rPr>
                <w:rFonts w:ascii="Arial" w:hAnsi="Arial" w:cs="Arial"/>
                <w:b/>
                <w:sz w:val="15"/>
                <w:szCs w:val="15"/>
              </w:rPr>
            </w:pPr>
            <w:r w:rsidRPr="00370A32">
              <w:rPr>
                <w:rFonts w:ascii="Arial" w:hAnsi="Arial" w:cs="Arial"/>
                <w:b/>
                <w:sz w:val="15"/>
                <w:szCs w:val="15"/>
              </w:rPr>
              <w:t>Source</w:t>
            </w:r>
          </w:p>
        </w:tc>
      </w:tr>
      <w:tr w:rsidR="00DB323B" w:rsidRPr="00370A32" w14:paraId="40A0A250" w14:textId="77777777" w:rsidTr="00DB323B">
        <w:tc>
          <w:tcPr>
            <w:tcW w:w="4111" w:type="dxa"/>
            <w:tcBorders>
              <w:top w:val="single" w:sz="4" w:space="0" w:color="auto"/>
            </w:tcBorders>
          </w:tcPr>
          <w:p w14:paraId="32C95B64" w14:textId="77777777" w:rsidR="00DB7E22" w:rsidRPr="00370A32" w:rsidRDefault="00DB7E22" w:rsidP="00370A32">
            <w:pPr>
              <w:tabs>
                <w:tab w:val="left" w:pos="519"/>
              </w:tabs>
              <w:spacing w:line="288" w:lineRule="auto"/>
              <w:rPr>
                <w:rFonts w:ascii="Arial" w:hAnsi="Arial" w:cs="Arial"/>
                <w:sz w:val="15"/>
                <w:szCs w:val="15"/>
              </w:rPr>
            </w:pPr>
            <w:r w:rsidRPr="00370A32">
              <w:rPr>
                <w:rFonts w:ascii="Arial" w:hAnsi="Arial" w:cs="Arial"/>
                <w:sz w:val="15"/>
                <w:szCs w:val="15"/>
                <w:lang w:val="en-US"/>
              </w:rPr>
              <w:t>Effectiveness in lowering infection likelihood by baloxavir marboxil (BXM) as post-exposure prophylaxis (PEP) (</w:t>
            </w:r>
            <m:oMath>
              <m:sSub>
                <m:sSubPr>
                  <m:ctrlPr>
                    <w:rPr>
                      <w:rFonts w:ascii="Cambria Math" w:hAnsi="Cambria Math" w:cs="Arial"/>
                      <w:i/>
                      <w:sz w:val="15"/>
                      <w:szCs w:val="15"/>
                      <w:lang w:val="en-US"/>
                    </w:rPr>
                  </m:ctrlPr>
                </m:sSubPr>
                <m:e>
                  <m:r>
                    <w:rPr>
                      <w:rFonts w:ascii="Cambria Math" w:hAnsi="Cambria Math" w:cs="Arial"/>
                      <w:sz w:val="15"/>
                      <w:szCs w:val="15"/>
                      <w:lang w:val="en-US"/>
                    </w:rPr>
                    <m:t>ϵ</m:t>
                  </m:r>
                </m:e>
                <m:sub>
                  <m:r>
                    <w:rPr>
                      <w:rFonts w:ascii="Cambria Math" w:hAnsi="Cambria Math" w:cs="Arial"/>
                      <w:sz w:val="15"/>
                      <w:szCs w:val="15"/>
                      <w:lang w:val="en-US"/>
                    </w:rPr>
                    <m:t>PEP</m:t>
                  </m:r>
                </m:sub>
              </m:sSub>
            </m:oMath>
            <w:r w:rsidRPr="00370A32">
              <w:rPr>
                <w:rFonts w:ascii="Arial" w:hAnsi="Arial" w:cs="Arial"/>
                <w:sz w:val="15"/>
                <w:szCs w:val="15"/>
                <w:lang w:val="en-US"/>
              </w:rPr>
              <w:t>)</w:t>
            </w:r>
          </w:p>
        </w:tc>
        <w:tc>
          <w:tcPr>
            <w:tcW w:w="3849" w:type="dxa"/>
            <w:tcBorders>
              <w:top w:val="single" w:sz="4" w:space="0" w:color="auto"/>
            </w:tcBorders>
          </w:tcPr>
          <w:p w14:paraId="71C3D91A"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0.57</w:t>
            </w:r>
          </w:p>
        </w:tc>
        <w:tc>
          <w:tcPr>
            <w:tcW w:w="1050" w:type="dxa"/>
            <w:tcBorders>
              <w:top w:val="single" w:sz="4" w:space="0" w:color="auto"/>
            </w:tcBorders>
          </w:tcPr>
          <w:p w14:paraId="016CA91E" w14:textId="4F9FA99C" w:rsidR="00DB7E22" w:rsidRPr="00370A32" w:rsidRDefault="00370A32" w:rsidP="00370A32">
            <w:pPr>
              <w:spacing w:line="288" w:lineRule="auto"/>
              <w:rPr>
                <w:rFonts w:ascii="Arial" w:hAnsi="Arial" w:cs="Arial"/>
                <w:sz w:val="15"/>
                <w:szCs w:val="15"/>
              </w:rPr>
            </w:pPr>
            <w:r w:rsidRPr="00370A32">
              <w:rPr>
                <w:rFonts w:ascii="Arial" w:hAnsi="Arial" w:cs="Arial"/>
                <w:sz w:val="15"/>
                <w:szCs w:val="15"/>
                <w:lang w:val="en-US"/>
              </w:rPr>
              <w:t>Ikematsu et al., 2020</w:t>
            </w:r>
            <w:r w:rsidR="00DB7E22" w:rsidRPr="00370A32">
              <w:rPr>
                <w:rFonts w:ascii="Arial" w:hAnsi="Arial" w:cs="Arial"/>
                <w:sz w:val="15"/>
                <w:szCs w:val="15"/>
                <w:lang w:val="en-US"/>
              </w:rPr>
              <w:fldChar w:fldCharType="begin"/>
            </w:r>
            <w:r w:rsidR="000B5579">
              <w:rPr>
                <w:rFonts w:ascii="Arial" w:hAnsi="Arial" w:cs="Arial"/>
                <w:sz w:val="15"/>
                <w:szCs w:val="15"/>
                <w:lang w:val="en-US"/>
              </w:rPr>
              <w:instrText xml:space="preserve"> ADDIN ZOTERO_ITEM CSL_CITATION {"citationID":"akknfomn15","properties":{"formattedCitation":"\\super 21\\nosupersub{}","plainCitation":"21","noteIndex":0},"citationItems":[{"id":100,"uris":["http://zotero.org/users/local/0pdZPGmr/items/XGBVRI4I","http://zotero.org/users/9596130/items/XGBVRI4I"],"itemData":{"id":100,"type":"article-journal","container-title":"New England Journal of Medicine","DOI":"10.1056/NEJMoa1915341","issue":"4","journalAbbreviation":"New England Journal of Medicine","note":"publisher: Massachusetts Medical Society","page":"309-320","title":"Baloxavir Marboxil for Prophylaxis against Influenza in Household Contacts","volume":"383","author":[{"literal":"Ikematsu Hideyuki"},{"literal":"Hayden Frederick G."},{"literal":"Kawaguchi Keiko"},{"literal":"Kinoshita Masahiro"},{"literal":"de Jong Menno D."},{"literal":"Lee Nelson"},{"literal":"Takashima Satoru"},{"literal":"Noshi Takeshi"},{"literal":"Tsuchiya Kenji"},{"literal":"Uehara Takeki"}],"issued":{"date-parts":[["2020",7,23]]}}}],"schema":"https://github.com/citation-style-language/schema/raw/master/csl-citation.json"} </w:instrText>
            </w:r>
            <w:r w:rsidR="00DB7E22" w:rsidRPr="00370A32">
              <w:rPr>
                <w:rFonts w:ascii="Arial" w:hAnsi="Arial" w:cs="Arial"/>
                <w:sz w:val="15"/>
                <w:szCs w:val="15"/>
                <w:lang w:val="en-US"/>
              </w:rPr>
              <w:fldChar w:fldCharType="separate"/>
            </w:r>
            <w:r w:rsidR="000B5579" w:rsidRPr="000B5579">
              <w:rPr>
                <w:rFonts w:ascii="Arial" w:hAnsi="Arial" w:cs="Arial"/>
                <w:sz w:val="15"/>
                <w:vertAlign w:val="superscript"/>
                <w:lang w:val="en-US"/>
              </w:rPr>
              <w:t>21</w:t>
            </w:r>
            <w:r w:rsidR="00DB7E22" w:rsidRPr="00370A32">
              <w:rPr>
                <w:rFonts w:ascii="Arial" w:hAnsi="Arial" w:cs="Arial"/>
                <w:sz w:val="15"/>
                <w:szCs w:val="15"/>
                <w:lang w:val="en-US"/>
              </w:rPr>
              <w:fldChar w:fldCharType="end"/>
            </w:r>
          </w:p>
        </w:tc>
      </w:tr>
      <w:tr w:rsidR="00DB323B" w:rsidRPr="00370A32" w14:paraId="4C27A138" w14:textId="77777777" w:rsidTr="00DB323B">
        <w:tc>
          <w:tcPr>
            <w:tcW w:w="4111" w:type="dxa"/>
            <w:tcBorders>
              <w:bottom w:val="single" w:sz="4" w:space="0" w:color="auto"/>
            </w:tcBorders>
          </w:tcPr>
          <w:p w14:paraId="6D7FBCAA"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Protective period of BXM as PEP in days (</w:t>
            </w:r>
            <m:oMath>
              <m:sSub>
                <m:sSubPr>
                  <m:ctrlPr>
                    <w:rPr>
                      <w:rFonts w:ascii="Cambria Math" w:hAnsi="Cambria Math" w:cs="Arial"/>
                      <w:i/>
                      <w:sz w:val="15"/>
                      <w:szCs w:val="15"/>
                      <w:lang w:val="en-US"/>
                    </w:rPr>
                  </m:ctrlPr>
                </m:sSubPr>
                <m:e>
                  <m:r>
                    <w:rPr>
                      <w:rFonts w:ascii="Cambria Math" w:hAnsi="Cambria Math" w:cs="Arial"/>
                      <w:sz w:val="15"/>
                      <w:szCs w:val="15"/>
                      <w:lang w:val="en-US"/>
                    </w:rPr>
                    <m:t>γ</m:t>
                  </m:r>
                </m:e>
                <m:sub>
                  <m:r>
                    <w:rPr>
                      <w:rFonts w:ascii="Cambria Math" w:hAnsi="Cambria Math" w:cs="Arial"/>
                      <w:sz w:val="15"/>
                      <w:szCs w:val="15"/>
                      <w:lang w:val="en-US"/>
                    </w:rPr>
                    <m:t>PEP</m:t>
                  </m:r>
                </m:sub>
              </m:sSub>
            </m:oMath>
            <w:r w:rsidRPr="00370A32">
              <w:rPr>
                <w:rFonts w:ascii="Arial" w:hAnsi="Arial" w:cs="Arial"/>
                <w:sz w:val="15"/>
                <w:szCs w:val="15"/>
                <w:lang w:val="en-US"/>
              </w:rPr>
              <w:t>)</w:t>
            </w:r>
          </w:p>
        </w:tc>
        <w:tc>
          <w:tcPr>
            <w:tcW w:w="3849" w:type="dxa"/>
            <w:tcBorders>
              <w:bottom w:val="single" w:sz="4" w:space="0" w:color="auto"/>
            </w:tcBorders>
          </w:tcPr>
          <w:p w14:paraId="5875B6C0"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10</w:t>
            </w:r>
          </w:p>
        </w:tc>
        <w:tc>
          <w:tcPr>
            <w:tcW w:w="1050" w:type="dxa"/>
            <w:tcBorders>
              <w:bottom w:val="single" w:sz="4" w:space="0" w:color="auto"/>
            </w:tcBorders>
          </w:tcPr>
          <w:p w14:paraId="36F0BA4B" w14:textId="5FB25525" w:rsidR="00DB7E22" w:rsidRPr="00370A32" w:rsidRDefault="00DB7E22" w:rsidP="00370A32">
            <w:pPr>
              <w:spacing w:line="288" w:lineRule="auto"/>
              <w:rPr>
                <w:rFonts w:ascii="Arial" w:hAnsi="Arial" w:cs="Arial"/>
                <w:sz w:val="15"/>
                <w:szCs w:val="15"/>
              </w:rPr>
            </w:pPr>
          </w:p>
        </w:tc>
      </w:tr>
      <w:tr w:rsidR="00DB7E22" w:rsidRPr="00370A32" w14:paraId="43561EA1" w14:textId="77777777" w:rsidTr="00DB323B">
        <w:tc>
          <w:tcPr>
            <w:tcW w:w="9010" w:type="dxa"/>
            <w:gridSpan w:val="3"/>
            <w:tcBorders>
              <w:top w:val="single" w:sz="4" w:space="0" w:color="auto"/>
              <w:bottom w:val="single" w:sz="4" w:space="0" w:color="auto"/>
            </w:tcBorders>
          </w:tcPr>
          <w:p w14:paraId="2760B03F" w14:textId="77777777" w:rsidR="00DB7E22" w:rsidRPr="00370A32" w:rsidRDefault="00DB7E22" w:rsidP="00370A32">
            <w:pPr>
              <w:spacing w:line="288" w:lineRule="auto"/>
              <w:rPr>
                <w:rFonts w:ascii="Arial" w:hAnsi="Arial" w:cs="Arial"/>
                <w:i/>
                <w:sz w:val="15"/>
                <w:szCs w:val="15"/>
              </w:rPr>
            </w:pPr>
            <w:r w:rsidRPr="00370A32">
              <w:rPr>
                <w:rFonts w:ascii="Arial" w:hAnsi="Arial" w:cs="Arial"/>
                <w:i/>
                <w:sz w:val="15"/>
                <w:szCs w:val="15"/>
              </w:rPr>
              <w:t>Relative susceptibility to infection by age (</w:t>
            </w:r>
            <m:oMath>
              <m:sSub>
                <m:sSubPr>
                  <m:ctrlPr>
                    <w:rPr>
                      <w:rFonts w:ascii="Cambria Math" w:hAnsi="Cambria Math" w:cs="Arial"/>
                      <w:i/>
                      <w:sz w:val="15"/>
                      <w:szCs w:val="15"/>
                      <w:lang w:val="en-US"/>
                    </w:rPr>
                  </m:ctrlPr>
                </m:sSubPr>
                <m:e>
                  <m:r>
                    <w:rPr>
                      <w:rFonts w:ascii="Cambria Math" w:hAnsi="Cambria Math" w:cs="Arial"/>
                      <w:sz w:val="15"/>
                      <w:szCs w:val="15"/>
                      <w:lang w:val="en-US"/>
                    </w:rPr>
                    <m:t>η</m:t>
                  </m:r>
                </m:e>
                <m:sub>
                  <m:r>
                    <w:rPr>
                      <w:rFonts w:ascii="Cambria Math" w:hAnsi="Cambria Math" w:cs="Arial"/>
                      <w:sz w:val="15"/>
                      <w:szCs w:val="15"/>
                      <w:lang w:val="en-US"/>
                    </w:rPr>
                    <m:t>a</m:t>
                  </m:r>
                </m:sub>
              </m:sSub>
            </m:oMath>
            <w:r w:rsidRPr="00370A32">
              <w:rPr>
                <w:rFonts w:ascii="Arial" w:hAnsi="Arial" w:cs="Arial"/>
                <w:i/>
                <w:sz w:val="15"/>
                <w:szCs w:val="15"/>
                <w:lang w:val="en-US"/>
              </w:rPr>
              <w:t>)</w:t>
            </w:r>
          </w:p>
        </w:tc>
      </w:tr>
      <w:tr w:rsidR="00DB323B" w:rsidRPr="00370A32" w14:paraId="39FF9B2D" w14:textId="77777777" w:rsidTr="00DB323B">
        <w:tc>
          <w:tcPr>
            <w:tcW w:w="4111" w:type="dxa"/>
            <w:tcBorders>
              <w:top w:val="single" w:sz="4" w:space="0" w:color="auto"/>
            </w:tcBorders>
          </w:tcPr>
          <w:p w14:paraId="59E1D3BD"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1918 A/H1N1, 0-99 years</w:t>
            </w:r>
          </w:p>
        </w:tc>
        <w:tc>
          <w:tcPr>
            <w:tcW w:w="3849" w:type="dxa"/>
            <w:tcBorders>
              <w:top w:val="single" w:sz="4" w:space="0" w:color="auto"/>
            </w:tcBorders>
          </w:tcPr>
          <w:p w14:paraId="4784DDEA"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1.00</w:t>
            </w:r>
          </w:p>
        </w:tc>
        <w:tc>
          <w:tcPr>
            <w:tcW w:w="1050" w:type="dxa"/>
            <w:tcBorders>
              <w:top w:val="single" w:sz="4" w:space="0" w:color="auto"/>
            </w:tcBorders>
          </w:tcPr>
          <w:p w14:paraId="4F423532"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Assumed</w:t>
            </w:r>
          </w:p>
        </w:tc>
      </w:tr>
      <w:tr w:rsidR="00DB7E22" w:rsidRPr="00370A32" w14:paraId="49680537" w14:textId="77777777" w:rsidTr="00DB323B">
        <w:tc>
          <w:tcPr>
            <w:tcW w:w="4111" w:type="dxa"/>
          </w:tcPr>
          <w:p w14:paraId="1DF0E949"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1968 A/H3N2, 0-99 years</w:t>
            </w:r>
          </w:p>
        </w:tc>
        <w:tc>
          <w:tcPr>
            <w:tcW w:w="3849" w:type="dxa"/>
          </w:tcPr>
          <w:p w14:paraId="3E326A7D"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1.00</w:t>
            </w:r>
          </w:p>
        </w:tc>
        <w:tc>
          <w:tcPr>
            <w:tcW w:w="1050" w:type="dxa"/>
          </w:tcPr>
          <w:p w14:paraId="2F2C1680"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Assumed</w:t>
            </w:r>
          </w:p>
        </w:tc>
      </w:tr>
      <w:tr w:rsidR="00370A32" w:rsidRPr="00370A32" w14:paraId="23C1DE31" w14:textId="77777777" w:rsidTr="00DB323B">
        <w:tc>
          <w:tcPr>
            <w:tcW w:w="4111" w:type="dxa"/>
          </w:tcPr>
          <w:p w14:paraId="369CEB38"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2009 A/H1N1, 0-19 years</w:t>
            </w:r>
          </w:p>
        </w:tc>
        <w:tc>
          <w:tcPr>
            <w:tcW w:w="3849" w:type="dxa"/>
          </w:tcPr>
          <w:p w14:paraId="3CF88DD3"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1.00</w:t>
            </w:r>
          </w:p>
        </w:tc>
        <w:tc>
          <w:tcPr>
            <w:tcW w:w="1050" w:type="dxa"/>
            <w:vMerge w:val="restart"/>
          </w:tcPr>
          <w:p w14:paraId="2665A042" w14:textId="2BDDBF03" w:rsidR="00DB7E22" w:rsidRPr="00370A32" w:rsidRDefault="00370A32" w:rsidP="00370A32">
            <w:pPr>
              <w:spacing w:line="288" w:lineRule="auto"/>
              <w:rPr>
                <w:rFonts w:ascii="Arial" w:hAnsi="Arial" w:cs="Arial"/>
                <w:sz w:val="15"/>
                <w:szCs w:val="15"/>
              </w:rPr>
            </w:pPr>
            <w:r w:rsidRPr="00370A32">
              <w:rPr>
                <w:rFonts w:ascii="Arial" w:hAnsi="Arial" w:cs="Arial"/>
                <w:sz w:val="15"/>
                <w:szCs w:val="15"/>
                <w:lang w:val="en-US"/>
              </w:rPr>
              <w:t>Cauchemez et al., 2009</w:t>
            </w:r>
            <w:r w:rsidR="00DB7E22" w:rsidRPr="00370A32">
              <w:rPr>
                <w:rFonts w:ascii="Arial" w:hAnsi="Arial" w:cs="Arial"/>
                <w:sz w:val="15"/>
                <w:szCs w:val="15"/>
                <w:lang w:val="en-US"/>
              </w:rPr>
              <w:fldChar w:fldCharType="begin"/>
            </w:r>
            <w:r w:rsidR="000B5579">
              <w:rPr>
                <w:rFonts w:ascii="Arial" w:hAnsi="Arial" w:cs="Arial"/>
                <w:sz w:val="15"/>
                <w:szCs w:val="15"/>
                <w:lang w:val="en-US"/>
              </w:rPr>
              <w:instrText xml:space="preserve"> ADDIN ZOTERO_ITEM CSL_CITATION {"citationID":"aydLMoMh","properties":{"formattedCitation":"\\super 17\\nosupersub{}","plainCitation":"17","noteIndex":0},"citationItems":[{"id":104,"uris":["http://zotero.org/users/local/0pdZPGmr/items/S2ALJ8LS","http://zotero.org/users/9596130/items/S2ALJ8LS"],"itemData":{"id":104,"type":"article-journal","container-title":"New England Journal of Medicine","DOI":"10.1056/NEJMoa0905498","issue":"27","journalAbbreviation":"New England Journal of Medicine","note":"publisher: Massachusetts Medical Society","page":"2619-2627","title":"Household Transmission of 2009 Pandemic Influenza A (H1N1) Virus in the United States","volume":"361","author":[{"literal":"Cauchemez Simon"},{"literal":"Donnelly Christl A."},{"literal":"Reed Carrie"},{"literal":"Ghani Azra C."},{"literal":"Fraser Christophe"},{"literal":"Kent Charlotte K."},{"literal":"Finelli Lyn"},{"literal":"Ferguson Neil M."}],"issued":{"date-parts":[["2009"]]}}}],"schema":"https://github.com/citation-style-language/schema/raw/master/csl-citation.json"} </w:instrText>
            </w:r>
            <w:r w:rsidR="00DB7E22" w:rsidRPr="00370A32">
              <w:rPr>
                <w:rFonts w:ascii="Arial" w:hAnsi="Arial" w:cs="Arial"/>
                <w:sz w:val="15"/>
                <w:szCs w:val="15"/>
                <w:lang w:val="en-US"/>
              </w:rPr>
              <w:fldChar w:fldCharType="separate"/>
            </w:r>
            <w:r w:rsidR="000B5579" w:rsidRPr="000B5579">
              <w:rPr>
                <w:rFonts w:ascii="Arial" w:hAnsi="Arial" w:cs="Arial"/>
                <w:sz w:val="15"/>
                <w:vertAlign w:val="superscript"/>
                <w:lang w:val="en-US"/>
              </w:rPr>
              <w:t>17</w:t>
            </w:r>
            <w:r w:rsidR="00DB7E22" w:rsidRPr="00370A32">
              <w:rPr>
                <w:rFonts w:ascii="Arial" w:hAnsi="Arial" w:cs="Arial"/>
                <w:sz w:val="15"/>
                <w:szCs w:val="15"/>
                <w:lang w:val="en-US"/>
              </w:rPr>
              <w:fldChar w:fldCharType="end"/>
            </w:r>
          </w:p>
        </w:tc>
      </w:tr>
      <w:tr w:rsidR="00370A32" w:rsidRPr="00370A32" w14:paraId="2D9DB22C" w14:textId="77777777" w:rsidTr="00DB323B">
        <w:tc>
          <w:tcPr>
            <w:tcW w:w="4111" w:type="dxa"/>
          </w:tcPr>
          <w:p w14:paraId="5F75CBF3"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2009 A/H1N1, 20-64 years</w:t>
            </w:r>
          </w:p>
        </w:tc>
        <w:tc>
          <w:tcPr>
            <w:tcW w:w="3849" w:type="dxa"/>
          </w:tcPr>
          <w:p w14:paraId="451E146D"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0.510</w:t>
            </w:r>
          </w:p>
        </w:tc>
        <w:tc>
          <w:tcPr>
            <w:tcW w:w="1050" w:type="dxa"/>
            <w:vMerge/>
          </w:tcPr>
          <w:p w14:paraId="2E0269B3" w14:textId="77777777" w:rsidR="00DB7E22" w:rsidRPr="00370A32" w:rsidRDefault="00DB7E22" w:rsidP="00370A32">
            <w:pPr>
              <w:spacing w:line="288" w:lineRule="auto"/>
              <w:rPr>
                <w:rFonts w:ascii="Arial" w:hAnsi="Arial" w:cs="Arial"/>
                <w:sz w:val="15"/>
                <w:szCs w:val="15"/>
              </w:rPr>
            </w:pPr>
          </w:p>
        </w:tc>
      </w:tr>
      <w:tr w:rsidR="00370A32" w:rsidRPr="00370A32" w14:paraId="649919DA" w14:textId="77777777" w:rsidTr="00DB323B">
        <w:tc>
          <w:tcPr>
            <w:tcW w:w="4111" w:type="dxa"/>
          </w:tcPr>
          <w:p w14:paraId="15C91A07"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2009 A/H1N1, 65-99 years</w:t>
            </w:r>
          </w:p>
        </w:tc>
        <w:tc>
          <w:tcPr>
            <w:tcW w:w="3849" w:type="dxa"/>
          </w:tcPr>
          <w:p w14:paraId="5EF8426D"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0.087</w:t>
            </w:r>
          </w:p>
        </w:tc>
        <w:tc>
          <w:tcPr>
            <w:tcW w:w="1050" w:type="dxa"/>
            <w:vMerge/>
          </w:tcPr>
          <w:p w14:paraId="75193F2A" w14:textId="77777777" w:rsidR="00DB7E22" w:rsidRPr="00370A32" w:rsidRDefault="00DB7E22" w:rsidP="00370A32">
            <w:pPr>
              <w:spacing w:line="288" w:lineRule="auto"/>
              <w:rPr>
                <w:rFonts w:ascii="Arial" w:hAnsi="Arial" w:cs="Arial"/>
                <w:sz w:val="15"/>
                <w:szCs w:val="15"/>
              </w:rPr>
            </w:pPr>
          </w:p>
        </w:tc>
      </w:tr>
      <w:tr w:rsidR="00DB7E22" w:rsidRPr="00370A32" w14:paraId="5E0D5CA2" w14:textId="77777777" w:rsidTr="00DB323B">
        <w:tc>
          <w:tcPr>
            <w:tcW w:w="4111" w:type="dxa"/>
          </w:tcPr>
          <w:p w14:paraId="6081BA1A"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COVID-19, 0-14 years</w:t>
            </w:r>
          </w:p>
        </w:tc>
        <w:tc>
          <w:tcPr>
            <w:tcW w:w="3849" w:type="dxa"/>
          </w:tcPr>
          <w:p w14:paraId="6BCD6596"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0.231</w:t>
            </w:r>
          </w:p>
        </w:tc>
        <w:tc>
          <w:tcPr>
            <w:tcW w:w="1050" w:type="dxa"/>
            <w:vMerge w:val="restart"/>
          </w:tcPr>
          <w:p w14:paraId="41BF2C25" w14:textId="70D0913A" w:rsidR="00DB7E22" w:rsidRPr="00370A32" w:rsidRDefault="00370A32" w:rsidP="00370A32">
            <w:pPr>
              <w:spacing w:line="288" w:lineRule="auto"/>
              <w:rPr>
                <w:rFonts w:ascii="Arial" w:hAnsi="Arial" w:cs="Arial"/>
                <w:sz w:val="15"/>
                <w:szCs w:val="15"/>
              </w:rPr>
            </w:pPr>
            <w:r w:rsidRPr="00370A32">
              <w:rPr>
                <w:rFonts w:ascii="Arial" w:hAnsi="Arial" w:cs="Arial"/>
                <w:sz w:val="15"/>
                <w:szCs w:val="15"/>
                <w:lang w:val="en-US"/>
              </w:rPr>
              <w:t>Zhang et al., 2020</w:t>
            </w:r>
            <w:r w:rsidR="00DB7E22" w:rsidRPr="00370A32">
              <w:rPr>
                <w:rFonts w:ascii="Arial" w:hAnsi="Arial" w:cs="Arial"/>
                <w:sz w:val="15"/>
                <w:szCs w:val="15"/>
                <w:lang w:val="en-US"/>
              </w:rPr>
              <w:fldChar w:fldCharType="begin"/>
            </w:r>
            <w:r w:rsidR="000B5579">
              <w:rPr>
                <w:rFonts w:ascii="Arial" w:hAnsi="Arial" w:cs="Arial"/>
                <w:sz w:val="15"/>
                <w:szCs w:val="15"/>
                <w:lang w:val="en-US"/>
              </w:rPr>
              <w:instrText xml:space="preserve"> ADDIN ZOTERO_ITEM CSL_CITATION {"citationID":"8uvzmj00","properties":{"formattedCitation":"\\super 18\\nosupersub{}","plainCitation":"18","noteIndex":0},"citationItems":[{"id":106,"uris":["http://zotero.org/users/local/0pdZPGmr/items/TC6DZ35V","http://zotero.org/users/9596130/items/TC6DZ35V"],"itemData":{"id":106,"type":"article-journal","abstract":"The coronavirus 2019 (COVID-19) pandemic has brought tighter restrictions on the daily lives of millions of people, but we do not yet understand what measures are the most effective. Zhang et al. modeled virus transmission in Wuhan, China, in February 2020, investigating the effects of interventions ranging from patient management to social isolation. Age-mixing patterns were estimated by contact surveys conducted in Wuhan and Shanghai at the beginning of February 2020. Once people reduced their average daily contacts from 14 to 20 down to 2, transmission rapidly fell below the epidemic threshold. The model also showed that preemptive school closures helped to reduce transmission, although alone they would not prevent a COVID-19 outbreak. Limiting human mixing to within households appeared to be the most effective measure. Science, this issue p. 1481 Reducing social contacts on the scale achieved in Wuhan and Shanghai in early 2020 could be sufficient to bring a COVID-19 outbreak under control. Intense nonpharmaceutical interventions were put in place in China to stop transmission of the novel coronavirus disease 2019 (COVID-19). As transmission intensifies in other countries, the interplay between age, contact patterns, social distancing, susceptibility to infection, and COVID-19 dynamics remains unclear. To answer these questions, we analyze contact survey data for Wuhan and Shanghai before and during the outbreak and contact-tracing information from Hunan province. Daily contacts were reduced seven- to eightfold during the COVID-19 social distancing period, with most interactions restricted to the household. We find that children 0 to 14 years of age are less susceptible to severe acute respiratory syndrome coronavirus 2 (SARS-CoV-2) infection than adults 15 to 64 years of age (odds ratio 0.34, 95% confidence interval 0.24 to 0.49), whereas individuals more than 65 years of age are more susceptible to infection (odds ratio 1.47, 95% confidence interval 1.12 to 1.92). Based on these data, we built a transmission model to study the impact of social distancing and school closure on transmission. We find that social distancing alone, as implemented in China during the outbreak, is sufficient to control COVID-19. Although proactive school closures cannot interrupt transmission on their own, they can reduce peak incidence by 40 to 60% and delay the epidemic.","container-title":"Science","DOI":"10.1126/science.abb8001","issue":"6498","journalAbbreviation":"Science","note":"publisher: American Association for the Advancement of Science","page":"1481-1486","title":"Changes in contact patterns shape the dynamics of the COVID-19 outbreak in China","volume":"368","author":[{"family":"Zhang","given":"Juanjuan"},{"family":"Litvinova","given":"Maria"},{"family":"Liang","given":"Yuxia"},{"family":"Wang","given":"Yan"},{"family":"Wang","given":"Wei"},{"family":"Zhao","given":"Shanlu"},{"family":"Wu","given":"Qianhui"},{"family":"Merler","given":"Stefano"},{"family":"Viboud","given":"Cécile"},{"family":"Vespignani","given":"Alessandro"},{"family":"Ajelli","given":"Marco"},{"family":"Yu","given":"Hongjie"}],"issued":{"date-parts":[["2020",6,26]]}}}],"schema":"https://github.com/citation-style-language/schema/raw/master/csl-citation.json"} </w:instrText>
            </w:r>
            <w:r w:rsidR="00DB7E22" w:rsidRPr="00370A32">
              <w:rPr>
                <w:rFonts w:ascii="Arial" w:hAnsi="Arial" w:cs="Arial"/>
                <w:sz w:val="15"/>
                <w:szCs w:val="15"/>
                <w:lang w:val="en-US"/>
              </w:rPr>
              <w:fldChar w:fldCharType="separate"/>
            </w:r>
            <w:r w:rsidR="000B5579" w:rsidRPr="000B5579">
              <w:rPr>
                <w:rFonts w:ascii="Arial" w:hAnsi="Arial" w:cs="Arial"/>
                <w:sz w:val="15"/>
                <w:vertAlign w:val="superscript"/>
                <w:lang w:val="en-US"/>
              </w:rPr>
              <w:t>18</w:t>
            </w:r>
            <w:r w:rsidR="00DB7E22" w:rsidRPr="00370A32">
              <w:rPr>
                <w:rFonts w:ascii="Arial" w:hAnsi="Arial" w:cs="Arial"/>
                <w:sz w:val="15"/>
                <w:szCs w:val="15"/>
                <w:lang w:val="en-US"/>
              </w:rPr>
              <w:fldChar w:fldCharType="end"/>
            </w:r>
          </w:p>
        </w:tc>
      </w:tr>
      <w:tr w:rsidR="00DB7E22" w:rsidRPr="00370A32" w14:paraId="3D70899A" w14:textId="77777777" w:rsidTr="00DB323B">
        <w:tc>
          <w:tcPr>
            <w:tcW w:w="4111" w:type="dxa"/>
          </w:tcPr>
          <w:p w14:paraId="41A7A0D9"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COVID-19, 15-64 years</w:t>
            </w:r>
          </w:p>
        </w:tc>
        <w:tc>
          <w:tcPr>
            <w:tcW w:w="3849" w:type="dxa"/>
          </w:tcPr>
          <w:p w14:paraId="56D2712F"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0.680</w:t>
            </w:r>
          </w:p>
        </w:tc>
        <w:tc>
          <w:tcPr>
            <w:tcW w:w="1050" w:type="dxa"/>
            <w:vMerge/>
          </w:tcPr>
          <w:p w14:paraId="624CF56F" w14:textId="77777777" w:rsidR="00DB7E22" w:rsidRPr="00370A32" w:rsidRDefault="00DB7E22" w:rsidP="00370A32">
            <w:pPr>
              <w:spacing w:line="288" w:lineRule="auto"/>
              <w:rPr>
                <w:rFonts w:ascii="Arial" w:hAnsi="Arial" w:cs="Arial"/>
                <w:sz w:val="15"/>
                <w:szCs w:val="15"/>
              </w:rPr>
            </w:pPr>
          </w:p>
        </w:tc>
      </w:tr>
      <w:tr w:rsidR="00370A32" w:rsidRPr="00370A32" w14:paraId="02120B3F" w14:textId="77777777" w:rsidTr="00DB323B">
        <w:tc>
          <w:tcPr>
            <w:tcW w:w="4111" w:type="dxa"/>
            <w:tcBorders>
              <w:bottom w:val="single" w:sz="4" w:space="0" w:color="auto"/>
            </w:tcBorders>
          </w:tcPr>
          <w:p w14:paraId="215BB077"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COVID-19, 65-99 years</w:t>
            </w:r>
          </w:p>
        </w:tc>
        <w:tc>
          <w:tcPr>
            <w:tcW w:w="3849" w:type="dxa"/>
            <w:tcBorders>
              <w:bottom w:val="single" w:sz="4" w:space="0" w:color="auto"/>
            </w:tcBorders>
          </w:tcPr>
          <w:p w14:paraId="558D7EB3"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1.00</w:t>
            </w:r>
          </w:p>
        </w:tc>
        <w:tc>
          <w:tcPr>
            <w:tcW w:w="1050" w:type="dxa"/>
            <w:vMerge/>
            <w:tcBorders>
              <w:bottom w:val="single" w:sz="4" w:space="0" w:color="auto"/>
            </w:tcBorders>
          </w:tcPr>
          <w:p w14:paraId="30427F15" w14:textId="77777777" w:rsidR="00DB7E22" w:rsidRPr="00370A32" w:rsidRDefault="00DB7E22" w:rsidP="00370A32">
            <w:pPr>
              <w:spacing w:line="288" w:lineRule="auto"/>
              <w:rPr>
                <w:rFonts w:ascii="Arial" w:hAnsi="Arial" w:cs="Arial"/>
                <w:sz w:val="15"/>
                <w:szCs w:val="15"/>
              </w:rPr>
            </w:pPr>
          </w:p>
        </w:tc>
      </w:tr>
      <w:tr w:rsidR="00DB7E22" w:rsidRPr="00370A32" w14:paraId="5FC7FAFD" w14:textId="77777777" w:rsidTr="00DB323B">
        <w:tc>
          <w:tcPr>
            <w:tcW w:w="9010" w:type="dxa"/>
            <w:gridSpan w:val="3"/>
            <w:tcBorders>
              <w:top w:val="single" w:sz="4" w:space="0" w:color="auto"/>
              <w:bottom w:val="single" w:sz="4" w:space="0" w:color="auto"/>
            </w:tcBorders>
          </w:tcPr>
          <w:p w14:paraId="09460F5C" w14:textId="15407987" w:rsidR="00DB7E22" w:rsidRPr="00370A32" w:rsidRDefault="00DB7E22" w:rsidP="00370A32">
            <w:pPr>
              <w:spacing w:line="288" w:lineRule="auto"/>
              <w:rPr>
                <w:rFonts w:ascii="Arial" w:hAnsi="Arial" w:cs="Arial"/>
                <w:i/>
                <w:sz w:val="15"/>
                <w:szCs w:val="15"/>
              </w:rPr>
            </w:pPr>
            <w:r w:rsidRPr="00370A32">
              <w:rPr>
                <w:rFonts w:ascii="Arial" w:hAnsi="Arial" w:cs="Arial"/>
                <w:i/>
                <w:sz w:val="15"/>
                <w:szCs w:val="15"/>
              </w:rPr>
              <w:t>Case fatality rate by age (</w:t>
            </w:r>
            <m:oMath>
              <m:sSubSup>
                <m:sSubSupPr>
                  <m:ctrlPr>
                    <w:rPr>
                      <w:rFonts w:ascii="Cambria Math" w:eastAsiaTheme="minorHAnsi" w:hAnsi="Cambria Math" w:cs="Arial"/>
                      <w:i/>
                      <w:sz w:val="15"/>
                      <w:szCs w:val="15"/>
                      <w:lang w:val="en-SG" w:eastAsia="en-US"/>
                    </w:rPr>
                  </m:ctrlPr>
                </m:sSubSupPr>
                <m:e>
                  <m:r>
                    <w:rPr>
                      <w:rFonts w:ascii="Cambria Math" w:hAnsi="Cambria Math" w:cs="Arial"/>
                      <w:sz w:val="15"/>
                      <w:szCs w:val="15"/>
                    </w:rPr>
                    <m:t>p</m:t>
                  </m:r>
                </m:e>
                <m:sub>
                  <m:r>
                    <w:rPr>
                      <w:rFonts w:ascii="Cambria Math" w:hAnsi="Cambria Math" w:cs="Arial"/>
                      <w:sz w:val="15"/>
                      <w:szCs w:val="15"/>
                    </w:rPr>
                    <m:t>α</m:t>
                  </m:r>
                </m:sub>
                <m:sup>
                  <m:r>
                    <w:rPr>
                      <w:rFonts w:ascii="Cambria Math" w:hAnsi="Cambria Math" w:cs="Arial"/>
                      <w:sz w:val="15"/>
                      <w:szCs w:val="15"/>
                    </w:rPr>
                    <m:t>dea</m:t>
                  </m:r>
                </m:sup>
              </m:sSubSup>
            </m:oMath>
            <w:r w:rsidRPr="00370A32">
              <w:rPr>
                <w:rFonts w:ascii="Arial" w:hAnsi="Arial" w:cs="Arial"/>
                <w:i/>
                <w:sz w:val="15"/>
                <w:szCs w:val="15"/>
              </w:rPr>
              <w:t>)</w:t>
            </w:r>
          </w:p>
        </w:tc>
      </w:tr>
      <w:tr w:rsidR="00370A32" w:rsidRPr="00370A32" w14:paraId="1391729A" w14:textId="77777777" w:rsidTr="00DB323B">
        <w:tc>
          <w:tcPr>
            <w:tcW w:w="4111" w:type="dxa"/>
            <w:tcBorders>
              <w:top w:val="single" w:sz="4" w:space="0" w:color="auto"/>
            </w:tcBorders>
          </w:tcPr>
          <w:p w14:paraId="15F4A015"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1918 A/H1N1, 0-4 years</w:t>
            </w:r>
          </w:p>
        </w:tc>
        <w:tc>
          <w:tcPr>
            <w:tcW w:w="3849" w:type="dxa"/>
            <w:tcBorders>
              <w:top w:val="single" w:sz="4" w:space="0" w:color="auto"/>
            </w:tcBorders>
            <w:vAlign w:val="bottom"/>
          </w:tcPr>
          <w:p w14:paraId="64AE0A90" w14:textId="77777777" w:rsidR="00DB7E22" w:rsidRPr="00370A32" w:rsidRDefault="00DB7E22" w:rsidP="00370A32">
            <w:pPr>
              <w:spacing w:line="288" w:lineRule="auto"/>
              <w:rPr>
                <w:rFonts w:ascii="Arial" w:hAnsi="Arial" w:cs="Arial"/>
                <w:sz w:val="15"/>
                <w:szCs w:val="15"/>
              </w:rPr>
            </w:pPr>
            <w:r w:rsidRPr="00370A32">
              <w:rPr>
                <w:rFonts w:ascii="Arial" w:hAnsi="Arial" w:cs="Arial"/>
                <w:color w:val="000000"/>
                <w:sz w:val="15"/>
                <w:szCs w:val="15"/>
              </w:rPr>
              <w:t>0.01867</w:t>
            </w:r>
          </w:p>
        </w:tc>
        <w:tc>
          <w:tcPr>
            <w:tcW w:w="1050" w:type="dxa"/>
            <w:vMerge w:val="restart"/>
            <w:tcBorders>
              <w:top w:val="single" w:sz="4" w:space="0" w:color="auto"/>
            </w:tcBorders>
          </w:tcPr>
          <w:p w14:paraId="03D8145A" w14:textId="39F09AC4"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 xml:space="preserve">By fitting W-shape mortality curve reported in </w:t>
            </w:r>
            <w:r w:rsidRPr="00370A32">
              <w:rPr>
                <w:rFonts w:ascii="Arial" w:hAnsi="Arial" w:cs="Arial"/>
                <w:sz w:val="15"/>
                <w:szCs w:val="15"/>
                <w:lang w:val="en-US"/>
              </w:rPr>
              <w:fldChar w:fldCharType="begin"/>
            </w:r>
            <w:r w:rsidR="000B5579">
              <w:rPr>
                <w:rFonts w:ascii="Arial" w:hAnsi="Arial" w:cs="Arial"/>
                <w:sz w:val="15"/>
                <w:szCs w:val="15"/>
                <w:lang w:val="en-US"/>
              </w:rPr>
              <w:instrText xml:space="preserve"> ADDIN ZOTERO_ITEM CSL_CITATION {"citationID":"a2no0huc2p8","properties":{"formattedCitation":"\\super 29,30\\nosupersub{}","plainCitation":"29,30","noteIndex":0},"citationItems":[{"id":189,"uris":["http://zotero.org/users/local/0pdZPGmr/items/B4YIBH2K","http://zotero.org/users/9596130/items/B4YIBH2K"],"itemData":{"id":189,"type":"article-journal","abstract":"The original purpose of our study was to examine the unusual W-shaped mortality curve associated with the 1918 influenza pandemic and possibly explain the peak in mortality among individuals aged 20–40 years. We plotted age-specific excess mortality instead of total mortality for the 1918 pandemic using a 5-year baseline. For comparison, we also graphed excess mortality curves for the 1957 and 1968 pandemics using 5-year baselines. The 1957 and 1968 curves exhibited the usual U-shaped curve, with high excess mortality among infants and the elderly population relative to young adults. The 1918 curve, however, presented unexpected results. A peak in excess mortality among infants and young adults was seen, but the expected W shape did not result. We instead found negative excess mortality among elderly individuals, suggesting that this group was exposed, at an earlier date, to an influenza strain similar to the so-called Spanish influenza (H1N1) strain.","container-title":"Clinical Infectious Diseases","DOI":"10.1086/322662","ISSN":"1058-4838","issue":"8","journalAbbreviation":"Clinical Infectious Diseases","page":"1375-1378","title":"Observations on Mortality during the 1918 Influenza Pandemic","volume":"33","author":[{"family":"Luk","given":"Jeffrey"},{"family":"Gross","given":"Peter"},{"family":"Thompson","given":"William W."}],"issued":{"date-parts":[["2001",10,15]]}}},{"id":192,"uris":["http://zotero.org/users/local/0pdZPGmr/items/89XR3V2F","http://zotero.org/users/9596130/items/89XR3V2F"],"itemData":{"id":192,"type":"article-journal","abstract":"The \"Spanish\" influenza pandemic of 1918–1919, which caused ≈50 million deaths worldwide, remains an ominous warning to public health. Many questions about its origins, its unusual epidemiologic features, and the basis of its pathogenicity remain unanswered. The public health implications of the pandemic therefore remain in doubt even as we now grapple with the feared emergence of a pandemic caused by H5N1 or other virus. However, new information about the 1918 virus is emerging, for example, sequencing of the entire genome from archival autopsy tissues. But, the viral genome alone is unlikely to provide answers to some critical questions. Understanding the 1918 pandemic and its implications for future pandemics requires careful experimentation and in-depth historical analysis.","container-title":"Emerging Infectious Disease journal","DOI":"10.3201/eid1201.050979","ISSN":"1080-6059","issue":"1","page":"15","title":"1918 Influenza: the Mother of All Pandemics","volume":"12","author":[{"family":"Taubenberger","given":"Jeffery"},{"family":"Morens","given":"David"}],"issued":{"date-parts":[["2006"]]}}}],"schema":"https://github.com/citation-style-language/schema/raw/master/csl-citation.json"} </w:instrText>
            </w:r>
            <w:r w:rsidRPr="00370A32">
              <w:rPr>
                <w:rFonts w:ascii="Arial" w:hAnsi="Arial" w:cs="Arial"/>
                <w:sz w:val="15"/>
                <w:szCs w:val="15"/>
                <w:lang w:val="en-US"/>
              </w:rPr>
              <w:fldChar w:fldCharType="separate"/>
            </w:r>
            <w:r w:rsidR="000B5579" w:rsidRPr="000B5579">
              <w:rPr>
                <w:rFonts w:ascii="Arial" w:hAnsi="Arial" w:cs="Arial"/>
                <w:sz w:val="15"/>
                <w:vertAlign w:val="superscript"/>
                <w:lang w:val="en-US"/>
              </w:rPr>
              <w:t>29,30</w:t>
            </w:r>
            <w:r w:rsidRPr="00370A32">
              <w:rPr>
                <w:rFonts w:ascii="Arial" w:hAnsi="Arial" w:cs="Arial"/>
                <w:sz w:val="15"/>
                <w:szCs w:val="15"/>
                <w:lang w:val="en-US"/>
              </w:rPr>
              <w:fldChar w:fldCharType="end"/>
            </w:r>
          </w:p>
        </w:tc>
      </w:tr>
      <w:tr w:rsidR="00DB7E22" w:rsidRPr="00370A32" w14:paraId="50202FDF" w14:textId="77777777" w:rsidTr="00DB323B">
        <w:tc>
          <w:tcPr>
            <w:tcW w:w="4111" w:type="dxa"/>
          </w:tcPr>
          <w:p w14:paraId="4DE6305F"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1918 A/H1N1, 5-14 years</w:t>
            </w:r>
          </w:p>
        </w:tc>
        <w:tc>
          <w:tcPr>
            <w:tcW w:w="3849" w:type="dxa"/>
            <w:vAlign w:val="bottom"/>
          </w:tcPr>
          <w:p w14:paraId="12DA8FB8" w14:textId="77777777" w:rsidR="00DB7E22" w:rsidRPr="00370A32" w:rsidRDefault="00DB7E22" w:rsidP="00370A32">
            <w:pPr>
              <w:spacing w:line="288" w:lineRule="auto"/>
              <w:rPr>
                <w:rFonts w:ascii="Arial" w:hAnsi="Arial" w:cs="Arial"/>
                <w:sz w:val="15"/>
                <w:szCs w:val="15"/>
              </w:rPr>
            </w:pPr>
            <w:r w:rsidRPr="00370A32">
              <w:rPr>
                <w:rFonts w:ascii="Arial" w:hAnsi="Arial" w:cs="Arial"/>
                <w:color w:val="000000"/>
                <w:sz w:val="15"/>
                <w:szCs w:val="15"/>
              </w:rPr>
              <w:t>0.00201</w:t>
            </w:r>
          </w:p>
        </w:tc>
        <w:tc>
          <w:tcPr>
            <w:tcW w:w="1050" w:type="dxa"/>
            <w:vMerge/>
          </w:tcPr>
          <w:p w14:paraId="65C84C33" w14:textId="77777777" w:rsidR="00DB7E22" w:rsidRPr="00370A32" w:rsidRDefault="00DB7E22" w:rsidP="00370A32">
            <w:pPr>
              <w:spacing w:line="288" w:lineRule="auto"/>
              <w:rPr>
                <w:rFonts w:ascii="Arial" w:hAnsi="Arial" w:cs="Arial"/>
                <w:sz w:val="15"/>
                <w:szCs w:val="15"/>
              </w:rPr>
            </w:pPr>
          </w:p>
        </w:tc>
      </w:tr>
      <w:tr w:rsidR="00DB7E22" w:rsidRPr="00370A32" w14:paraId="2E371A58" w14:textId="77777777" w:rsidTr="00DB323B">
        <w:tc>
          <w:tcPr>
            <w:tcW w:w="4111" w:type="dxa"/>
          </w:tcPr>
          <w:p w14:paraId="7DD954B3"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1918 A/H1N1, 15-24 years</w:t>
            </w:r>
          </w:p>
        </w:tc>
        <w:tc>
          <w:tcPr>
            <w:tcW w:w="3849" w:type="dxa"/>
            <w:vAlign w:val="bottom"/>
          </w:tcPr>
          <w:p w14:paraId="15935D4D" w14:textId="77777777" w:rsidR="00DB7E22" w:rsidRPr="00370A32" w:rsidRDefault="00DB7E22" w:rsidP="00370A32">
            <w:pPr>
              <w:spacing w:line="288" w:lineRule="auto"/>
              <w:rPr>
                <w:rFonts w:ascii="Arial" w:hAnsi="Arial" w:cs="Arial"/>
                <w:sz w:val="15"/>
                <w:szCs w:val="15"/>
              </w:rPr>
            </w:pPr>
            <w:r w:rsidRPr="00370A32">
              <w:rPr>
                <w:rFonts w:ascii="Arial" w:hAnsi="Arial" w:cs="Arial"/>
                <w:color w:val="000000"/>
                <w:sz w:val="15"/>
                <w:szCs w:val="15"/>
              </w:rPr>
              <w:t>0.00719</w:t>
            </w:r>
          </w:p>
        </w:tc>
        <w:tc>
          <w:tcPr>
            <w:tcW w:w="1050" w:type="dxa"/>
            <w:vMerge/>
          </w:tcPr>
          <w:p w14:paraId="516F19A1" w14:textId="77777777" w:rsidR="00DB7E22" w:rsidRPr="00370A32" w:rsidRDefault="00DB7E22" w:rsidP="00370A32">
            <w:pPr>
              <w:spacing w:line="288" w:lineRule="auto"/>
              <w:rPr>
                <w:rFonts w:ascii="Arial" w:hAnsi="Arial" w:cs="Arial"/>
                <w:sz w:val="15"/>
                <w:szCs w:val="15"/>
              </w:rPr>
            </w:pPr>
          </w:p>
        </w:tc>
      </w:tr>
      <w:tr w:rsidR="00DB7E22" w:rsidRPr="00370A32" w14:paraId="454E4985" w14:textId="77777777" w:rsidTr="00DB323B">
        <w:tc>
          <w:tcPr>
            <w:tcW w:w="4111" w:type="dxa"/>
          </w:tcPr>
          <w:p w14:paraId="12FA682E"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1918 A/H1N1, 25-34 years</w:t>
            </w:r>
          </w:p>
        </w:tc>
        <w:tc>
          <w:tcPr>
            <w:tcW w:w="3849" w:type="dxa"/>
            <w:vAlign w:val="bottom"/>
          </w:tcPr>
          <w:p w14:paraId="2B7B67C2" w14:textId="77777777" w:rsidR="00DB7E22" w:rsidRPr="00370A32" w:rsidRDefault="00DB7E22" w:rsidP="00370A32">
            <w:pPr>
              <w:spacing w:line="288" w:lineRule="auto"/>
              <w:rPr>
                <w:rFonts w:ascii="Arial" w:hAnsi="Arial" w:cs="Arial"/>
                <w:sz w:val="15"/>
                <w:szCs w:val="15"/>
              </w:rPr>
            </w:pPr>
            <w:r w:rsidRPr="00370A32">
              <w:rPr>
                <w:rFonts w:ascii="Arial" w:hAnsi="Arial" w:cs="Arial"/>
                <w:color w:val="000000"/>
                <w:sz w:val="15"/>
                <w:szCs w:val="15"/>
              </w:rPr>
              <w:t>0.01327</w:t>
            </w:r>
          </w:p>
        </w:tc>
        <w:tc>
          <w:tcPr>
            <w:tcW w:w="1050" w:type="dxa"/>
            <w:vMerge/>
          </w:tcPr>
          <w:p w14:paraId="3848360C" w14:textId="77777777" w:rsidR="00DB7E22" w:rsidRPr="00370A32" w:rsidRDefault="00DB7E22" w:rsidP="00370A32">
            <w:pPr>
              <w:spacing w:line="288" w:lineRule="auto"/>
              <w:rPr>
                <w:rFonts w:ascii="Arial" w:hAnsi="Arial" w:cs="Arial"/>
                <w:sz w:val="15"/>
                <w:szCs w:val="15"/>
              </w:rPr>
            </w:pPr>
          </w:p>
        </w:tc>
      </w:tr>
      <w:tr w:rsidR="00DB7E22" w:rsidRPr="00370A32" w14:paraId="71263C9B" w14:textId="77777777" w:rsidTr="00DB323B">
        <w:tc>
          <w:tcPr>
            <w:tcW w:w="4111" w:type="dxa"/>
          </w:tcPr>
          <w:p w14:paraId="67674104"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1918 A/H1N1, 35-44 years</w:t>
            </w:r>
          </w:p>
        </w:tc>
        <w:tc>
          <w:tcPr>
            <w:tcW w:w="3849" w:type="dxa"/>
            <w:vAlign w:val="bottom"/>
          </w:tcPr>
          <w:p w14:paraId="7F361E26" w14:textId="77777777" w:rsidR="00DB7E22" w:rsidRPr="00370A32" w:rsidRDefault="00DB7E22" w:rsidP="00370A32">
            <w:pPr>
              <w:spacing w:line="288" w:lineRule="auto"/>
              <w:rPr>
                <w:rFonts w:ascii="Arial" w:hAnsi="Arial" w:cs="Arial"/>
                <w:sz w:val="15"/>
                <w:szCs w:val="15"/>
              </w:rPr>
            </w:pPr>
            <w:r w:rsidRPr="00370A32">
              <w:rPr>
                <w:rFonts w:ascii="Arial" w:hAnsi="Arial" w:cs="Arial"/>
                <w:color w:val="000000"/>
                <w:sz w:val="15"/>
                <w:szCs w:val="15"/>
              </w:rPr>
              <w:t>0.00716</w:t>
            </w:r>
          </w:p>
        </w:tc>
        <w:tc>
          <w:tcPr>
            <w:tcW w:w="1050" w:type="dxa"/>
            <w:vMerge/>
          </w:tcPr>
          <w:p w14:paraId="5A2FA6FE" w14:textId="77777777" w:rsidR="00DB7E22" w:rsidRPr="00370A32" w:rsidRDefault="00DB7E22" w:rsidP="00370A32">
            <w:pPr>
              <w:spacing w:line="288" w:lineRule="auto"/>
              <w:rPr>
                <w:rFonts w:ascii="Arial" w:hAnsi="Arial" w:cs="Arial"/>
                <w:sz w:val="15"/>
                <w:szCs w:val="15"/>
              </w:rPr>
            </w:pPr>
          </w:p>
        </w:tc>
      </w:tr>
      <w:tr w:rsidR="00DB7E22" w:rsidRPr="00370A32" w14:paraId="157B174C" w14:textId="77777777" w:rsidTr="00DB323B">
        <w:tc>
          <w:tcPr>
            <w:tcW w:w="4111" w:type="dxa"/>
          </w:tcPr>
          <w:p w14:paraId="62EFFA72"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1918 A/H1N1, 45-54 years</w:t>
            </w:r>
          </w:p>
        </w:tc>
        <w:tc>
          <w:tcPr>
            <w:tcW w:w="3849" w:type="dxa"/>
            <w:vAlign w:val="bottom"/>
          </w:tcPr>
          <w:p w14:paraId="2B67D63C" w14:textId="77777777" w:rsidR="00DB7E22" w:rsidRPr="00370A32" w:rsidRDefault="00DB7E22" w:rsidP="00370A32">
            <w:pPr>
              <w:spacing w:line="288" w:lineRule="auto"/>
              <w:rPr>
                <w:rFonts w:ascii="Arial" w:hAnsi="Arial" w:cs="Arial"/>
                <w:sz w:val="15"/>
                <w:szCs w:val="15"/>
              </w:rPr>
            </w:pPr>
            <w:r w:rsidRPr="00370A32">
              <w:rPr>
                <w:rFonts w:ascii="Arial" w:hAnsi="Arial" w:cs="Arial"/>
                <w:color w:val="000000"/>
                <w:sz w:val="15"/>
                <w:szCs w:val="15"/>
              </w:rPr>
              <w:t>0.00512</w:t>
            </w:r>
          </w:p>
        </w:tc>
        <w:tc>
          <w:tcPr>
            <w:tcW w:w="1050" w:type="dxa"/>
            <w:vMerge/>
          </w:tcPr>
          <w:p w14:paraId="49928813" w14:textId="77777777" w:rsidR="00DB7E22" w:rsidRPr="00370A32" w:rsidRDefault="00DB7E22" w:rsidP="00370A32">
            <w:pPr>
              <w:spacing w:line="288" w:lineRule="auto"/>
              <w:rPr>
                <w:rFonts w:ascii="Arial" w:hAnsi="Arial" w:cs="Arial"/>
                <w:sz w:val="15"/>
                <w:szCs w:val="15"/>
              </w:rPr>
            </w:pPr>
          </w:p>
        </w:tc>
      </w:tr>
      <w:tr w:rsidR="00DB7E22" w:rsidRPr="00370A32" w14:paraId="0770E2FF" w14:textId="77777777" w:rsidTr="00DB323B">
        <w:tc>
          <w:tcPr>
            <w:tcW w:w="4111" w:type="dxa"/>
          </w:tcPr>
          <w:p w14:paraId="2E3982A5"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1918 A/H1N1, 55-64 years</w:t>
            </w:r>
          </w:p>
        </w:tc>
        <w:tc>
          <w:tcPr>
            <w:tcW w:w="3849" w:type="dxa"/>
            <w:vAlign w:val="bottom"/>
          </w:tcPr>
          <w:p w14:paraId="6F55CB15" w14:textId="77777777" w:rsidR="00DB7E22" w:rsidRPr="00370A32" w:rsidRDefault="00DB7E22" w:rsidP="00370A32">
            <w:pPr>
              <w:spacing w:line="288" w:lineRule="auto"/>
              <w:rPr>
                <w:rFonts w:ascii="Arial" w:hAnsi="Arial" w:cs="Arial"/>
                <w:sz w:val="15"/>
                <w:szCs w:val="15"/>
              </w:rPr>
            </w:pPr>
            <w:r w:rsidRPr="00370A32">
              <w:rPr>
                <w:rFonts w:ascii="Arial" w:hAnsi="Arial" w:cs="Arial"/>
                <w:color w:val="000000"/>
                <w:sz w:val="15"/>
                <w:szCs w:val="15"/>
              </w:rPr>
              <w:t>0.00943</w:t>
            </w:r>
          </w:p>
        </w:tc>
        <w:tc>
          <w:tcPr>
            <w:tcW w:w="1050" w:type="dxa"/>
            <w:vMerge/>
          </w:tcPr>
          <w:p w14:paraId="495CC7FC" w14:textId="77777777" w:rsidR="00DB7E22" w:rsidRPr="00370A32" w:rsidRDefault="00DB7E22" w:rsidP="00370A32">
            <w:pPr>
              <w:spacing w:line="288" w:lineRule="auto"/>
              <w:rPr>
                <w:rFonts w:ascii="Arial" w:hAnsi="Arial" w:cs="Arial"/>
                <w:sz w:val="15"/>
                <w:szCs w:val="15"/>
              </w:rPr>
            </w:pPr>
          </w:p>
        </w:tc>
      </w:tr>
      <w:tr w:rsidR="00DB7E22" w:rsidRPr="00370A32" w14:paraId="49A549F4" w14:textId="77777777" w:rsidTr="00DB323B">
        <w:tc>
          <w:tcPr>
            <w:tcW w:w="4111" w:type="dxa"/>
          </w:tcPr>
          <w:p w14:paraId="10C0F8F4"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1918 A/H1N1, 65-74 years</w:t>
            </w:r>
          </w:p>
        </w:tc>
        <w:tc>
          <w:tcPr>
            <w:tcW w:w="3849" w:type="dxa"/>
            <w:vAlign w:val="bottom"/>
          </w:tcPr>
          <w:p w14:paraId="561B517A" w14:textId="77777777" w:rsidR="00DB7E22" w:rsidRPr="00370A32" w:rsidRDefault="00DB7E22" w:rsidP="00370A32">
            <w:pPr>
              <w:spacing w:line="288" w:lineRule="auto"/>
              <w:rPr>
                <w:rFonts w:ascii="Arial" w:hAnsi="Arial" w:cs="Arial"/>
                <w:sz w:val="15"/>
                <w:szCs w:val="15"/>
              </w:rPr>
            </w:pPr>
            <w:r w:rsidRPr="00370A32">
              <w:rPr>
                <w:rFonts w:ascii="Arial" w:hAnsi="Arial" w:cs="Arial"/>
                <w:color w:val="000000"/>
                <w:sz w:val="15"/>
                <w:szCs w:val="15"/>
              </w:rPr>
              <w:t>0.03005</w:t>
            </w:r>
          </w:p>
        </w:tc>
        <w:tc>
          <w:tcPr>
            <w:tcW w:w="1050" w:type="dxa"/>
            <w:vMerge/>
          </w:tcPr>
          <w:p w14:paraId="71118EEF" w14:textId="77777777" w:rsidR="00DB7E22" w:rsidRPr="00370A32" w:rsidRDefault="00DB7E22" w:rsidP="00370A32">
            <w:pPr>
              <w:spacing w:line="288" w:lineRule="auto"/>
              <w:rPr>
                <w:rFonts w:ascii="Arial" w:hAnsi="Arial" w:cs="Arial"/>
                <w:sz w:val="15"/>
                <w:szCs w:val="15"/>
              </w:rPr>
            </w:pPr>
          </w:p>
        </w:tc>
      </w:tr>
      <w:tr w:rsidR="00DB7E22" w:rsidRPr="00370A32" w14:paraId="50B72172" w14:textId="77777777" w:rsidTr="00DB323B">
        <w:tc>
          <w:tcPr>
            <w:tcW w:w="4111" w:type="dxa"/>
          </w:tcPr>
          <w:p w14:paraId="6512FB77"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1918 A/H1N1, 75-84 years</w:t>
            </w:r>
          </w:p>
        </w:tc>
        <w:tc>
          <w:tcPr>
            <w:tcW w:w="3849" w:type="dxa"/>
            <w:vAlign w:val="bottom"/>
          </w:tcPr>
          <w:p w14:paraId="2445FEAA" w14:textId="77777777" w:rsidR="00DB7E22" w:rsidRPr="00370A32" w:rsidRDefault="00DB7E22" w:rsidP="00370A32">
            <w:pPr>
              <w:spacing w:line="288" w:lineRule="auto"/>
              <w:rPr>
                <w:rFonts w:ascii="Arial" w:hAnsi="Arial" w:cs="Arial"/>
                <w:sz w:val="15"/>
                <w:szCs w:val="15"/>
              </w:rPr>
            </w:pPr>
            <w:r w:rsidRPr="00370A32">
              <w:rPr>
                <w:rFonts w:ascii="Arial" w:hAnsi="Arial" w:cs="Arial"/>
                <w:color w:val="000000"/>
                <w:sz w:val="15"/>
                <w:szCs w:val="15"/>
              </w:rPr>
              <w:t>0.05380</w:t>
            </w:r>
          </w:p>
        </w:tc>
        <w:tc>
          <w:tcPr>
            <w:tcW w:w="1050" w:type="dxa"/>
            <w:vMerge/>
          </w:tcPr>
          <w:p w14:paraId="2C4791F5" w14:textId="77777777" w:rsidR="00DB7E22" w:rsidRPr="00370A32" w:rsidRDefault="00DB7E22" w:rsidP="00370A32">
            <w:pPr>
              <w:spacing w:line="288" w:lineRule="auto"/>
              <w:rPr>
                <w:rFonts w:ascii="Arial" w:hAnsi="Arial" w:cs="Arial"/>
                <w:sz w:val="15"/>
                <w:szCs w:val="15"/>
              </w:rPr>
            </w:pPr>
          </w:p>
        </w:tc>
      </w:tr>
      <w:tr w:rsidR="00DB7E22" w:rsidRPr="00370A32" w14:paraId="56B0DB31" w14:textId="77777777" w:rsidTr="00DB323B">
        <w:tc>
          <w:tcPr>
            <w:tcW w:w="4111" w:type="dxa"/>
          </w:tcPr>
          <w:p w14:paraId="1C8AEA28"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1918 A/H1N1, 85-99 years</w:t>
            </w:r>
          </w:p>
        </w:tc>
        <w:tc>
          <w:tcPr>
            <w:tcW w:w="3849" w:type="dxa"/>
            <w:vAlign w:val="bottom"/>
          </w:tcPr>
          <w:p w14:paraId="1845CEE9" w14:textId="77777777" w:rsidR="00DB7E22" w:rsidRPr="00370A32" w:rsidRDefault="00DB7E22" w:rsidP="00370A32">
            <w:pPr>
              <w:spacing w:line="288" w:lineRule="auto"/>
              <w:rPr>
                <w:rFonts w:ascii="Arial" w:hAnsi="Arial" w:cs="Arial"/>
                <w:sz w:val="15"/>
                <w:szCs w:val="15"/>
              </w:rPr>
            </w:pPr>
            <w:r w:rsidRPr="00370A32">
              <w:rPr>
                <w:rFonts w:ascii="Arial" w:hAnsi="Arial" w:cs="Arial"/>
                <w:color w:val="000000"/>
                <w:sz w:val="15"/>
                <w:szCs w:val="15"/>
              </w:rPr>
              <w:t>0.04155</w:t>
            </w:r>
          </w:p>
        </w:tc>
        <w:tc>
          <w:tcPr>
            <w:tcW w:w="1050" w:type="dxa"/>
            <w:vMerge/>
          </w:tcPr>
          <w:p w14:paraId="491F73F8" w14:textId="77777777" w:rsidR="00DB7E22" w:rsidRPr="00370A32" w:rsidRDefault="00DB7E22" w:rsidP="00370A32">
            <w:pPr>
              <w:spacing w:line="288" w:lineRule="auto"/>
              <w:rPr>
                <w:rFonts w:ascii="Arial" w:hAnsi="Arial" w:cs="Arial"/>
                <w:sz w:val="15"/>
                <w:szCs w:val="15"/>
              </w:rPr>
            </w:pPr>
          </w:p>
        </w:tc>
      </w:tr>
      <w:tr w:rsidR="003A1579" w:rsidRPr="00370A32" w14:paraId="6406B3F7" w14:textId="77777777" w:rsidTr="00DB323B">
        <w:tc>
          <w:tcPr>
            <w:tcW w:w="4111" w:type="dxa"/>
          </w:tcPr>
          <w:p w14:paraId="59D5C86E" w14:textId="657C07C8" w:rsidR="003A1579" w:rsidRPr="00370A32" w:rsidRDefault="003A1579" w:rsidP="00370A32">
            <w:pPr>
              <w:spacing w:line="288" w:lineRule="auto"/>
              <w:rPr>
                <w:rFonts w:ascii="Arial" w:hAnsi="Arial" w:cs="Arial"/>
                <w:sz w:val="15"/>
                <w:szCs w:val="15"/>
              </w:rPr>
            </w:pPr>
            <w:r w:rsidRPr="00370A32">
              <w:rPr>
                <w:rFonts w:ascii="Arial" w:hAnsi="Arial" w:cs="Arial"/>
                <w:sz w:val="15"/>
                <w:szCs w:val="15"/>
              </w:rPr>
              <w:t>1968 A/H3N2, 0-4 years</w:t>
            </w:r>
          </w:p>
        </w:tc>
        <w:tc>
          <w:tcPr>
            <w:tcW w:w="3849" w:type="dxa"/>
            <w:vAlign w:val="bottom"/>
          </w:tcPr>
          <w:p w14:paraId="797717CC" w14:textId="5731A1D7" w:rsidR="003A1579" w:rsidRPr="00370A32" w:rsidRDefault="003A1579" w:rsidP="00370A32">
            <w:pPr>
              <w:spacing w:line="288" w:lineRule="auto"/>
              <w:rPr>
                <w:rFonts w:ascii="Arial" w:hAnsi="Arial" w:cs="Arial"/>
                <w:sz w:val="15"/>
                <w:szCs w:val="15"/>
              </w:rPr>
            </w:pPr>
            <w:r w:rsidRPr="00370A32">
              <w:rPr>
                <w:rFonts w:ascii="Arial" w:hAnsi="Arial" w:cs="Arial"/>
                <w:color w:val="000000"/>
                <w:sz w:val="15"/>
                <w:szCs w:val="15"/>
              </w:rPr>
              <w:t>0.0011824</w:t>
            </w:r>
          </w:p>
        </w:tc>
        <w:tc>
          <w:tcPr>
            <w:tcW w:w="1050" w:type="dxa"/>
            <w:vMerge w:val="restart"/>
          </w:tcPr>
          <w:p w14:paraId="68D8E644" w14:textId="0DEC73B1" w:rsidR="003A1579" w:rsidRPr="00370A32" w:rsidRDefault="003A1579" w:rsidP="00370A32">
            <w:pPr>
              <w:spacing w:line="288" w:lineRule="auto"/>
              <w:rPr>
                <w:rFonts w:ascii="Arial" w:hAnsi="Arial" w:cs="Arial"/>
                <w:sz w:val="15"/>
                <w:szCs w:val="15"/>
              </w:rPr>
            </w:pPr>
            <w:r w:rsidRPr="00370A32">
              <w:rPr>
                <w:rFonts w:ascii="Arial" w:hAnsi="Arial" w:cs="Arial"/>
                <w:sz w:val="15"/>
                <w:szCs w:val="15"/>
              </w:rPr>
              <w:t xml:space="preserve">By fitting U-shape mortality curve reported in </w:t>
            </w:r>
            <w:r w:rsidRPr="00370A32">
              <w:rPr>
                <w:rFonts w:ascii="Arial" w:hAnsi="Arial" w:cs="Arial"/>
                <w:sz w:val="15"/>
                <w:szCs w:val="15"/>
                <w:lang w:val="en-US"/>
              </w:rPr>
              <w:fldChar w:fldCharType="begin"/>
            </w:r>
            <w:r w:rsidR="000B5579">
              <w:rPr>
                <w:rFonts w:ascii="Arial" w:hAnsi="Arial" w:cs="Arial"/>
                <w:sz w:val="15"/>
                <w:szCs w:val="15"/>
                <w:lang w:val="en-US"/>
              </w:rPr>
              <w:instrText xml:space="preserve"> ADDIN ZOTERO_ITEM CSL_CITATION {"citationID":"DGt1D4Gk","properties":{"formattedCitation":"\\super 29,30\\nosupersub{}","plainCitation":"29,30","noteIndex":0},"citationItems":[{"id":189,"uris":["http://zotero.org/users/local/0pdZPGmr/items/B4YIBH2K","http://zotero.org/users/9596130/items/B4YIBH2K"],"itemData":{"id":189,"type":"article-journal","abstract":"The original purpose of our study was to examine the unusual W-shaped mortality curve associated with the 1918 influenza pandemic and possibly explain the peak in mortality among individuals aged 20–40 years. We plotted age-specific excess mortality instead of total mortality for the 1918 pandemic using a 5-year baseline. For comparison, we also graphed excess mortality curves for the 1957 and 1968 pandemics using 5-year baselines. The 1957 and 1968 curves exhibited the usual U-shaped curve, with high excess mortality among infants and the elderly population relative to young adults. The 1918 curve, however, presented unexpected results. A peak in excess mortality among infants and young adults was seen, but the expected W shape did not result. We instead found negative excess mortality among elderly individuals, suggesting that this group was exposed, at an earlier date, to an influenza strain similar to the so-called Spanish influenza (H1N1) strain.","container-title":"Clinical Infectious Diseases","DOI":"10.1086/322662","ISSN":"1058-4838","issue":"8","journalAbbreviation":"Clinical Infectious Diseases","page":"1375-1378","title":"Observations on Mortality during the 1918 Influenza Pandemic","volume":"33","author":[{"family":"Luk","given":"Jeffrey"},{"family":"Gross","given":"Peter"},{"family":"Thompson","given":"William W."}],"issued":{"date-parts":[["2001",10,15]]}}},{"id":192,"uris":["http://zotero.org/users/local/0pdZPGmr/items/89XR3V2F","http://zotero.org/users/9596130/items/89XR3V2F"],"itemData":{"id":192,"type":"article-journal","abstract":"The \"Spanish\" influenza pandemic of 1918–1919, which caused ≈50 million deaths worldwide, remains an ominous warning to public health. Many questions about its origins, its unusual epidemiologic features, and the basis of its pathogenicity remain unanswered. The public health implications of the pandemic therefore remain in doubt even as we now grapple with the feared emergence of a pandemic caused by H5N1 or other virus. However, new information about the 1918 virus is emerging, for example, sequencing of the entire genome from archival autopsy tissues. But, the viral genome alone is unlikely to provide answers to some critical questions. Understanding the 1918 pandemic and its implications for future pandemics requires careful experimentation and in-depth historical analysis.","container-title":"Emerging Infectious Disease journal","DOI":"10.3201/eid1201.050979","ISSN":"1080-6059","issue":"1","page":"15","title":"1918 Influenza: the Mother of All Pandemics","volume":"12","author":[{"family":"Taubenberger","given":"Jeffery"},{"family":"Morens","given":"David"}],"issued":{"date-parts":[["2006"]]}}}],"schema":"https://github.com/citation-style-language/schema/raw/master/csl-citation.json"} </w:instrText>
            </w:r>
            <w:r w:rsidRPr="00370A32">
              <w:rPr>
                <w:rFonts w:ascii="Arial" w:hAnsi="Arial" w:cs="Arial"/>
                <w:sz w:val="15"/>
                <w:szCs w:val="15"/>
                <w:lang w:val="en-US"/>
              </w:rPr>
              <w:fldChar w:fldCharType="separate"/>
            </w:r>
            <w:r w:rsidR="000B5579" w:rsidRPr="000B5579">
              <w:rPr>
                <w:rFonts w:ascii="Arial" w:hAnsi="Arial" w:cs="Arial"/>
                <w:sz w:val="15"/>
                <w:vertAlign w:val="superscript"/>
                <w:lang w:val="en-US"/>
              </w:rPr>
              <w:t>29,30</w:t>
            </w:r>
            <w:r w:rsidRPr="00370A32">
              <w:rPr>
                <w:rFonts w:ascii="Arial" w:hAnsi="Arial" w:cs="Arial"/>
                <w:sz w:val="15"/>
                <w:szCs w:val="15"/>
                <w:lang w:val="en-US"/>
              </w:rPr>
              <w:fldChar w:fldCharType="end"/>
            </w:r>
          </w:p>
        </w:tc>
      </w:tr>
      <w:tr w:rsidR="003A1579" w:rsidRPr="00370A32" w14:paraId="49ED8E2D" w14:textId="77777777" w:rsidTr="00DB323B">
        <w:tc>
          <w:tcPr>
            <w:tcW w:w="4111" w:type="dxa"/>
          </w:tcPr>
          <w:p w14:paraId="7032EED5" w14:textId="122B90DF" w:rsidR="003A1579" w:rsidRPr="00370A32" w:rsidRDefault="003A1579" w:rsidP="00370A32">
            <w:pPr>
              <w:spacing w:line="288" w:lineRule="auto"/>
              <w:rPr>
                <w:rFonts w:ascii="Arial" w:hAnsi="Arial" w:cs="Arial"/>
                <w:sz w:val="15"/>
                <w:szCs w:val="15"/>
              </w:rPr>
            </w:pPr>
            <w:r w:rsidRPr="00370A32">
              <w:rPr>
                <w:rFonts w:ascii="Arial" w:hAnsi="Arial" w:cs="Arial"/>
                <w:sz w:val="15"/>
                <w:szCs w:val="15"/>
              </w:rPr>
              <w:t>1968 A/H3N2, 5-14 years</w:t>
            </w:r>
          </w:p>
        </w:tc>
        <w:tc>
          <w:tcPr>
            <w:tcW w:w="3849" w:type="dxa"/>
            <w:vAlign w:val="bottom"/>
          </w:tcPr>
          <w:p w14:paraId="6D0154FE" w14:textId="261AAC9E" w:rsidR="003A1579" w:rsidRPr="00370A32" w:rsidRDefault="003A1579" w:rsidP="00370A32">
            <w:pPr>
              <w:spacing w:line="288" w:lineRule="auto"/>
              <w:rPr>
                <w:rFonts w:ascii="Arial" w:hAnsi="Arial" w:cs="Arial"/>
                <w:sz w:val="15"/>
                <w:szCs w:val="15"/>
              </w:rPr>
            </w:pPr>
            <w:r w:rsidRPr="00370A32">
              <w:rPr>
                <w:rFonts w:ascii="Arial" w:hAnsi="Arial" w:cs="Arial"/>
                <w:color w:val="000000"/>
                <w:sz w:val="15"/>
                <w:szCs w:val="15"/>
              </w:rPr>
              <w:t>0.0000240</w:t>
            </w:r>
          </w:p>
        </w:tc>
        <w:tc>
          <w:tcPr>
            <w:tcW w:w="1050" w:type="dxa"/>
            <w:vMerge/>
          </w:tcPr>
          <w:p w14:paraId="6726789A" w14:textId="77777777" w:rsidR="003A1579" w:rsidRPr="00370A32" w:rsidRDefault="003A1579" w:rsidP="00370A32">
            <w:pPr>
              <w:spacing w:line="288" w:lineRule="auto"/>
              <w:rPr>
                <w:rFonts w:ascii="Arial" w:hAnsi="Arial" w:cs="Arial"/>
                <w:sz w:val="15"/>
                <w:szCs w:val="15"/>
              </w:rPr>
            </w:pPr>
          </w:p>
        </w:tc>
      </w:tr>
      <w:tr w:rsidR="003A1579" w:rsidRPr="00370A32" w14:paraId="730DF93A" w14:textId="77777777" w:rsidTr="00DB323B">
        <w:tc>
          <w:tcPr>
            <w:tcW w:w="4111" w:type="dxa"/>
          </w:tcPr>
          <w:p w14:paraId="6AF08614" w14:textId="338D43EA" w:rsidR="003A1579" w:rsidRPr="00370A32" w:rsidRDefault="003A1579" w:rsidP="00370A32">
            <w:pPr>
              <w:spacing w:line="288" w:lineRule="auto"/>
              <w:rPr>
                <w:rFonts w:ascii="Arial" w:hAnsi="Arial" w:cs="Arial"/>
                <w:sz w:val="15"/>
                <w:szCs w:val="15"/>
              </w:rPr>
            </w:pPr>
            <w:r w:rsidRPr="00370A32">
              <w:rPr>
                <w:rFonts w:ascii="Arial" w:hAnsi="Arial" w:cs="Arial"/>
                <w:sz w:val="15"/>
                <w:szCs w:val="15"/>
              </w:rPr>
              <w:t>1968 A/H3N2, 15-24 years</w:t>
            </w:r>
          </w:p>
        </w:tc>
        <w:tc>
          <w:tcPr>
            <w:tcW w:w="3849" w:type="dxa"/>
            <w:vAlign w:val="bottom"/>
          </w:tcPr>
          <w:p w14:paraId="28548E73" w14:textId="685CF85F" w:rsidR="003A1579" w:rsidRPr="00370A32" w:rsidRDefault="003A1579" w:rsidP="00370A32">
            <w:pPr>
              <w:spacing w:line="288" w:lineRule="auto"/>
              <w:rPr>
                <w:rFonts w:ascii="Arial" w:hAnsi="Arial" w:cs="Arial"/>
                <w:sz w:val="15"/>
                <w:szCs w:val="15"/>
              </w:rPr>
            </w:pPr>
            <w:r w:rsidRPr="00370A32">
              <w:rPr>
                <w:rFonts w:ascii="Arial" w:hAnsi="Arial" w:cs="Arial"/>
                <w:color w:val="000000"/>
                <w:sz w:val="15"/>
                <w:szCs w:val="15"/>
              </w:rPr>
              <w:t>0.0000410</w:t>
            </w:r>
          </w:p>
        </w:tc>
        <w:tc>
          <w:tcPr>
            <w:tcW w:w="1050" w:type="dxa"/>
            <w:vMerge/>
          </w:tcPr>
          <w:p w14:paraId="4EE99BE1" w14:textId="77777777" w:rsidR="003A1579" w:rsidRPr="00370A32" w:rsidRDefault="003A1579" w:rsidP="00370A32">
            <w:pPr>
              <w:spacing w:line="288" w:lineRule="auto"/>
              <w:rPr>
                <w:rFonts w:ascii="Arial" w:hAnsi="Arial" w:cs="Arial"/>
                <w:sz w:val="15"/>
                <w:szCs w:val="15"/>
              </w:rPr>
            </w:pPr>
          </w:p>
        </w:tc>
      </w:tr>
      <w:tr w:rsidR="003A1579" w:rsidRPr="00370A32" w14:paraId="538245B0" w14:textId="77777777" w:rsidTr="00DB323B">
        <w:tc>
          <w:tcPr>
            <w:tcW w:w="4111" w:type="dxa"/>
          </w:tcPr>
          <w:p w14:paraId="7A1F14E3" w14:textId="5A448CE8" w:rsidR="003A1579" w:rsidRPr="00370A32" w:rsidRDefault="003A1579" w:rsidP="00370A32">
            <w:pPr>
              <w:spacing w:line="288" w:lineRule="auto"/>
              <w:rPr>
                <w:rFonts w:ascii="Arial" w:hAnsi="Arial" w:cs="Arial"/>
                <w:sz w:val="15"/>
                <w:szCs w:val="15"/>
              </w:rPr>
            </w:pPr>
            <w:r w:rsidRPr="00370A32">
              <w:rPr>
                <w:rFonts w:ascii="Arial" w:hAnsi="Arial" w:cs="Arial"/>
                <w:sz w:val="15"/>
                <w:szCs w:val="15"/>
              </w:rPr>
              <w:t>1968 A/H3N2, 25-34 years</w:t>
            </w:r>
          </w:p>
        </w:tc>
        <w:tc>
          <w:tcPr>
            <w:tcW w:w="3849" w:type="dxa"/>
            <w:vAlign w:val="bottom"/>
          </w:tcPr>
          <w:p w14:paraId="15713B2F" w14:textId="51B13F95" w:rsidR="003A1579" w:rsidRPr="00370A32" w:rsidRDefault="003A1579" w:rsidP="00370A32">
            <w:pPr>
              <w:spacing w:line="288" w:lineRule="auto"/>
              <w:rPr>
                <w:rFonts w:ascii="Arial" w:hAnsi="Arial" w:cs="Arial"/>
                <w:sz w:val="15"/>
                <w:szCs w:val="15"/>
              </w:rPr>
            </w:pPr>
            <w:r w:rsidRPr="00370A32">
              <w:rPr>
                <w:rFonts w:ascii="Arial" w:hAnsi="Arial" w:cs="Arial"/>
                <w:color w:val="000000"/>
                <w:sz w:val="15"/>
                <w:szCs w:val="15"/>
              </w:rPr>
              <w:t>0.0000601</w:t>
            </w:r>
          </w:p>
        </w:tc>
        <w:tc>
          <w:tcPr>
            <w:tcW w:w="1050" w:type="dxa"/>
            <w:vMerge/>
          </w:tcPr>
          <w:p w14:paraId="33F83126" w14:textId="77777777" w:rsidR="003A1579" w:rsidRPr="00370A32" w:rsidRDefault="003A1579" w:rsidP="00370A32">
            <w:pPr>
              <w:spacing w:line="288" w:lineRule="auto"/>
              <w:rPr>
                <w:rFonts w:ascii="Arial" w:hAnsi="Arial" w:cs="Arial"/>
                <w:sz w:val="15"/>
                <w:szCs w:val="15"/>
              </w:rPr>
            </w:pPr>
          </w:p>
        </w:tc>
      </w:tr>
      <w:tr w:rsidR="003A1579" w:rsidRPr="00370A32" w14:paraId="1194380E" w14:textId="77777777" w:rsidTr="00DB323B">
        <w:tc>
          <w:tcPr>
            <w:tcW w:w="4111" w:type="dxa"/>
          </w:tcPr>
          <w:p w14:paraId="47B84455" w14:textId="7EEE072D" w:rsidR="003A1579" w:rsidRPr="00370A32" w:rsidRDefault="003A1579" w:rsidP="00370A32">
            <w:pPr>
              <w:spacing w:line="288" w:lineRule="auto"/>
              <w:rPr>
                <w:rFonts w:ascii="Arial" w:hAnsi="Arial" w:cs="Arial"/>
                <w:sz w:val="15"/>
                <w:szCs w:val="15"/>
              </w:rPr>
            </w:pPr>
            <w:r w:rsidRPr="00370A32">
              <w:rPr>
                <w:rFonts w:ascii="Arial" w:hAnsi="Arial" w:cs="Arial"/>
                <w:sz w:val="15"/>
                <w:szCs w:val="15"/>
              </w:rPr>
              <w:t>1968 A/H3N2, 35-44 years</w:t>
            </w:r>
          </w:p>
        </w:tc>
        <w:tc>
          <w:tcPr>
            <w:tcW w:w="3849" w:type="dxa"/>
            <w:vAlign w:val="bottom"/>
          </w:tcPr>
          <w:p w14:paraId="03225117" w14:textId="17E126A0" w:rsidR="003A1579" w:rsidRPr="00370A32" w:rsidRDefault="003A1579" w:rsidP="00370A32">
            <w:pPr>
              <w:spacing w:line="288" w:lineRule="auto"/>
              <w:rPr>
                <w:rFonts w:ascii="Arial" w:hAnsi="Arial" w:cs="Arial"/>
                <w:sz w:val="15"/>
                <w:szCs w:val="15"/>
              </w:rPr>
            </w:pPr>
            <w:r w:rsidRPr="00370A32">
              <w:rPr>
                <w:rFonts w:ascii="Arial" w:hAnsi="Arial" w:cs="Arial"/>
                <w:color w:val="000000"/>
                <w:sz w:val="15"/>
                <w:szCs w:val="15"/>
              </w:rPr>
              <w:t>0.0001298</w:t>
            </w:r>
          </w:p>
        </w:tc>
        <w:tc>
          <w:tcPr>
            <w:tcW w:w="1050" w:type="dxa"/>
            <w:vMerge/>
          </w:tcPr>
          <w:p w14:paraId="568D9B86" w14:textId="77777777" w:rsidR="003A1579" w:rsidRPr="00370A32" w:rsidRDefault="003A1579" w:rsidP="00370A32">
            <w:pPr>
              <w:spacing w:line="288" w:lineRule="auto"/>
              <w:rPr>
                <w:rFonts w:ascii="Arial" w:hAnsi="Arial" w:cs="Arial"/>
                <w:sz w:val="15"/>
                <w:szCs w:val="15"/>
              </w:rPr>
            </w:pPr>
          </w:p>
        </w:tc>
      </w:tr>
      <w:tr w:rsidR="003A1579" w:rsidRPr="00370A32" w14:paraId="1AE4AF77" w14:textId="77777777" w:rsidTr="00DB323B">
        <w:tc>
          <w:tcPr>
            <w:tcW w:w="4111" w:type="dxa"/>
          </w:tcPr>
          <w:p w14:paraId="7E37296E" w14:textId="7C489B46" w:rsidR="003A1579" w:rsidRPr="00370A32" w:rsidRDefault="003A1579" w:rsidP="00370A32">
            <w:pPr>
              <w:spacing w:line="288" w:lineRule="auto"/>
              <w:rPr>
                <w:rFonts w:ascii="Arial" w:hAnsi="Arial" w:cs="Arial"/>
                <w:sz w:val="15"/>
                <w:szCs w:val="15"/>
              </w:rPr>
            </w:pPr>
            <w:r w:rsidRPr="00370A32">
              <w:rPr>
                <w:rFonts w:ascii="Arial" w:hAnsi="Arial" w:cs="Arial"/>
                <w:sz w:val="15"/>
                <w:szCs w:val="15"/>
              </w:rPr>
              <w:t>1968 A/H3N2, 45-54 years</w:t>
            </w:r>
          </w:p>
        </w:tc>
        <w:tc>
          <w:tcPr>
            <w:tcW w:w="3849" w:type="dxa"/>
            <w:vAlign w:val="bottom"/>
          </w:tcPr>
          <w:p w14:paraId="253D5195" w14:textId="33938664" w:rsidR="003A1579" w:rsidRPr="00370A32" w:rsidRDefault="003A1579" w:rsidP="00370A32">
            <w:pPr>
              <w:spacing w:line="288" w:lineRule="auto"/>
              <w:rPr>
                <w:rFonts w:ascii="Arial" w:hAnsi="Arial" w:cs="Arial"/>
                <w:sz w:val="15"/>
                <w:szCs w:val="15"/>
              </w:rPr>
            </w:pPr>
            <w:r w:rsidRPr="00370A32">
              <w:rPr>
                <w:rFonts w:ascii="Arial" w:hAnsi="Arial" w:cs="Arial"/>
                <w:color w:val="000000"/>
                <w:sz w:val="15"/>
                <w:szCs w:val="15"/>
              </w:rPr>
              <w:t>0.0003386</w:t>
            </w:r>
          </w:p>
        </w:tc>
        <w:tc>
          <w:tcPr>
            <w:tcW w:w="1050" w:type="dxa"/>
            <w:vMerge/>
          </w:tcPr>
          <w:p w14:paraId="3C6F74E8" w14:textId="77777777" w:rsidR="003A1579" w:rsidRPr="00370A32" w:rsidRDefault="003A1579" w:rsidP="00370A32">
            <w:pPr>
              <w:spacing w:line="288" w:lineRule="auto"/>
              <w:rPr>
                <w:rFonts w:ascii="Arial" w:hAnsi="Arial" w:cs="Arial"/>
                <w:sz w:val="15"/>
                <w:szCs w:val="15"/>
              </w:rPr>
            </w:pPr>
          </w:p>
        </w:tc>
      </w:tr>
      <w:tr w:rsidR="003A1579" w:rsidRPr="00370A32" w14:paraId="681FC820" w14:textId="77777777" w:rsidTr="00DB323B">
        <w:tc>
          <w:tcPr>
            <w:tcW w:w="4111" w:type="dxa"/>
          </w:tcPr>
          <w:p w14:paraId="522C3123" w14:textId="43E2D237" w:rsidR="003A1579" w:rsidRPr="00370A32" w:rsidRDefault="003A1579" w:rsidP="00370A32">
            <w:pPr>
              <w:spacing w:line="288" w:lineRule="auto"/>
              <w:rPr>
                <w:rFonts w:ascii="Arial" w:hAnsi="Arial" w:cs="Arial"/>
                <w:sz w:val="15"/>
                <w:szCs w:val="15"/>
              </w:rPr>
            </w:pPr>
            <w:r w:rsidRPr="00370A32">
              <w:rPr>
                <w:rFonts w:ascii="Arial" w:hAnsi="Arial" w:cs="Arial"/>
                <w:sz w:val="15"/>
                <w:szCs w:val="15"/>
              </w:rPr>
              <w:t>1968 A/H3N2, 55-64 years</w:t>
            </w:r>
          </w:p>
        </w:tc>
        <w:tc>
          <w:tcPr>
            <w:tcW w:w="3849" w:type="dxa"/>
            <w:vAlign w:val="bottom"/>
          </w:tcPr>
          <w:p w14:paraId="0465DB71" w14:textId="3D9781FF" w:rsidR="003A1579" w:rsidRPr="00370A32" w:rsidRDefault="003A1579" w:rsidP="00370A32">
            <w:pPr>
              <w:spacing w:line="288" w:lineRule="auto"/>
              <w:rPr>
                <w:rFonts w:ascii="Arial" w:hAnsi="Arial" w:cs="Arial"/>
                <w:sz w:val="15"/>
                <w:szCs w:val="15"/>
              </w:rPr>
            </w:pPr>
            <w:r w:rsidRPr="00370A32">
              <w:rPr>
                <w:rFonts w:ascii="Arial" w:hAnsi="Arial" w:cs="Arial"/>
                <w:color w:val="000000"/>
                <w:sz w:val="15"/>
                <w:szCs w:val="15"/>
              </w:rPr>
              <w:t>0.0012583</w:t>
            </w:r>
          </w:p>
        </w:tc>
        <w:tc>
          <w:tcPr>
            <w:tcW w:w="1050" w:type="dxa"/>
            <w:vMerge/>
          </w:tcPr>
          <w:p w14:paraId="52A03BB7" w14:textId="77777777" w:rsidR="003A1579" w:rsidRPr="00370A32" w:rsidRDefault="003A1579" w:rsidP="00370A32">
            <w:pPr>
              <w:spacing w:line="288" w:lineRule="auto"/>
              <w:rPr>
                <w:rFonts w:ascii="Arial" w:hAnsi="Arial" w:cs="Arial"/>
                <w:sz w:val="15"/>
                <w:szCs w:val="15"/>
              </w:rPr>
            </w:pPr>
          </w:p>
        </w:tc>
      </w:tr>
      <w:tr w:rsidR="003A1579" w:rsidRPr="00370A32" w14:paraId="671E7E43" w14:textId="77777777" w:rsidTr="00DB323B">
        <w:tc>
          <w:tcPr>
            <w:tcW w:w="4111" w:type="dxa"/>
          </w:tcPr>
          <w:p w14:paraId="264D5C01" w14:textId="05299267" w:rsidR="003A1579" w:rsidRPr="00370A32" w:rsidRDefault="003A1579" w:rsidP="00370A32">
            <w:pPr>
              <w:spacing w:line="288" w:lineRule="auto"/>
              <w:rPr>
                <w:rFonts w:ascii="Arial" w:hAnsi="Arial" w:cs="Arial"/>
                <w:sz w:val="15"/>
                <w:szCs w:val="15"/>
              </w:rPr>
            </w:pPr>
            <w:r w:rsidRPr="00370A32">
              <w:rPr>
                <w:rFonts w:ascii="Arial" w:hAnsi="Arial" w:cs="Arial"/>
                <w:sz w:val="15"/>
                <w:szCs w:val="15"/>
              </w:rPr>
              <w:t>1968 A/H3N2, 65-74 years</w:t>
            </w:r>
          </w:p>
        </w:tc>
        <w:tc>
          <w:tcPr>
            <w:tcW w:w="3849" w:type="dxa"/>
            <w:vAlign w:val="bottom"/>
          </w:tcPr>
          <w:p w14:paraId="00CF46D1" w14:textId="7862DB0A" w:rsidR="003A1579" w:rsidRPr="00370A32" w:rsidRDefault="003A1579" w:rsidP="00370A32">
            <w:pPr>
              <w:spacing w:line="288" w:lineRule="auto"/>
              <w:rPr>
                <w:rFonts w:ascii="Arial" w:hAnsi="Arial" w:cs="Arial"/>
                <w:sz w:val="15"/>
                <w:szCs w:val="15"/>
              </w:rPr>
            </w:pPr>
            <w:r w:rsidRPr="00370A32">
              <w:rPr>
                <w:rFonts w:ascii="Arial" w:hAnsi="Arial" w:cs="Arial"/>
                <w:color w:val="000000"/>
                <w:sz w:val="15"/>
                <w:szCs w:val="15"/>
              </w:rPr>
              <w:t>0.0061872</w:t>
            </w:r>
          </w:p>
        </w:tc>
        <w:tc>
          <w:tcPr>
            <w:tcW w:w="1050" w:type="dxa"/>
            <w:vMerge/>
          </w:tcPr>
          <w:p w14:paraId="2ADC7919" w14:textId="77777777" w:rsidR="003A1579" w:rsidRPr="00370A32" w:rsidRDefault="003A1579" w:rsidP="00370A32">
            <w:pPr>
              <w:spacing w:line="288" w:lineRule="auto"/>
              <w:rPr>
                <w:rFonts w:ascii="Arial" w:hAnsi="Arial" w:cs="Arial"/>
                <w:sz w:val="15"/>
                <w:szCs w:val="15"/>
              </w:rPr>
            </w:pPr>
          </w:p>
        </w:tc>
      </w:tr>
      <w:tr w:rsidR="003A1579" w:rsidRPr="00370A32" w14:paraId="76F59851" w14:textId="77777777" w:rsidTr="00DB323B">
        <w:tc>
          <w:tcPr>
            <w:tcW w:w="4111" w:type="dxa"/>
          </w:tcPr>
          <w:p w14:paraId="17DEAEF1" w14:textId="4D5CE4D0" w:rsidR="003A1579" w:rsidRPr="00370A32" w:rsidRDefault="003A1579" w:rsidP="00370A32">
            <w:pPr>
              <w:spacing w:line="288" w:lineRule="auto"/>
              <w:rPr>
                <w:rFonts w:ascii="Arial" w:hAnsi="Arial" w:cs="Arial"/>
                <w:sz w:val="15"/>
                <w:szCs w:val="15"/>
              </w:rPr>
            </w:pPr>
            <w:r w:rsidRPr="00370A32">
              <w:rPr>
                <w:rFonts w:ascii="Arial" w:hAnsi="Arial" w:cs="Arial"/>
                <w:sz w:val="15"/>
                <w:szCs w:val="15"/>
              </w:rPr>
              <w:t>1968 A/H3N2, 75-84 years</w:t>
            </w:r>
          </w:p>
        </w:tc>
        <w:tc>
          <w:tcPr>
            <w:tcW w:w="3849" w:type="dxa"/>
            <w:vAlign w:val="bottom"/>
          </w:tcPr>
          <w:p w14:paraId="54EA0035" w14:textId="037A12CF" w:rsidR="003A1579" w:rsidRPr="00370A32" w:rsidRDefault="003A1579" w:rsidP="00370A32">
            <w:pPr>
              <w:spacing w:line="288" w:lineRule="auto"/>
              <w:rPr>
                <w:rFonts w:ascii="Arial" w:hAnsi="Arial" w:cs="Arial"/>
                <w:sz w:val="15"/>
                <w:szCs w:val="15"/>
              </w:rPr>
            </w:pPr>
            <w:r w:rsidRPr="00370A32">
              <w:rPr>
                <w:rFonts w:ascii="Arial" w:hAnsi="Arial" w:cs="Arial"/>
                <w:color w:val="000000"/>
                <w:sz w:val="15"/>
                <w:szCs w:val="15"/>
              </w:rPr>
              <w:t>0.0187919</w:t>
            </w:r>
          </w:p>
        </w:tc>
        <w:tc>
          <w:tcPr>
            <w:tcW w:w="1050" w:type="dxa"/>
            <w:vMerge/>
          </w:tcPr>
          <w:p w14:paraId="3016D4FC" w14:textId="77777777" w:rsidR="003A1579" w:rsidRPr="00370A32" w:rsidRDefault="003A1579" w:rsidP="00370A32">
            <w:pPr>
              <w:spacing w:line="288" w:lineRule="auto"/>
              <w:rPr>
                <w:rFonts w:ascii="Arial" w:hAnsi="Arial" w:cs="Arial"/>
                <w:sz w:val="15"/>
                <w:szCs w:val="15"/>
              </w:rPr>
            </w:pPr>
          </w:p>
        </w:tc>
      </w:tr>
      <w:tr w:rsidR="003A1579" w:rsidRPr="00370A32" w14:paraId="04EC83C5" w14:textId="77777777" w:rsidTr="00DB323B">
        <w:tc>
          <w:tcPr>
            <w:tcW w:w="4111" w:type="dxa"/>
          </w:tcPr>
          <w:p w14:paraId="46E15449" w14:textId="70B39ABE" w:rsidR="003A1579" w:rsidRPr="00370A32" w:rsidRDefault="003A1579" w:rsidP="00370A32">
            <w:pPr>
              <w:spacing w:line="288" w:lineRule="auto"/>
              <w:rPr>
                <w:rFonts w:ascii="Arial" w:hAnsi="Arial" w:cs="Arial"/>
                <w:sz w:val="15"/>
                <w:szCs w:val="15"/>
              </w:rPr>
            </w:pPr>
            <w:r w:rsidRPr="00370A32">
              <w:rPr>
                <w:rFonts w:ascii="Arial" w:hAnsi="Arial" w:cs="Arial"/>
                <w:sz w:val="15"/>
                <w:szCs w:val="15"/>
              </w:rPr>
              <w:t>1968 A/H3N2, 85-99 years</w:t>
            </w:r>
          </w:p>
        </w:tc>
        <w:tc>
          <w:tcPr>
            <w:tcW w:w="3849" w:type="dxa"/>
            <w:vAlign w:val="bottom"/>
          </w:tcPr>
          <w:p w14:paraId="4D6B4DE9" w14:textId="7D30528E" w:rsidR="003A1579" w:rsidRPr="00370A32" w:rsidRDefault="003A1579" w:rsidP="00370A32">
            <w:pPr>
              <w:spacing w:line="288" w:lineRule="auto"/>
              <w:rPr>
                <w:rFonts w:ascii="Arial" w:hAnsi="Arial" w:cs="Arial"/>
                <w:sz w:val="15"/>
                <w:szCs w:val="15"/>
              </w:rPr>
            </w:pPr>
            <w:r w:rsidRPr="00370A32">
              <w:rPr>
                <w:rFonts w:ascii="Arial" w:hAnsi="Arial" w:cs="Arial"/>
                <w:color w:val="000000"/>
                <w:sz w:val="15"/>
                <w:szCs w:val="15"/>
              </w:rPr>
              <w:t>0.0252286</w:t>
            </w:r>
          </w:p>
        </w:tc>
        <w:tc>
          <w:tcPr>
            <w:tcW w:w="1050" w:type="dxa"/>
            <w:vMerge/>
          </w:tcPr>
          <w:p w14:paraId="2898B1DF" w14:textId="77777777" w:rsidR="003A1579" w:rsidRPr="00370A32" w:rsidRDefault="003A1579" w:rsidP="00370A32">
            <w:pPr>
              <w:spacing w:line="288" w:lineRule="auto"/>
              <w:rPr>
                <w:rFonts w:ascii="Arial" w:hAnsi="Arial" w:cs="Arial"/>
                <w:sz w:val="15"/>
                <w:szCs w:val="15"/>
              </w:rPr>
            </w:pPr>
          </w:p>
        </w:tc>
      </w:tr>
      <w:tr w:rsidR="008352A8" w:rsidRPr="00370A32" w14:paraId="0EF5226D" w14:textId="77777777" w:rsidTr="00DB323B">
        <w:tc>
          <w:tcPr>
            <w:tcW w:w="4111" w:type="dxa"/>
          </w:tcPr>
          <w:p w14:paraId="64797C60" w14:textId="60D6E67E" w:rsidR="008352A8" w:rsidRPr="00370A32" w:rsidRDefault="008352A8" w:rsidP="00370A32">
            <w:pPr>
              <w:spacing w:line="288" w:lineRule="auto"/>
              <w:rPr>
                <w:rFonts w:ascii="Arial" w:hAnsi="Arial" w:cs="Arial"/>
                <w:sz w:val="15"/>
                <w:szCs w:val="15"/>
              </w:rPr>
            </w:pPr>
            <w:r w:rsidRPr="00370A32">
              <w:rPr>
                <w:rFonts w:ascii="Arial" w:hAnsi="Arial" w:cs="Arial"/>
                <w:sz w:val="15"/>
                <w:szCs w:val="15"/>
              </w:rPr>
              <w:t>2009 A/H1N1, 0-19 years</w:t>
            </w:r>
          </w:p>
        </w:tc>
        <w:tc>
          <w:tcPr>
            <w:tcW w:w="3849" w:type="dxa"/>
            <w:vAlign w:val="bottom"/>
          </w:tcPr>
          <w:p w14:paraId="23A555D4" w14:textId="1479D5EB" w:rsidR="008352A8" w:rsidRPr="00370A32" w:rsidRDefault="008352A8" w:rsidP="00370A32">
            <w:pPr>
              <w:spacing w:line="288" w:lineRule="auto"/>
              <w:rPr>
                <w:rFonts w:ascii="Arial" w:hAnsi="Arial" w:cs="Arial"/>
                <w:sz w:val="15"/>
                <w:szCs w:val="15"/>
              </w:rPr>
            </w:pPr>
            <w:r w:rsidRPr="00370A32">
              <w:rPr>
                <w:rFonts w:ascii="Arial" w:hAnsi="Arial" w:cs="Arial"/>
                <w:color w:val="000000"/>
                <w:sz w:val="15"/>
                <w:szCs w:val="15"/>
              </w:rPr>
              <w:t>0.00005</w:t>
            </w:r>
          </w:p>
        </w:tc>
        <w:tc>
          <w:tcPr>
            <w:tcW w:w="1050" w:type="dxa"/>
            <w:vMerge w:val="restart"/>
          </w:tcPr>
          <w:p w14:paraId="18DA6F86" w14:textId="423C15DE" w:rsidR="008352A8" w:rsidRPr="00370A32" w:rsidRDefault="00370A32" w:rsidP="00370A32">
            <w:pPr>
              <w:spacing w:line="288" w:lineRule="auto"/>
              <w:rPr>
                <w:rFonts w:ascii="Arial" w:hAnsi="Arial" w:cs="Arial"/>
                <w:sz w:val="15"/>
                <w:szCs w:val="15"/>
              </w:rPr>
            </w:pPr>
            <w:r w:rsidRPr="00370A32">
              <w:rPr>
                <w:rFonts w:ascii="Arial" w:hAnsi="Arial" w:cs="Arial"/>
                <w:sz w:val="15"/>
                <w:szCs w:val="15"/>
                <w:lang w:val="en-US"/>
              </w:rPr>
              <w:t>Dawood et al., 2012</w:t>
            </w:r>
            <w:r w:rsidR="008352A8" w:rsidRPr="00370A32">
              <w:rPr>
                <w:rFonts w:ascii="Arial" w:hAnsi="Arial" w:cs="Arial"/>
                <w:sz w:val="15"/>
                <w:szCs w:val="15"/>
                <w:lang w:val="en-US"/>
              </w:rPr>
              <w:fldChar w:fldCharType="begin"/>
            </w:r>
            <w:r w:rsidR="000B5579">
              <w:rPr>
                <w:rFonts w:ascii="Arial" w:hAnsi="Arial" w:cs="Arial"/>
                <w:sz w:val="15"/>
                <w:szCs w:val="15"/>
                <w:lang w:val="en-US"/>
              </w:rPr>
              <w:instrText xml:space="preserve"> ADDIN ZOTERO_ITEM CSL_CITATION {"citationID":"a23n8md94v0","properties":{"formattedCitation":"\\super 31\\nosupersub{}","plainCitation":"31","noteIndex":0},"citationItems":[{"id":190,"uris":["http://zotero.org/users/local/0pdZPGmr/items/XAJUCWF4","http://zotero.org/users/9596130/items/XAJUCWF4"],"itemData":{"id":190,"type":"article-journal","container-title":"The Lancet Infectious Diseases","DOI":"10.1016/S1473-3099(12)70121-4","ISSN":"1473-3099","issue":"9","note":"publisher: Elsevier","page":"687-695","title":"Estimated global mortality associated with the first 12 months of 2009 pandemic influenza A H1N1 virus circulation: a modelling study","volume":"12","author":[{"family":"Dawood","given":"Fatimah S"},{"family":"Iuliano","given":"A Danielle"},{"family":"Reed","given":"Carrie"},{"family":"Meltzer","given":"Martin I"},{"family":"Shay","given":"David K"},{"family":"Cheng","given":"Po-Yung"},{"family":"Bandaranayake","given":"Don"},{"family":"Breiman","given":"Robert F"},{"family":"Brooks","given":"W Abdullah"},{"family":"Buchy","given":"Philippe"},{"family":"Feikin","given":"Daniel R"},{"family":"Fowler","given":"Karen B"},{"family":"Gordon","given":"Aubree"},{"family":"Hien","given":"Nguyen Tran"},{"family":"Horby","given":"Peter"},{"family":"Huang","given":"Q Sue"},{"family":"Katz","given":"Mark A"},{"family":"Krishnan","given":"Anand"},{"family":"Lal","given":"Renu"},{"family":"Montgomery","given":"Joel M"},{"family":"Mølbak","given":"Kåre"},{"family":"Pebody","given":"Richard"},{"family":"Presanis","given":"Anne M"},{"family":"Razuri","given":"Hugo"},{"family":"Steens","given":"Anneke"},{"family":"Tinoco","given":"Yeny O"},{"family":"Wallinga","given":"Jacco"},{"family":"Yu","given":"Hongjie"},{"family":"Vong","given":"Sirenda"},{"family":"Bresee","given":"Joseph"},{"family":"Widdowson","given":"Marc-Alain"}],"issued":{"date-parts":[["2012",9,1]]}}}],"schema":"https://github.com/citation-style-language/schema/raw/master/csl-citation.json"} </w:instrText>
            </w:r>
            <w:r w:rsidR="008352A8" w:rsidRPr="00370A32">
              <w:rPr>
                <w:rFonts w:ascii="Arial" w:hAnsi="Arial" w:cs="Arial"/>
                <w:sz w:val="15"/>
                <w:szCs w:val="15"/>
                <w:lang w:val="en-US"/>
              </w:rPr>
              <w:fldChar w:fldCharType="separate"/>
            </w:r>
            <w:r w:rsidR="000B5579" w:rsidRPr="000B5579">
              <w:rPr>
                <w:rFonts w:ascii="Arial" w:hAnsi="Arial" w:cs="Arial"/>
                <w:sz w:val="15"/>
                <w:vertAlign w:val="superscript"/>
                <w:lang w:val="en-US"/>
              </w:rPr>
              <w:t>31</w:t>
            </w:r>
            <w:r w:rsidR="008352A8" w:rsidRPr="00370A32">
              <w:rPr>
                <w:rFonts w:ascii="Arial" w:hAnsi="Arial" w:cs="Arial"/>
                <w:sz w:val="15"/>
                <w:szCs w:val="15"/>
                <w:lang w:val="en-US"/>
              </w:rPr>
              <w:fldChar w:fldCharType="end"/>
            </w:r>
          </w:p>
        </w:tc>
      </w:tr>
      <w:tr w:rsidR="008352A8" w:rsidRPr="00370A32" w14:paraId="3053ECE4" w14:textId="77777777" w:rsidTr="00DB323B">
        <w:tc>
          <w:tcPr>
            <w:tcW w:w="4111" w:type="dxa"/>
          </w:tcPr>
          <w:p w14:paraId="6D3672A8" w14:textId="4164EAEB" w:rsidR="008352A8" w:rsidRPr="00370A32" w:rsidRDefault="008352A8" w:rsidP="00370A32">
            <w:pPr>
              <w:spacing w:line="288" w:lineRule="auto"/>
              <w:rPr>
                <w:rFonts w:ascii="Arial" w:hAnsi="Arial" w:cs="Arial"/>
                <w:sz w:val="15"/>
                <w:szCs w:val="15"/>
              </w:rPr>
            </w:pPr>
            <w:r w:rsidRPr="00370A32">
              <w:rPr>
                <w:rFonts w:ascii="Arial" w:hAnsi="Arial" w:cs="Arial"/>
                <w:sz w:val="15"/>
                <w:szCs w:val="15"/>
              </w:rPr>
              <w:t>2009 A/H1N1, 20-64 years</w:t>
            </w:r>
          </w:p>
        </w:tc>
        <w:tc>
          <w:tcPr>
            <w:tcW w:w="3849" w:type="dxa"/>
            <w:vAlign w:val="bottom"/>
          </w:tcPr>
          <w:p w14:paraId="5CD986AC" w14:textId="0C17A2E6" w:rsidR="008352A8" w:rsidRPr="00370A32" w:rsidRDefault="008352A8" w:rsidP="00370A32">
            <w:pPr>
              <w:spacing w:line="288" w:lineRule="auto"/>
              <w:rPr>
                <w:rFonts w:ascii="Arial" w:hAnsi="Arial" w:cs="Arial"/>
                <w:sz w:val="15"/>
                <w:szCs w:val="15"/>
              </w:rPr>
            </w:pPr>
            <w:r w:rsidRPr="00370A32">
              <w:rPr>
                <w:rFonts w:ascii="Arial" w:hAnsi="Arial" w:cs="Arial"/>
                <w:color w:val="000000"/>
                <w:sz w:val="15"/>
                <w:szCs w:val="15"/>
              </w:rPr>
              <w:t>0.00029</w:t>
            </w:r>
          </w:p>
        </w:tc>
        <w:tc>
          <w:tcPr>
            <w:tcW w:w="1050" w:type="dxa"/>
            <w:vMerge/>
          </w:tcPr>
          <w:p w14:paraId="20106734" w14:textId="77777777" w:rsidR="008352A8" w:rsidRPr="00370A32" w:rsidRDefault="008352A8" w:rsidP="00370A32">
            <w:pPr>
              <w:spacing w:line="288" w:lineRule="auto"/>
              <w:rPr>
                <w:rFonts w:ascii="Arial" w:hAnsi="Arial" w:cs="Arial"/>
                <w:sz w:val="15"/>
                <w:szCs w:val="15"/>
              </w:rPr>
            </w:pPr>
          </w:p>
        </w:tc>
      </w:tr>
      <w:tr w:rsidR="008352A8" w:rsidRPr="00370A32" w14:paraId="6810A01F" w14:textId="77777777" w:rsidTr="00370A32">
        <w:tc>
          <w:tcPr>
            <w:tcW w:w="4111" w:type="dxa"/>
          </w:tcPr>
          <w:p w14:paraId="39743335" w14:textId="0D930A58" w:rsidR="008352A8" w:rsidRPr="00370A32" w:rsidRDefault="008352A8" w:rsidP="00370A32">
            <w:pPr>
              <w:spacing w:line="288" w:lineRule="auto"/>
              <w:rPr>
                <w:rFonts w:ascii="Arial" w:hAnsi="Arial" w:cs="Arial"/>
                <w:sz w:val="15"/>
                <w:szCs w:val="15"/>
              </w:rPr>
            </w:pPr>
            <w:r w:rsidRPr="00370A32">
              <w:rPr>
                <w:rFonts w:ascii="Arial" w:hAnsi="Arial" w:cs="Arial"/>
                <w:sz w:val="15"/>
                <w:szCs w:val="15"/>
              </w:rPr>
              <w:t>2009 A/H1N1, 65-99 years</w:t>
            </w:r>
          </w:p>
        </w:tc>
        <w:tc>
          <w:tcPr>
            <w:tcW w:w="3849" w:type="dxa"/>
            <w:vAlign w:val="bottom"/>
          </w:tcPr>
          <w:p w14:paraId="39DD5072" w14:textId="48DDAB0C" w:rsidR="008352A8" w:rsidRPr="00370A32" w:rsidRDefault="008352A8" w:rsidP="00370A32">
            <w:pPr>
              <w:spacing w:line="288" w:lineRule="auto"/>
              <w:rPr>
                <w:rFonts w:ascii="Arial" w:hAnsi="Arial" w:cs="Arial"/>
                <w:sz w:val="15"/>
                <w:szCs w:val="15"/>
              </w:rPr>
            </w:pPr>
            <w:r w:rsidRPr="00370A32">
              <w:rPr>
                <w:rFonts w:ascii="Arial" w:hAnsi="Arial" w:cs="Arial"/>
                <w:color w:val="000000"/>
                <w:sz w:val="15"/>
                <w:szCs w:val="15"/>
              </w:rPr>
              <w:t>0.00124</w:t>
            </w:r>
          </w:p>
        </w:tc>
        <w:tc>
          <w:tcPr>
            <w:tcW w:w="1050" w:type="dxa"/>
            <w:vMerge/>
          </w:tcPr>
          <w:p w14:paraId="7A63F73C" w14:textId="77777777" w:rsidR="008352A8" w:rsidRPr="00370A32" w:rsidRDefault="008352A8" w:rsidP="00370A32">
            <w:pPr>
              <w:spacing w:line="288" w:lineRule="auto"/>
              <w:rPr>
                <w:rFonts w:ascii="Arial" w:hAnsi="Arial" w:cs="Arial"/>
                <w:sz w:val="15"/>
                <w:szCs w:val="15"/>
              </w:rPr>
            </w:pPr>
          </w:p>
        </w:tc>
      </w:tr>
      <w:tr w:rsidR="008352A8" w:rsidRPr="00370A32" w14:paraId="74FD691B" w14:textId="77777777" w:rsidTr="00DB323B">
        <w:tc>
          <w:tcPr>
            <w:tcW w:w="4111" w:type="dxa"/>
          </w:tcPr>
          <w:p w14:paraId="66C5045C" w14:textId="1B5E5D45" w:rsidR="008352A8" w:rsidRPr="00370A32" w:rsidRDefault="008352A8" w:rsidP="00370A32">
            <w:pPr>
              <w:spacing w:line="288" w:lineRule="auto"/>
              <w:rPr>
                <w:rFonts w:ascii="Arial" w:hAnsi="Arial" w:cs="Arial"/>
                <w:sz w:val="15"/>
                <w:szCs w:val="15"/>
              </w:rPr>
            </w:pPr>
            <w:r w:rsidRPr="00370A32">
              <w:rPr>
                <w:rFonts w:ascii="Arial" w:hAnsi="Arial" w:cs="Arial"/>
                <w:sz w:val="15"/>
                <w:szCs w:val="15"/>
              </w:rPr>
              <w:t>COVID-19, 0-9 years</w:t>
            </w:r>
          </w:p>
        </w:tc>
        <w:tc>
          <w:tcPr>
            <w:tcW w:w="3849" w:type="dxa"/>
            <w:vAlign w:val="bottom"/>
          </w:tcPr>
          <w:p w14:paraId="2F453B27" w14:textId="57899A35" w:rsidR="008352A8" w:rsidRPr="00370A32" w:rsidRDefault="008352A8" w:rsidP="00370A32">
            <w:pPr>
              <w:spacing w:line="288" w:lineRule="auto"/>
              <w:rPr>
                <w:rFonts w:ascii="Arial" w:hAnsi="Arial" w:cs="Arial"/>
                <w:sz w:val="15"/>
                <w:szCs w:val="15"/>
              </w:rPr>
            </w:pPr>
            <w:r w:rsidRPr="00370A32">
              <w:rPr>
                <w:rFonts w:ascii="Arial" w:hAnsi="Arial" w:cs="Arial"/>
                <w:color w:val="000000"/>
                <w:sz w:val="15"/>
                <w:szCs w:val="15"/>
              </w:rPr>
              <w:t>0.001</w:t>
            </w:r>
          </w:p>
        </w:tc>
        <w:tc>
          <w:tcPr>
            <w:tcW w:w="1050" w:type="dxa"/>
            <w:vMerge w:val="restart"/>
          </w:tcPr>
          <w:p w14:paraId="0DFB1911" w14:textId="529E273E" w:rsidR="008352A8" w:rsidRPr="00370A32" w:rsidRDefault="00370A32" w:rsidP="00370A32">
            <w:pPr>
              <w:spacing w:line="288" w:lineRule="auto"/>
              <w:rPr>
                <w:rFonts w:ascii="Arial" w:hAnsi="Arial" w:cs="Arial"/>
                <w:sz w:val="15"/>
                <w:szCs w:val="15"/>
              </w:rPr>
            </w:pPr>
            <w:r w:rsidRPr="00370A32">
              <w:rPr>
                <w:rFonts w:ascii="Arial" w:hAnsi="Arial" w:cs="Arial"/>
                <w:sz w:val="15"/>
                <w:szCs w:val="15"/>
                <w:lang w:val="en-US"/>
              </w:rPr>
              <w:t>Zhang et al., Verity et al, 2020</w:t>
            </w:r>
            <w:r w:rsidR="008352A8" w:rsidRPr="00370A32">
              <w:rPr>
                <w:rFonts w:ascii="Arial" w:hAnsi="Arial" w:cs="Arial"/>
                <w:sz w:val="15"/>
                <w:szCs w:val="15"/>
                <w:lang w:val="en-US"/>
              </w:rPr>
              <w:fldChar w:fldCharType="begin"/>
            </w:r>
            <w:r w:rsidR="000B5579">
              <w:rPr>
                <w:rFonts w:ascii="Arial" w:hAnsi="Arial" w:cs="Arial"/>
                <w:sz w:val="15"/>
                <w:szCs w:val="15"/>
                <w:lang w:val="en-US"/>
              </w:rPr>
              <w:instrText xml:space="preserve"> ADDIN ZOTERO_ITEM CSL_CITATION {"citationID":"a2ovu1vjnj","properties":{"formattedCitation":"\\super 18,32\\nosupersub{}","plainCitation":"18,32","noteIndex":0},"citationItems":[{"id":106,"uris":["http://zotero.org/users/local/0pdZPGmr/items/TC6DZ35V","http://zotero.org/users/9596130/items/TC6DZ35V"],"itemData":{"id":106,"type":"article-journal","abstract":"The coronavirus 2019 (COVID-19) pandemic has brought tighter restrictions on the daily lives of millions of people, but we do not yet understand what measures are the most effective. Zhang et al. modeled virus transmission in Wuhan, China, in February 2020, investigating the effects of interventions ranging from patient management to social isolation. Age-mixing patterns were estimated by contact surveys conducted in Wuhan and Shanghai at the beginning of February 2020. Once people reduced their average daily contacts from 14 to 20 down to 2, transmission rapidly fell below the epidemic threshold. The model also showed that preemptive school closures helped to reduce transmission, although alone they would not prevent a COVID-19 outbreak. Limiting human mixing to within households appeared to be the most effective measure. Science, this issue p. 1481 Reducing social contacts on the scale achieved in Wuhan and Shanghai in early 2020 could be sufficient to bring a COVID-19 outbreak under control. Intense nonpharmaceutical interventions were put in place in China to stop transmission of the novel coronavirus disease 2019 (COVID-19). As transmission intensifies in other countries, the interplay between age, contact patterns, social distancing, susceptibility to infection, and COVID-19 dynamics remains unclear. To answer these questions, we analyze contact survey data for Wuhan and Shanghai before and during the outbreak and contact-tracing information from Hunan province. Daily contacts were reduced seven- to eightfold during the COVID-19 social distancing period, with most interactions restricted to the household. We find that children 0 to 14 years of age are less susceptible to severe acute respiratory syndrome coronavirus 2 (SARS-CoV-2) infection than adults 15 to 64 years of age (odds ratio 0.34, 95% confidence interval 0.24 to 0.49), whereas individuals more than 65 years of age are more susceptible to infection (odds ratio 1.47, 95% confidence interval 1.12 to 1.92). Based on these data, we built a transmission model to study the impact of social distancing and school closure on transmission. We find that social distancing alone, as implemented in China during the outbreak, is sufficient to control COVID-19. Although proactive school closures cannot interrupt transmission on their own, they can reduce peak incidence by 40 to 60% and delay the epidemic.","container-title":"Science","DOI":"10.1126/science.abb8001","issue":"6498","journalAbbreviation":"Science","note":"publisher: American Association for the Advancement of Science","page":"1481-1486","title":"Changes in contact patterns shape the dynamics of the COVID-19 outbreak in China","volume":"368","author":[{"family":"Zhang","given":"Juanjuan"},{"family":"Litvinova","given":"Maria"},{"family":"Liang","given":"Yuxia"},{"family":"Wang","given":"Yan"},{"family":"Wang","given":"Wei"},{"family":"Zhao","given":"Shanlu"},{"family":"Wu","given":"Qianhui"},{"family":"Merler","given":"Stefano"},{"family":"Viboud","given":"Cécile"},{"family":"Vespignani","given":"Alessandro"},{"family":"Ajelli","given":"Marco"},{"family":"Yu","given":"Hongjie"}],"issued":{"date-parts":[["2020",6,26]]}}},{"id":193,"uris":["http://zotero.org/users/local/0pdZPGmr/items/PTFSEJUA","http://zotero.org/users/9596130/items/PTFSEJUA"],"itemData":{"id":193,"type":"article-journal","container-title":"The Lancet Infectious Diseases","DOI":"10.1016/S1473-3099(20)30243-7","ISSN":"1473-3099","issue":"6","note":"publisher: Elsevier","page":"669-677","title":"Estimates of the severity of coronavirus disease 2019: a model-based analysis","volume":"20","author":[{"family":"Verity","given":"Robert"},{"family":"Okell","given":"Lucy C"},{"family":"Dorigatti","given":"Ilaria"},{"family":"Winskill","given":"Peter"},{"family":"Whittaker","given":"Charles"},{"family":"Imai","given":"Natsuko"},{"family":"Cuomo-Dannenburg","given":"Gina"},{"family":"Thompson","given":"Hayley"},{"family":"Walker","given":"Patrick G T"},{"family":"Fu","given":"Han"},{"family":"Dighe","given":"Amy"},{"family":"Griffin","given":"Jamie T"},{"family":"Baguelin","given":"Marc"},{"family":"Bhatia","given":"Sangeeta"},{"family":"Boonyasiri","given":"Adhiratha"},{"family":"Cori","given":"Anne"},{"family":"Cucunubá","given":"Zulma"},{"family":"FitzJohn","given":"Rich"},{"family":"Gaythorpe","given":"Katy"},{"family":"Green","given":"Will"},{"family":"Hamlet","given":"Arran"},{"family":"Hinsley","given":"Wes"},{"family":"Laydon","given":"Daniel"},{"family":"Nedjati-Gilani","given":"Gemma"},{"family":"Riley","given":"Steven"},{"family":"Elsland","given":"Sabine","non-dropping-particle":"van"},{"family":"Volz","given":"Erik"},{"family":"Wang","given":"Haowei"},{"family":"Wang","given":"Yuanrong"},{"family":"Xi","given":"Xiaoyue"},{"family":"Donnelly","given":"Christl A"},{"family":"Ghani","given":"Azra C"},{"family":"Ferguson","given":"Neil M"}],"issued":{"date-parts":[["2020",6,1]]}}}],"schema":"https://github.com/citation-style-language/schema/raw/master/csl-citation.json"} </w:instrText>
            </w:r>
            <w:r w:rsidR="008352A8" w:rsidRPr="00370A32">
              <w:rPr>
                <w:rFonts w:ascii="Arial" w:hAnsi="Arial" w:cs="Arial"/>
                <w:sz w:val="15"/>
                <w:szCs w:val="15"/>
                <w:lang w:val="en-US"/>
              </w:rPr>
              <w:fldChar w:fldCharType="separate"/>
            </w:r>
            <w:r w:rsidR="000B5579" w:rsidRPr="000B5579">
              <w:rPr>
                <w:rFonts w:ascii="Arial" w:hAnsi="Arial" w:cs="Arial"/>
                <w:sz w:val="15"/>
                <w:vertAlign w:val="superscript"/>
                <w:lang w:val="en-US"/>
              </w:rPr>
              <w:t>18,32</w:t>
            </w:r>
            <w:r w:rsidR="008352A8" w:rsidRPr="00370A32">
              <w:rPr>
                <w:rFonts w:ascii="Arial" w:hAnsi="Arial" w:cs="Arial"/>
                <w:sz w:val="15"/>
                <w:szCs w:val="15"/>
                <w:lang w:val="en-US"/>
              </w:rPr>
              <w:fldChar w:fldCharType="end"/>
            </w:r>
          </w:p>
        </w:tc>
      </w:tr>
      <w:tr w:rsidR="008352A8" w:rsidRPr="00370A32" w14:paraId="2061B1AB" w14:textId="77777777" w:rsidTr="00DB323B">
        <w:tc>
          <w:tcPr>
            <w:tcW w:w="4111" w:type="dxa"/>
          </w:tcPr>
          <w:p w14:paraId="38B61909" w14:textId="6200F04C" w:rsidR="008352A8" w:rsidRPr="00370A32" w:rsidRDefault="008352A8" w:rsidP="00370A32">
            <w:pPr>
              <w:spacing w:line="288" w:lineRule="auto"/>
              <w:rPr>
                <w:rFonts w:ascii="Arial" w:hAnsi="Arial" w:cs="Arial"/>
                <w:sz w:val="15"/>
                <w:szCs w:val="15"/>
              </w:rPr>
            </w:pPr>
            <w:r w:rsidRPr="00370A32">
              <w:rPr>
                <w:rFonts w:ascii="Arial" w:hAnsi="Arial" w:cs="Arial"/>
                <w:sz w:val="15"/>
                <w:szCs w:val="15"/>
              </w:rPr>
              <w:t>COVID-19, 10-19 years</w:t>
            </w:r>
          </w:p>
        </w:tc>
        <w:tc>
          <w:tcPr>
            <w:tcW w:w="3849" w:type="dxa"/>
            <w:vAlign w:val="bottom"/>
          </w:tcPr>
          <w:p w14:paraId="3CEB3B39" w14:textId="5B518E5C" w:rsidR="008352A8" w:rsidRPr="00370A32" w:rsidRDefault="008352A8" w:rsidP="00370A32">
            <w:pPr>
              <w:spacing w:line="288" w:lineRule="auto"/>
              <w:rPr>
                <w:rFonts w:ascii="Arial" w:hAnsi="Arial" w:cs="Arial"/>
                <w:sz w:val="15"/>
                <w:szCs w:val="15"/>
              </w:rPr>
            </w:pPr>
            <w:r w:rsidRPr="00370A32">
              <w:rPr>
                <w:rFonts w:ascii="Arial" w:hAnsi="Arial" w:cs="Arial"/>
                <w:color w:val="000000"/>
                <w:sz w:val="15"/>
                <w:szCs w:val="15"/>
              </w:rPr>
              <w:t>0.003</w:t>
            </w:r>
          </w:p>
        </w:tc>
        <w:tc>
          <w:tcPr>
            <w:tcW w:w="1050" w:type="dxa"/>
            <w:vMerge/>
          </w:tcPr>
          <w:p w14:paraId="274BC217" w14:textId="77777777" w:rsidR="008352A8" w:rsidRPr="00370A32" w:rsidRDefault="008352A8" w:rsidP="00370A32">
            <w:pPr>
              <w:spacing w:line="288" w:lineRule="auto"/>
              <w:rPr>
                <w:rFonts w:ascii="Arial" w:hAnsi="Arial" w:cs="Arial"/>
                <w:sz w:val="15"/>
                <w:szCs w:val="15"/>
              </w:rPr>
            </w:pPr>
          </w:p>
        </w:tc>
      </w:tr>
      <w:tr w:rsidR="008352A8" w:rsidRPr="00370A32" w14:paraId="5DFEB869" w14:textId="77777777" w:rsidTr="00DB323B">
        <w:tc>
          <w:tcPr>
            <w:tcW w:w="4111" w:type="dxa"/>
          </w:tcPr>
          <w:p w14:paraId="5EE9A145" w14:textId="4389FC8C" w:rsidR="008352A8" w:rsidRPr="00370A32" w:rsidRDefault="008352A8" w:rsidP="00370A32">
            <w:pPr>
              <w:spacing w:line="288" w:lineRule="auto"/>
              <w:rPr>
                <w:rFonts w:ascii="Arial" w:hAnsi="Arial" w:cs="Arial"/>
                <w:sz w:val="15"/>
                <w:szCs w:val="15"/>
              </w:rPr>
            </w:pPr>
            <w:r w:rsidRPr="00370A32">
              <w:rPr>
                <w:rFonts w:ascii="Arial" w:hAnsi="Arial" w:cs="Arial"/>
                <w:sz w:val="15"/>
                <w:szCs w:val="15"/>
              </w:rPr>
              <w:t>COVID-19, 20-29 years</w:t>
            </w:r>
          </w:p>
        </w:tc>
        <w:tc>
          <w:tcPr>
            <w:tcW w:w="3849" w:type="dxa"/>
            <w:vAlign w:val="bottom"/>
          </w:tcPr>
          <w:p w14:paraId="43DCBE17" w14:textId="7C82999C" w:rsidR="008352A8" w:rsidRPr="00370A32" w:rsidRDefault="008352A8" w:rsidP="00370A32">
            <w:pPr>
              <w:spacing w:line="288" w:lineRule="auto"/>
              <w:rPr>
                <w:rFonts w:ascii="Arial" w:hAnsi="Arial" w:cs="Arial"/>
                <w:sz w:val="15"/>
                <w:szCs w:val="15"/>
              </w:rPr>
            </w:pPr>
            <w:r w:rsidRPr="00370A32">
              <w:rPr>
                <w:rFonts w:ascii="Arial" w:hAnsi="Arial" w:cs="Arial"/>
                <w:color w:val="000000"/>
                <w:sz w:val="15"/>
                <w:szCs w:val="15"/>
              </w:rPr>
              <w:t>0.012</w:t>
            </w:r>
          </w:p>
        </w:tc>
        <w:tc>
          <w:tcPr>
            <w:tcW w:w="1050" w:type="dxa"/>
            <w:vMerge/>
          </w:tcPr>
          <w:p w14:paraId="06755306" w14:textId="77777777" w:rsidR="008352A8" w:rsidRPr="00370A32" w:rsidRDefault="008352A8" w:rsidP="00370A32">
            <w:pPr>
              <w:spacing w:line="288" w:lineRule="auto"/>
              <w:rPr>
                <w:rFonts w:ascii="Arial" w:hAnsi="Arial" w:cs="Arial"/>
                <w:sz w:val="15"/>
                <w:szCs w:val="15"/>
              </w:rPr>
            </w:pPr>
          </w:p>
        </w:tc>
      </w:tr>
      <w:tr w:rsidR="008352A8" w:rsidRPr="00370A32" w14:paraId="2CB6A544" w14:textId="77777777" w:rsidTr="00DB323B">
        <w:tc>
          <w:tcPr>
            <w:tcW w:w="4111" w:type="dxa"/>
          </w:tcPr>
          <w:p w14:paraId="0FF58CEF" w14:textId="5D9B6A28" w:rsidR="008352A8" w:rsidRPr="00370A32" w:rsidRDefault="008352A8" w:rsidP="00370A32">
            <w:pPr>
              <w:spacing w:line="288" w:lineRule="auto"/>
              <w:rPr>
                <w:rFonts w:ascii="Arial" w:hAnsi="Arial" w:cs="Arial"/>
                <w:sz w:val="15"/>
                <w:szCs w:val="15"/>
              </w:rPr>
            </w:pPr>
            <w:r w:rsidRPr="00370A32">
              <w:rPr>
                <w:rFonts w:ascii="Arial" w:hAnsi="Arial" w:cs="Arial"/>
                <w:sz w:val="15"/>
                <w:szCs w:val="15"/>
              </w:rPr>
              <w:t>COVID-19, 30-39 years</w:t>
            </w:r>
          </w:p>
        </w:tc>
        <w:tc>
          <w:tcPr>
            <w:tcW w:w="3849" w:type="dxa"/>
            <w:vAlign w:val="bottom"/>
          </w:tcPr>
          <w:p w14:paraId="5A2C58CE" w14:textId="56B5A1DF" w:rsidR="008352A8" w:rsidRPr="00370A32" w:rsidRDefault="008352A8" w:rsidP="00370A32">
            <w:pPr>
              <w:spacing w:line="288" w:lineRule="auto"/>
              <w:rPr>
                <w:rFonts w:ascii="Arial" w:hAnsi="Arial" w:cs="Arial"/>
                <w:sz w:val="15"/>
                <w:szCs w:val="15"/>
              </w:rPr>
            </w:pPr>
            <w:r w:rsidRPr="00370A32">
              <w:rPr>
                <w:rFonts w:ascii="Arial" w:hAnsi="Arial" w:cs="Arial"/>
                <w:color w:val="000000"/>
                <w:sz w:val="15"/>
                <w:szCs w:val="15"/>
              </w:rPr>
              <w:t>0.032</w:t>
            </w:r>
          </w:p>
        </w:tc>
        <w:tc>
          <w:tcPr>
            <w:tcW w:w="1050" w:type="dxa"/>
            <w:vMerge/>
          </w:tcPr>
          <w:p w14:paraId="7257C893" w14:textId="77777777" w:rsidR="008352A8" w:rsidRPr="00370A32" w:rsidRDefault="008352A8" w:rsidP="00370A32">
            <w:pPr>
              <w:spacing w:line="288" w:lineRule="auto"/>
              <w:rPr>
                <w:rFonts w:ascii="Arial" w:hAnsi="Arial" w:cs="Arial"/>
                <w:sz w:val="15"/>
                <w:szCs w:val="15"/>
              </w:rPr>
            </w:pPr>
          </w:p>
        </w:tc>
      </w:tr>
      <w:tr w:rsidR="008352A8" w:rsidRPr="00370A32" w14:paraId="5B994085" w14:textId="77777777" w:rsidTr="00DB323B">
        <w:tc>
          <w:tcPr>
            <w:tcW w:w="4111" w:type="dxa"/>
          </w:tcPr>
          <w:p w14:paraId="75EEF0E6" w14:textId="0F517FEE" w:rsidR="008352A8" w:rsidRPr="00370A32" w:rsidRDefault="008352A8" w:rsidP="00370A32">
            <w:pPr>
              <w:spacing w:line="288" w:lineRule="auto"/>
              <w:rPr>
                <w:rFonts w:ascii="Arial" w:hAnsi="Arial" w:cs="Arial"/>
                <w:sz w:val="15"/>
                <w:szCs w:val="15"/>
              </w:rPr>
            </w:pPr>
            <w:r w:rsidRPr="00370A32">
              <w:rPr>
                <w:rFonts w:ascii="Arial" w:hAnsi="Arial" w:cs="Arial"/>
                <w:sz w:val="15"/>
                <w:szCs w:val="15"/>
              </w:rPr>
              <w:t>COVID-19, 40-49 years</w:t>
            </w:r>
          </w:p>
        </w:tc>
        <w:tc>
          <w:tcPr>
            <w:tcW w:w="3849" w:type="dxa"/>
            <w:vAlign w:val="bottom"/>
          </w:tcPr>
          <w:p w14:paraId="6A9CA788" w14:textId="7BA8353E" w:rsidR="008352A8" w:rsidRPr="00370A32" w:rsidRDefault="008352A8" w:rsidP="00370A32">
            <w:pPr>
              <w:spacing w:line="288" w:lineRule="auto"/>
              <w:rPr>
                <w:rFonts w:ascii="Arial" w:hAnsi="Arial" w:cs="Arial"/>
                <w:sz w:val="15"/>
                <w:szCs w:val="15"/>
              </w:rPr>
            </w:pPr>
            <w:r w:rsidRPr="00370A32">
              <w:rPr>
                <w:rFonts w:ascii="Arial" w:hAnsi="Arial" w:cs="Arial"/>
                <w:color w:val="000000"/>
                <w:sz w:val="15"/>
                <w:szCs w:val="15"/>
              </w:rPr>
              <w:t>0.049</w:t>
            </w:r>
          </w:p>
        </w:tc>
        <w:tc>
          <w:tcPr>
            <w:tcW w:w="1050" w:type="dxa"/>
            <w:vMerge/>
          </w:tcPr>
          <w:p w14:paraId="16D3EF8A" w14:textId="77777777" w:rsidR="008352A8" w:rsidRPr="00370A32" w:rsidRDefault="008352A8" w:rsidP="00370A32">
            <w:pPr>
              <w:spacing w:line="288" w:lineRule="auto"/>
              <w:rPr>
                <w:rFonts w:ascii="Arial" w:hAnsi="Arial" w:cs="Arial"/>
                <w:sz w:val="15"/>
                <w:szCs w:val="15"/>
              </w:rPr>
            </w:pPr>
          </w:p>
        </w:tc>
      </w:tr>
      <w:tr w:rsidR="008352A8" w:rsidRPr="00370A32" w14:paraId="2BF8C9BB" w14:textId="77777777" w:rsidTr="00DB323B">
        <w:tc>
          <w:tcPr>
            <w:tcW w:w="4111" w:type="dxa"/>
          </w:tcPr>
          <w:p w14:paraId="214D21C8" w14:textId="1B02D7DD" w:rsidR="008352A8" w:rsidRPr="00370A32" w:rsidRDefault="008352A8" w:rsidP="00370A32">
            <w:pPr>
              <w:spacing w:line="288" w:lineRule="auto"/>
              <w:rPr>
                <w:rFonts w:ascii="Arial" w:hAnsi="Arial" w:cs="Arial"/>
                <w:sz w:val="15"/>
                <w:szCs w:val="15"/>
              </w:rPr>
            </w:pPr>
            <w:r w:rsidRPr="00370A32">
              <w:rPr>
                <w:rFonts w:ascii="Arial" w:hAnsi="Arial" w:cs="Arial"/>
                <w:sz w:val="15"/>
                <w:szCs w:val="15"/>
              </w:rPr>
              <w:t>COVID-19, 50-59 years</w:t>
            </w:r>
          </w:p>
        </w:tc>
        <w:tc>
          <w:tcPr>
            <w:tcW w:w="3849" w:type="dxa"/>
            <w:vAlign w:val="bottom"/>
          </w:tcPr>
          <w:p w14:paraId="2715CBFA" w14:textId="3CE60ADD" w:rsidR="008352A8" w:rsidRPr="00370A32" w:rsidRDefault="008352A8" w:rsidP="00370A32">
            <w:pPr>
              <w:spacing w:line="288" w:lineRule="auto"/>
              <w:rPr>
                <w:rFonts w:ascii="Arial" w:hAnsi="Arial" w:cs="Arial"/>
                <w:sz w:val="15"/>
                <w:szCs w:val="15"/>
              </w:rPr>
            </w:pPr>
            <w:r w:rsidRPr="00370A32">
              <w:rPr>
                <w:rFonts w:ascii="Arial" w:hAnsi="Arial" w:cs="Arial"/>
                <w:color w:val="000000"/>
                <w:sz w:val="15"/>
                <w:szCs w:val="15"/>
              </w:rPr>
              <w:t>0.102</w:t>
            </w:r>
          </w:p>
        </w:tc>
        <w:tc>
          <w:tcPr>
            <w:tcW w:w="1050" w:type="dxa"/>
            <w:vMerge/>
          </w:tcPr>
          <w:p w14:paraId="0A3EF2E4" w14:textId="77777777" w:rsidR="008352A8" w:rsidRPr="00370A32" w:rsidRDefault="008352A8" w:rsidP="00370A32">
            <w:pPr>
              <w:spacing w:line="288" w:lineRule="auto"/>
              <w:rPr>
                <w:rFonts w:ascii="Arial" w:hAnsi="Arial" w:cs="Arial"/>
                <w:sz w:val="15"/>
                <w:szCs w:val="15"/>
              </w:rPr>
            </w:pPr>
          </w:p>
        </w:tc>
      </w:tr>
      <w:tr w:rsidR="008352A8" w:rsidRPr="00370A32" w14:paraId="36107FB7" w14:textId="77777777" w:rsidTr="00370A32">
        <w:tc>
          <w:tcPr>
            <w:tcW w:w="4111" w:type="dxa"/>
          </w:tcPr>
          <w:p w14:paraId="15A127A7" w14:textId="015FE8C5" w:rsidR="008352A8" w:rsidRPr="00370A32" w:rsidRDefault="008352A8" w:rsidP="00370A32">
            <w:pPr>
              <w:spacing w:line="288" w:lineRule="auto"/>
              <w:rPr>
                <w:rFonts w:ascii="Arial" w:hAnsi="Arial" w:cs="Arial"/>
                <w:sz w:val="15"/>
                <w:szCs w:val="15"/>
              </w:rPr>
            </w:pPr>
            <w:r w:rsidRPr="00370A32">
              <w:rPr>
                <w:rFonts w:ascii="Arial" w:hAnsi="Arial" w:cs="Arial"/>
                <w:sz w:val="15"/>
                <w:szCs w:val="15"/>
              </w:rPr>
              <w:t>COVID-19, 60-69 years</w:t>
            </w:r>
          </w:p>
        </w:tc>
        <w:tc>
          <w:tcPr>
            <w:tcW w:w="3849" w:type="dxa"/>
            <w:vAlign w:val="bottom"/>
          </w:tcPr>
          <w:p w14:paraId="627AF879" w14:textId="1B8673A6" w:rsidR="008352A8" w:rsidRPr="00370A32" w:rsidRDefault="008352A8" w:rsidP="00370A32">
            <w:pPr>
              <w:spacing w:line="288" w:lineRule="auto"/>
              <w:rPr>
                <w:rFonts w:ascii="Arial" w:hAnsi="Arial" w:cs="Arial"/>
                <w:sz w:val="15"/>
                <w:szCs w:val="15"/>
              </w:rPr>
            </w:pPr>
            <w:r w:rsidRPr="00370A32">
              <w:rPr>
                <w:rFonts w:ascii="Arial" w:hAnsi="Arial" w:cs="Arial"/>
                <w:color w:val="000000"/>
                <w:sz w:val="15"/>
                <w:szCs w:val="15"/>
              </w:rPr>
              <w:t>0.166</w:t>
            </w:r>
          </w:p>
        </w:tc>
        <w:tc>
          <w:tcPr>
            <w:tcW w:w="1050" w:type="dxa"/>
            <w:vMerge/>
          </w:tcPr>
          <w:p w14:paraId="229B2CC0" w14:textId="77777777" w:rsidR="008352A8" w:rsidRPr="00370A32" w:rsidRDefault="008352A8" w:rsidP="00370A32">
            <w:pPr>
              <w:spacing w:line="288" w:lineRule="auto"/>
              <w:rPr>
                <w:rFonts w:ascii="Arial" w:hAnsi="Arial" w:cs="Arial"/>
                <w:sz w:val="15"/>
                <w:szCs w:val="15"/>
              </w:rPr>
            </w:pPr>
          </w:p>
        </w:tc>
      </w:tr>
      <w:tr w:rsidR="008352A8" w:rsidRPr="00370A32" w14:paraId="372420B6" w14:textId="77777777" w:rsidTr="00DB323B">
        <w:tc>
          <w:tcPr>
            <w:tcW w:w="4111" w:type="dxa"/>
          </w:tcPr>
          <w:p w14:paraId="320071A3" w14:textId="3A0E420C" w:rsidR="008352A8" w:rsidRPr="00370A32" w:rsidRDefault="008352A8" w:rsidP="00370A32">
            <w:pPr>
              <w:spacing w:line="288" w:lineRule="auto"/>
              <w:rPr>
                <w:rFonts w:ascii="Arial" w:hAnsi="Arial" w:cs="Arial"/>
                <w:sz w:val="15"/>
                <w:szCs w:val="15"/>
              </w:rPr>
            </w:pPr>
            <w:r w:rsidRPr="00370A32">
              <w:rPr>
                <w:rFonts w:ascii="Arial" w:hAnsi="Arial" w:cs="Arial"/>
                <w:sz w:val="15"/>
                <w:szCs w:val="15"/>
              </w:rPr>
              <w:t>COVID-19, 70-79 years</w:t>
            </w:r>
          </w:p>
        </w:tc>
        <w:tc>
          <w:tcPr>
            <w:tcW w:w="3849" w:type="dxa"/>
            <w:vAlign w:val="bottom"/>
          </w:tcPr>
          <w:p w14:paraId="5614521B" w14:textId="4087D82E" w:rsidR="008352A8" w:rsidRPr="00370A32" w:rsidRDefault="008352A8" w:rsidP="00370A32">
            <w:pPr>
              <w:spacing w:line="288" w:lineRule="auto"/>
              <w:rPr>
                <w:rFonts w:ascii="Arial" w:hAnsi="Arial" w:cs="Arial"/>
                <w:sz w:val="15"/>
                <w:szCs w:val="15"/>
              </w:rPr>
            </w:pPr>
            <w:r w:rsidRPr="00370A32">
              <w:rPr>
                <w:rFonts w:ascii="Arial" w:hAnsi="Arial" w:cs="Arial"/>
                <w:color w:val="000000"/>
                <w:sz w:val="15"/>
                <w:szCs w:val="15"/>
              </w:rPr>
              <w:t>0.243</w:t>
            </w:r>
          </w:p>
        </w:tc>
        <w:tc>
          <w:tcPr>
            <w:tcW w:w="1050" w:type="dxa"/>
            <w:vMerge/>
          </w:tcPr>
          <w:p w14:paraId="649EB21E" w14:textId="77777777" w:rsidR="008352A8" w:rsidRPr="00370A32" w:rsidRDefault="008352A8" w:rsidP="00370A32">
            <w:pPr>
              <w:spacing w:line="288" w:lineRule="auto"/>
              <w:rPr>
                <w:rFonts w:ascii="Arial" w:hAnsi="Arial" w:cs="Arial"/>
                <w:sz w:val="15"/>
                <w:szCs w:val="15"/>
              </w:rPr>
            </w:pPr>
          </w:p>
        </w:tc>
      </w:tr>
      <w:tr w:rsidR="008352A8" w:rsidRPr="00370A32" w14:paraId="1033FAEF" w14:textId="77777777" w:rsidTr="00370A32">
        <w:tc>
          <w:tcPr>
            <w:tcW w:w="4111" w:type="dxa"/>
            <w:tcBorders>
              <w:bottom w:val="single" w:sz="4" w:space="0" w:color="auto"/>
            </w:tcBorders>
          </w:tcPr>
          <w:p w14:paraId="030F956C" w14:textId="74EB4239" w:rsidR="008352A8" w:rsidRPr="00370A32" w:rsidRDefault="008352A8" w:rsidP="00370A32">
            <w:pPr>
              <w:spacing w:line="288" w:lineRule="auto"/>
              <w:rPr>
                <w:rFonts w:ascii="Arial" w:hAnsi="Arial" w:cs="Arial"/>
                <w:sz w:val="15"/>
                <w:szCs w:val="15"/>
              </w:rPr>
            </w:pPr>
            <w:r w:rsidRPr="00370A32">
              <w:rPr>
                <w:rFonts w:ascii="Arial" w:hAnsi="Arial" w:cs="Arial"/>
                <w:sz w:val="15"/>
                <w:szCs w:val="15"/>
              </w:rPr>
              <w:t>COVID-19, 80-99 years</w:t>
            </w:r>
          </w:p>
        </w:tc>
        <w:tc>
          <w:tcPr>
            <w:tcW w:w="3849" w:type="dxa"/>
            <w:tcBorders>
              <w:bottom w:val="single" w:sz="4" w:space="0" w:color="auto"/>
            </w:tcBorders>
            <w:vAlign w:val="bottom"/>
          </w:tcPr>
          <w:p w14:paraId="07E3F7F3" w14:textId="5765456C" w:rsidR="008352A8" w:rsidRPr="00370A32" w:rsidRDefault="008352A8" w:rsidP="00370A32">
            <w:pPr>
              <w:spacing w:line="288" w:lineRule="auto"/>
              <w:rPr>
                <w:rFonts w:ascii="Arial" w:hAnsi="Arial" w:cs="Arial"/>
                <w:sz w:val="15"/>
                <w:szCs w:val="15"/>
              </w:rPr>
            </w:pPr>
            <w:r w:rsidRPr="00370A32">
              <w:rPr>
                <w:rFonts w:ascii="Arial" w:hAnsi="Arial" w:cs="Arial"/>
                <w:color w:val="000000"/>
                <w:sz w:val="15"/>
                <w:szCs w:val="15"/>
              </w:rPr>
              <w:t>0.273</w:t>
            </w:r>
          </w:p>
        </w:tc>
        <w:tc>
          <w:tcPr>
            <w:tcW w:w="1050" w:type="dxa"/>
            <w:vMerge/>
            <w:tcBorders>
              <w:bottom w:val="single" w:sz="4" w:space="0" w:color="auto"/>
            </w:tcBorders>
          </w:tcPr>
          <w:p w14:paraId="4FABE318" w14:textId="77777777" w:rsidR="008352A8" w:rsidRPr="00370A32" w:rsidRDefault="008352A8" w:rsidP="00370A32">
            <w:pPr>
              <w:spacing w:line="288" w:lineRule="auto"/>
              <w:rPr>
                <w:rFonts w:ascii="Arial" w:hAnsi="Arial" w:cs="Arial"/>
                <w:sz w:val="15"/>
                <w:szCs w:val="15"/>
                <w:lang w:val="en-US"/>
              </w:rPr>
            </w:pPr>
          </w:p>
        </w:tc>
      </w:tr>
      <w:tr w:rsidR="00370A32" w:rsidRPr="00370A32" w14:paraId="219E05B8" w14:textId="77777777" w:rsidTr="00370A32">
        <w:tc>
          <w:tcPr>
            <w:tcW w:w="4111" w:type="dxa"/>
            <w:tcBorders>
              <w:top w:val="single" w:sz="4" w:space="0" w:color="auto"/>
              <w:bottom w:val="single" w:sz="4" w:space="0" w:color="auto"/>
            </w:tcBorders>
          </w:tcPr>
          <w:p w14:paraId="3BCF25BB" w14:textId="717ACA33" w:rsidR="00370A32" w:rsidRPr="00370A32" w:rsidRDefault="00370A32" w:rsidP="00370A32">
            <w:pPr>
              <w:spacing w:line="288" w:lineRule="auto"/>
              <w:rPr>
                <w:rFonts w:ascii="Arial" w:hAnsi="Arial" w:cs="Arial"/>
                <w:i/>
                <w:sz w:val="15"/>
                <w:szCs w:val="15"/>
              </w:rPr>
            </w:pPr>
            <w:r w:rsidRPr="00370A32">
              <w:rPr>
                <w:rFonts w:ascii="Arial" w:hAnsi="Arial" w:cs="Arial"/>
                <w:i/>
                <w:sz w:val="15"/>
                <w:szCs w:val="15"/>
              </w:rPr>
              <w:t>Basic reproduction number (</w:t>
            </w:r>
            <m:oMath>
              <m:sSub>
                <m:sSubPr>
                  <m:ctrlPr>
                    <w:rPr>
                      <w:rFonts w:ascii="Cambria Math" w:hAnsi="Cambria Math" w:cs="Arial"/>
                      <w:i/>
                      <w:sz w:val="15"/>
                      <w:szCs w:val="15"/>
                    </w:rPr>
                  </m:ctrlPr>
                </m:sSubPr>
                <m:e>
                  <m:r>
                    <w:rPr>
                      <w:rFonts w:ascii="Cambria Math" w:hAnsi="Cambria Math" w:cs="Arial"/>
                      <w:sz w:val="15"/>
                      <w:szCs w:val="15"/>
                    </w:rPr>
                    <m:t>R</m:t>
                  </m:r>
                </m:e>
                <m:sub>
                  <m:r>
                    <w:rPr>
                      <w:rFonts w:ascii="Cambria Math" w:hAnsi="Cambria Math" w:cs="Arial"/>
                      <w:sz w:val="15"/>
                      <w:szCs w:val="15"/>
                    </w:rPr>
                    <m:t>0</m:t>
                  </m:r>
                </m:sub>
              </m:sSub>
            </m:oMath>
            <w:r w:rsidRPr="00370A32">
              <w:rPr>
                <w:rFonts w:ascii="Arial" w:hAnsi="Arial" w:cs="Arial"/>
                <w:i/>
                <w:sz w:val="15"/>
                <w:szCs w:val="15"/>
              </w:rPr>
              <w:t>)</w:t>
            </w:r>
          </w:p>
        </w:tc>
        <w:tc>
          <w:tcPr>
            <w:tcW w:w="3849" w:type="dxa"/>
            <w:tcBorders>
              <w:top w:val="single" w:sz="4" w:space="0" w:color="auto"/>
              <w:bottom w:val="single" w:sz="4" w:space="0" w:color="auto"/>
            </w:tcBorders>
          </w:tcPr>
          <w:p w14:paraId="14E75C2A" w14:textId="77777777" w:rsidR="00370A32" w:rsidRPr="00370A32" w:rsidRDefault="00370A32" w:rsidP="00370A32">
            <w:pPr>
              <w:spacing w:line="288" w:lineRule="auto"/>
              <w:rPr>
                <w:rFonts w:ascii="Arial" w:hAnsi="Arial" w:cs="Arial"/>
                <w:i/>
                <w:sz w:val="15"/>
                <w:szCs w:val="15"/>
              </w:rPr>
            </w:pPr>
          </w:p>
        </w:tc>
        <w:tc>
          <w:tcPr>
            <w:tcW w:w="1050" w:type="dxa"/>
            <w:tcBorders>
              <w:top w:val="single" w:sz="4" w:space="0" w:color="auto"/>
              <w:bottom w:val="single" w:sz="4" w:space="0" w:color="auto"/>
            </w:tcBorders>
          </w:tcPr>
          <w:p w14:paraId="0AC779F3" w14:textId="77777777" w:rsidR="00370A32" w:rsidRPr="00370A32" w:rsidRDefault="00370A32" w:rsidP="00370A32">
            <w:pPr>
              <w:spacing w:line="288" w:lineRule="auto"/>
              <w:rPr>
                <w:rFonts w:ascii="Arial" w:hAnsi="Arial" w:cs="Arial"/>
                <w:i/>
                <w:sz w:val="15"/>
                <w:szCs w:val="15"/>
                <w:lang w:val="en-US"/>
              </w:rPr>
            </w:pPr>
          </w:p>
        </w:tc>
      </w:tr>
      <w:tr w:rsidR="00370A32" w:rsidRPr="00370A32" w14:paraId="48C77FCE" w14:textId="77777777" w:rsidTr="00370A32">
        <w:tc>
          <w:tcPr>
            <w:tcW w:w="4111" w:type="dxa"/>
            <w:tcBorders>
              <w:top w:val="single" w:sz="4" w:space="0" w:color="auto"/>
            </w:tcBorders>
          </w:tcPr>
          <w:p w14:paraId="56F6E438" w14:textId="339C7E70" w:rsidR="00370A32" w:rsidRPr="00370A32" w:rsidRDefault="00370A32" w:rsidP="00370A32">
            <w:pPr>
              <w:spacing w:line="288" w:lineRule="auto"/>
              <w:rPr>
                <w:rFonts w:ascii="Arial" w:hAnsi="Arial" w:cs="Arial"/>
                <w:sz w:val="15"/>
                <w:szCs w:val="15"/>
              </w:rPr>
            </w:pPr>
            <w:r w:rsidRPr="00370A32">
              <w:rPr>
                <w:rFonts w:ascii="Arial" w:hAnsi="Arial" w:cs="Arial"/>
                <w:sz w:val="15"/>
                <w:szCs w:val="15"/>
              </w:rPr>
              <w:t>1918 A/H1N1</w:t>
            </w:r>
          </w:p>
        </w:tc>
        <w:tc>
          <w:tcPr>
            <w:tcW w:w="3849" w:type="dxa"/>
            <w:tcBorders>
              <w:top w:val="single" w:sz="4" w:space="0" w:color="auto"/>
            </w:tcBorders>
          </w:tcPr>
          <w:p w14:paraId="589E0EBC" w14:textId="47548C06" w:rsidR="00370A32" w:rsidRPr="00370A32" w:rsidRDefault="00370A32" w:rsidP="00370A32">
            <w:pPr>
              <w:spacing w:line="288" w:lineRule="auto"/>
              <w:rPr>
                <w:rFonts w:ascii="Arial" w:hAnsi="Arial" w:cs="Arial"/>
                <w:sz w:val="15"/>
                <w:szCs w:val="15"/>
              </w:rPr>
            </w:pPr>
            <w:r w:rsidRPr="00370A32">
              <w:rPr>
                <w:rFonts w:ascii="Arial" w:hAnsi="Arial" w:cs="Arial"/>
                <w:sz w:val="15"/>
                <w:szCs w:val="15"/>
              </w:rPr>
              <w:t>2.0</w:t>
            </w:r>
          </w:p>
        </w:tc>
        <w:tc>
          <w:tcPr>
            <w:tcW w:w="1050" w:type="dxa"/>
            <w:vMerge w:val="restart"/>
            <w:tcBorders>
              <w:top w:val="single" w:sz="4" w:space="0" w:color="auto"/>
            </w:tcBorders>
          </w:tcPr>
          <w:p w14:paraId="42A82CB2" w14:textId="7E232725" w:rsidR="00370A32" w:rsidRPr="00370A32" w:rsidRDefault="00370A32" w:rsidP="00370A32">
            <w:pPr>
              <w:spacing w:line="288" w:lineRule="auto"/>
              <w:rPr>
                <w:rFonts w:ascii="Arial" w:hAnsi="Arial" w:cs="Arial"/>
                <w:sz w:val="15"/>
                <w:szCs w:val="15"/>
                <w:lang w:val="en-US"/>
              </w:rPr>
            </w:pPr>
            <w:r w:rsidRPr="00370A32">
              <w:rPr>
                <w:rFonts w:ascii="Arial" w:hAnsi="Arial" w:cs="Arial"/>
                <w:sz w:val="15"/>
                <w:szCs w:val="15"/>
                <w:lang w:val="en-US"/>
              </w:rPr>
              <w:t>Biggerstaff et al., 2014</w:t>
            </w:r>
            <w:r w:rsidRPr="00370A32">
              <w:rPr>
                <w:rFonts w:ascii="Arial" w:hAnsi="Arial" w:cs="Arial"/>
                <w:sz w:val="15"/>
                <w:szCs w:val="15"/>
                <w:lang w:val="en-US"/>
              </w:rPr>
              <w:fldChar w:fldCharType="begin"/>
            </w:r>
            <w:r w:rsidR="000B5579">
              <w:rPr>
                <w:rFonts w:ascii="Arial" w:hAnsi="Arial" w:cs="Arial"/>
                <w:sz w:val="15"/>
                <w:szCs w:val="15"/>
                <w:lang w:val="en-US"/>
              </w:rPr>
              <w:instrText xml:space="preserve"> ADDIN ZOTERO_ITEM CSL_CITATION {"citationID":"RNnYIhD5","properties":{"formattedCitation":"\\super 33\\nosupersub{}","plainCitation":"33","noteIndex":0},"citationItems":[{"id":199,"uris":["http://zotero.org/users/local/0pdZPGmr/items/MGCU7AUS","http://zotero.org/users/9596130/items/MGCU7AUS"],"itemData":{"id":199,"type":"article-journal","abstract":"The potential impact of an influenza pandemic can be assessed by calculating a set of transmissibility parameters, the most important being the reproduction number (R), which is defined as the average number of secondary cases generated per typical infectious case.","container-title":"BMC Infectious Diseases","DOI":"10.1186/1471-2334-14-480","ISSN":"1471-2334","issue":"1","journalAbbreviation":"BMC Infectious Diseases","page":"480","title":"Estimates of the reproduction number for seasonal, pandemic, and zoonotic influenza: a systematic review of the literature","volume":"14","author":[{"family":"Biggerstaff","given":"Matthew"},{"family":"Cauchemez","given":"Simon"},{"family":"Reed","given":"Carrie"},{"family":"Gambhir","given":"Manoj"},{"family":"Finelli","given":"Lyn"}],"issued":{"date-parts":[["2014",9,4]]}}}],"schema":"https://github.com/citation-style-language/schema/raw/master/csl-citation.json"} </w:instrText>
            </w:r>
            <w:r w:rsidRPr="00370A32">
              <w:rPr>
                <w:rFonts w:ascii="Arial" w:hAnsi="Arial" w:cs="Arial"/>
                <w:sz w:val="15"/>
                <w:szCs w:val="15"/>
                <w:lang w:val="en-US"/>
              </w:rPr>
              <w:fldChar w:fldCharType="separate"/>
            </w:r>
            <w:r w:rsidR="000B5579" w:rsidRPr="000B5579">
              <w:rPr>
                <w:rFonts w:ascii="Arial" w:hAnsi="Arial" w:cs="Arial"/>
                <w:sz w:val="15"/>
                <w:vertAlign w:val="superscript"/>
                <w:lang w:val="en-US"/>
              </w:rPr>
              <w:t>33</w:t>
            </w:r>
            <w:r w:rsidRPr="00370A32">
              <w:rPr>
                <w:rFonts w:ascii="Arial" w:hAnsi="Arial" w:cs="Arial"/>
                <w:sz w:val="15"/>
                <w:szCs w:val="15"/>
                <w:lang w:val="en-US"/>
              </w:rPr>
              <w:fldChar w:fldCharType="end"/>
            </w:r>
          </w:p>
        </w:tc>
      </w:tr>
      <w:tr w:rsidR="00370A32" w:rsidRPr="00370A32" w14:paraId="0AB977BC" w14:textId="77777777" w:rsidTr="00370A32">
        <w:tc>
          <w:tcPr>
            <w:tcW w:w="4111" w:type="dxa"/>
          </w:tcPr>
          <w:p w14:paraId="287EE531" w14:textId="11C304B2" w:rsidR="00370A32" w:rsidRPr="00370A32" w:rsidRDefault="00370A32" w:rsidP="00370A32">
            <w:pPr>
              <w:spacing w:line="288" w:lineRule="auto"/>
              <w:rPr>
                <w:rFonts w:ascii="Arial" w:hAnsi="Arial" w:cs="Arial"/>
                <w:sz w:val="15"/>
                <w:szCs w:val="15"/>
              </w:rPr>
            </w:pPr>
            <w:r w:rsidRPr="00370A32">
              <w:rPr>
                <w:rFonts w:ascii="Arial" w:hAnsi="Arial" w:cs="Arial"/>
                <w:sz w:val="15"/>
                <w:szCs w:val="15"/>
              </w:rPr>
              <w:t>1968 A/H3N2</w:t>
            </w:r>
          </w:p>
        </w:tc>
        <w:tc>
          <w:tcPr>
            <w:tcW w:w="3849" w:type="dxa"/>
          </w:tcPr>
          <w:p w14:paraId="272B5D19" w14:textId="66F49D2E" w:rsidR="00370A32" w:rsidRPr="00370A32" w:rsidRDefault="00370A32" w:rsidP="00370A32">
            <w:pPr>
              <w:spacing w:line="288" w:lineRule="auto"/>
              <w:rPr>
                <w:rFonts w:ascii="Arial" w:hAnsi="Arial" w:cs="Arial"/>
                <w:sz w:val="15"/>
                <w:szCs w:val="15"/>
              </w:rPr>
            </w:pPr>
            <w:r w:rsidRPr="00370A32">
              <w:rPr>
                <w:rFonts w:ascii="Arial" w:hAnsi="Arial" w:cs="Arial"/>
                <w:sz w:val="15"/>
                <w:szCs w:val="15"/>
              </w:rPr>
              <w:t>1.8</w:t>
            </w:r>
          </w:p>
        </w:tc>
        <w:tc>
          <w:tcPr>
            <w:tcW w:w="1050" w:type="dxa"/>
            <w:vMerge/>
          </w:tcPr>
          <w:p w14:paraId="459F48D2" w14:textId="77777777" w:rsidR="00370A32" w:rsidRPr="00370A32" w:rsidRDefault="00370A32" w:rsidP="00370A32">
            <w:pPr>
              <w:spacing w:line="288" w:lineRule="auto"/>
              <w:rPr>
                <w:rFonts w:ascii="Arial" w:hAnsi="Arial" w:cs="Arial"/>
                <w:sz w:val="15"/>
                <w:szCs w:val="15"/>
                <w:lang w:val="en-US"/>
              </w:rPr>
            </w:pPr>
          </w:p>
        </w:tc>
      </w:tr>
      <w:tr w:rsidR="00370A32" w:rsidRPr="00370A32" w14:paraId="15C31A00" w14:textId="77777777" w:rsidTr="00370A32">
        <w:tc>
          <w:tcPr>
            <w:tcW w:w="4111" w:type="dxa"/>
          </w:tcPr>
          <w:p w14:paraId="76B85C38" w14:textId="0CF6A857" w:rsidR="00370A32" w:rsidRPr="00370A32" w:rsidRDefault="00370A32" w:rsidP="00370A32">
            <w:pPr>
              <w:spacing w:line="288" w:lineRule="auto"/>
              <w:rPr>
                <w:rFonts w:ascii="Arial" w:hAnsi="Arial" w:cs="Arial"/>
                <w:sz w:val="15"/>
                <w:szCs w:val="15"/>
              </w:rPr>
            </w:pPr>
            <w:r w:rsidRPr="00370A32">
              <w:rPr>
                <w:rFonts w:ascii="Arial" w:hAnsi="Arial" w:cs="Arial"/>
                <w:sz w:val="15"/>
                <w:szCs w:val="15"/>
              </w:rPr>
              <w:t>2009 A/H1N1</w:t>
            </w:r>
          </w:p>
        </w:tc>
        <w:tc>
          <w:tcPr>
            <w:tcW w:w="3849" w:type="dxa"/>
          </w:tcPr>
          <w:p w14:paraId="19B6CFB9" w14:textId="2C39CB6A" w:rsidR="00370A32" w:rsidRPr="00370A32" w:rsidRDefault="00370A32" w:rsidP="00370A32">
            <w:pPr>
              <w:spacing w:line="288" w:lineRule="auto"/>
              <w:rPr>
                <w:rFonts w:ascii="Arial" w:hAnsi="Arial" w:cs="Arial"/>
                <w:sz w:val="15"/>
                <w:szCs w:val="15"/>
              </w:rPr>
            </w:pPr>
            <w:r w:rsidRPr="00370A32">
              <w:rPr>
                <w:rFonts w:ascii="Arial" w:hAnsi="Arial" w:cs="Arial"/>
                <w:sz w:val="15"/>
                <w:szCs w:val="15"/>
              </w:rPr>
              <w:t>1.5</w:t>
            </w:r>
          </w:p>
        </w:tc>
        <w:tc>
          <w:tcPr>
            <w:tcW w:w="1050" w:type="dxa"/>
            <w:vMerge/>
          </w:tcPr>
          <w:p w14:paraId="154BBDF5" w14:textId="77777777" w:rsidR="00370A32" w:rsidRPr="00370A32" w:rsidRDefault="00370A32" w:rsidP="00370A32">
            <w:pPr>
              <w:spacing w:line="288" w:lineRule="auto"/>
              <w:rPr>
                <w:rFonts w:ascii="Arial" w:hAnsi="Arial" w:cs="Arial"/>
                <w:sz w:val="15"/>
                <w:szCs w:val="15"/>
                <w:lang w:val="en-US"/>
              </w:rPr>
            </w:pPr>
          </w:p>
        </w:tc>
      </w:tr>
      <w:tr w:rsidR="00370A32" w:rsidRPr="00370A32" w14:paraId="7C2E2C4E" w14:textId="77777777" w:rsidTr="00370A32">
        <w:tc>
          <w:tcPr>
            <w:tcW w:w="4111" w:type="dxa"/>
          </w:tcPr>
          <w:p w14:paraId="0725071F" w14:textId="31BDC32C" w:rsidR="00370A32" w:rsidRPr="00370A32" w:rsidRDefault="00370A32" w:rsidP="00370A32">
            <w:pPr>
              <w:spacing w:line="288" w:lineRule="auto"/>
              <w:rPr>
                <w:rFonts w:ascii="Arial" w:hAnsi="Arial" w:cs="Arial"/>
                <w:sz w:val="15"/>
                <w:szCs w:val="15"/>
              </w:rPr>
            </w:pPr>
            <w:r w:rsidRPr="00370A32">
              <w:rPr>
                <w:rFonts w:ascii="Arial" w:hAnsi="Arial" w:cs="Arial"/>
                <w:sz w:val="15"/>
                <w:szCs w:val="15"/>
              </w:rPr>
              <w:t>COVID-19</w:t>
            </w:r>
          </w:p>
        </w:tc>
        <w:tc>
          <w:tcPr>
            <w:tcW w:w="3849" w:type="dxa"/>
          </w:tcPr>
          <w:p w14:paraId="328ED294" w14:textId="478F609F" w:rsidR="00370A32" w:rsidRPr="00370A32" w:rsidRDefault="00370A32" w:rsidP="00370A32">
            <w:pPr>
              <w:spacing w:line="288" w:lineRule="auto"/>
              <w:rPr>
                <w:rFonts w:ascii="Arial" w:hAnsi="Arial" w:cs="Arial"/>
                <w:sz w:val="15"/>
                <w:szCs w:val="15"/>
              </w:rPr>
            </w:pPr>
            <w:r w:rsidRPr="00370A32">
              <w:rPr>
                <w:rFonts w:ascii="Arial" w:hAnsi="Arial" w:cs="Arial"/>
                <w:sz w:val="15"/>
                <w:szCs w:val="15"/>
              </w:rPr>
              <w:t>3.0</w:t>
            </w:r>
          </w:p>
        </w:tc>
        <w:tc>
          <w:tcPr>
            <w:tcW w:w="1050" w:type="dxa"/>
          </w:tcPr>
          <w:p w14:paraId="2C3158F3" w14:textId="4C6657D5" w:rsidR="00370A32" w:rsidRPr="00370A32" w:rsidRDefault="00370A32" w:rsidP="00370A32">
            <w:pPr>
              <w:spacing w:line="288" w:lineRule="auto"/>
              <w:rPr>
                <w:rFonts w:ascii="Arial" w:hAnsi="Arial" w:cs="Arial"/>
                <w:sz w:val="15"/>
                <w:szCs w:val="15"/>
                <w:lang w:val="en-US"/>
              </w:rPr>
            </w:pPr>
            <w:r w:rsidRPr="00370A32">
              <w:rPr>
                <w:rFonts w:ascii="Arial" w:hAnsi="Arial" w:cs="Arial"/>
                <w:sz w:val="15"/>
                <w:szCs w:val="15"/>
                <w:lang w:val="en-US"/>
              </w:rPr>
              <w:t>Zhao et al., 2020</w:t>
            </w:r>
            <w:r w:rsidRPr="00370A32">
              <w:rPr>
                <w:rFonts w:ascii="Arial" w:hAnsi="Arial" w:cs="Arial"/>
                <w:sz w:val="15"/>
                <w:szCs w:val="15"/>
                <w:lang w:val="en-US"/>
              </w:rPr>
              <w:fldChar w:fldCharType="begin"/>
            </w:r>
            <w:r w:rsidR="000B5579">
              <w:rPr>
                <w:rFonts w:ascii="Arial" w:hAnsi="Arial" w:cs="Arial"/>
                <w:sz w:val="15"/>
                <w:szCs w:val="15"/>
                <w:lang w:val="en-US"/>
              </w:rPr>
              <w:instrText xml:space="preserve"> ADDIN ZOTERO_ITEM CSL_CITATION {"citationID":"kkAWAb0K","properties":{"formattedCitation":"\\super 34\\nosupersub{}","plainCitation":"34","noteIndex":0},"citationItems":[{"id":200,"uris":["http://zotero.org/users/local/0pdZPGmr/items/ZPSRUEM6","http://zotero.org/users/9596130/items/ZPSRUEM6"],"itemData":{"id":200,"type":"article-journal","abstract":"Backgrounds\nAn ongoing outbreak of a novel coronavirus (2019-nCoV) pneumonia hit a major city in China, Wuhan, December 2019 and subsequently reached other provinces/regions of China and other countries. We present estimates of the basic reproduction number, R0, of 2019-nCoV in the early phase of the outbreak.\nMethods\nAccounting for the impact of the variations in disease reporting rate, we modelled the epidemic curve of 2019-nCoV cases time series, in mainland China from January 10 to January 24, 2020, through the exponential growth. With the estimated intrinsic growth rate (γ), we estimated R0 by using the serial intervals (SI) of two other well-known coronavirus diseases, MERS and SARS, as approximations for the true unknown SI.\nFindings\nThe early outbreak data largely follows the exponential growth. We estimated that the mean R0 ranges from 2.24 (95%CI: 1.96–2.55) to 3.58 (95%CI: 2.89–4.39) associated with 8-fold to 2-fold increase in the reporting rate. We demonstrated that changes in reporting rate substantially affect estimates of R0.\nConclusion\nThe mean estimate of R0 for the 2019-nCoV ranges from 2.24 to 3.58, and is significantly larger than 1. Our findings indicate the potential of 2019-nCoV to cause outbreaks.","container-title":"International Journal of Infectious Diseases","DOI":"10.1016/j.ijid.2020.01.050","ISSN":"1201-9712","journalAbbreviation":"International Journal of Infectious Diseases","page":"214-217","title":"Preliminary estimation of the basic reproduction number of novel coronavirus (2019-nCoV) in China, from 2019 to 2020: A data-driven analysis in the early phase of the outbreak","volume":"92","author":[{"family":"Zhao","given":"Shi"},{"family":"Lin","given":"Qianyin"},{"family":"Ran","given":"Jinjun"},{"family":"Musa","given":"Salihu S."},{"family":"Yang","given":"Guangpu"},{"family":"Wang","given":"Weiming"},{"family":"Lou","given":"Yijun"},{"family":"Gao","given":"Daozhou"},{"family":"Yang","given":"Lin"},{"family":"He","given":"Daihai"},{"family":"Wang","given":"Maggie H."}],"issued":{"date-parts":[["2020",3,1]]}}}],"schema":"https://github.com/citation-style-language/schema/raw/master/csl-citation.json"} </w:instrText>
            </w:r>
            <w:r w:rsidRPr="00370A32">
              <w:rPr>
                <w:rFonts w:ascii="Arial" w:hAnsi="Arial" w:cs="Arial"/>
                <w:sz w:val="15"/>
                <w:szCs w:val="15"/>
                <w:lang w:val="en-US"/>
              </w:rPr>
              <w:fldChar w:fldCharType="separate"/>
            </w:r>
            <w:r w:rsidR="000B5579" w:rsidRPr="000B5579">
              <w:rPr>
                <w:rFonts w:ascii="Arial" w:hAnsi="Arial" w:cs="Arial"/>
                <w:sz w:val="15"/>
                <w:vertAlign w:val="superscript"/>
                <w:lang w:val="en-US"/>
              </w:rPr>
              <w:t>34</w:t>
            </w:r>
            <w:r w:rsidRPr="00370A32">
              <w:rPr>
                <w:rFonts w:ascii="Arial" w:hAnsi="Arial" w:cs="Arial"/>
                <w:sz w:val="15"/>
                <w:szCs w:val="15"/>
                <w:lang w:val="en-US"/>
              </w:rPr>
              <w:fldChar w:fldCharType="end"/>
            </w:r>
          </w:p>
        </w:tc>
      </w:tr>
      <w:tr w:rsidR="00DB7E22" w:rsidRPr="00370A32" w14:paraId="06F6CDF7" w14:textId="77777777" w:rsidTr="00DB323B">
        <w:tc>
          <w:tcPr>
            <w:tcW w:w="4111" w:type="dxa"/>
            <w:tcBorders>
              <w:top w:val="single" w:sz="4" w:space="0" w:color="auto"/>
            </w:tcBorders>
          </w:tcPr>
          <w:p w14:paraId="367061A3"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Probability of asymptomatic infection (</w:t>
            </w:r>
            <m:oMath>
              <m:sSub>
                <m:sSubPr>
                  <m:ctrlPr>
                    <w:rPr>
                      <w:rFonts w:ascii="Cambria Math" w:hAnsi="Cambria Math" w:cs="Arial"/>
                      <w:i/>
                      <w:sz w:val="15"/>
                      <w:szCs w:val="15"/>
                      <w:lang w:val="en-US"/>
                    </w:rPr>
                  </m:ctrlPr>
                </m:sSubPr>
                <m:e>
                  <m:r>
                    <w:rPr>
                      <w:rFonts w:ascii="Cambria Math" w:hAnsi="Cambria Math" w:cs="Arial"/>
                      <w:sz w:val="15"/>
                      <w:szCs w:val="15"/>
                      <w:lang w:val="en-US"/>
                    </w:rPr>
                    <m:t>p</m:t>
                  </m:r>
                </m:e>
                <m:sub>
                  <m:r>
                    <m:rPr>
                      <m:nor/>
                    </m:rPr>
                    <w:rPr>
                      <w:rFonts w:ascii="Arial" w:hAnsi="Arial" w:cs="Arial"/>
                      <w:sz w:val="15"/>
                      <w:szCs w:val="15"/>
                      <w:lang w:val="en-US"/>
                    </w:rPr>
                    <m:t>asymptomatic</m:t>
                  </m:r>
                </m:sub>
              </m:sSub>
            </m:oMath>
            <w:r w:rsidRPr="00370A32">
              <w:rPr>
                <w:rFonts w:ascii="Arial" w:hAnsi="Arial" w:cs="Arial"/>
                <w:sz w:val="15"/>
                <w:szCs w:val="15"/>
                <w:lang w:val="en-US"/>
              </w:rPr>
              <w:t>)</w:t>
            </w:r>
          </w:p>
        </w:tc>
        <w:tc>
          <w:tcPr>
            <w:tcW w:w="3849" w:type="dxa"/>
            <w:tcBorders>
              <w:top w:val="single" w:sz="4" w:space="0" w:color="auto"/>
            </w:tcBorders>
          </w:tcPr>
          <w:p w14:paraId="105E8A47"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0.16</w:t>
            </w:r>
          </w:p>
        </w:tc>
        <w:tc>
          <w:tcPr>
            <w:tcW w:w="1050" w:type="dxa"/>
            <w:tcBorders>
              <w:top w:val="single" w:sz="4" w:space="0" w:color="auto"/>
            </w:tcBorders>
          </w:tcPr>
          <w:p w14:paraId="15EB826A" w14:textId="73F4B7FF" w:rsidR="00DB7E22" w:rsidRPr="00370A32" w:rsidRDefault="00370A32" w:rsidP="00370A32">
            <w:pPr>
              <w:spacing w:line="288" w:lineRule="auto"/>
              <w:rPr>
                <w:rFonts w:ascii="Arial" w:hAnsi="Arial" w:cs="Arial"/>
                <w:sz w:val="15"/>
                <w:szCs w:val="15"/>
              </w:rPr>
            </w:pPr>
            <w:r w:rsidRPr="00370A32">
              <w:rPr>
                <w:rFonts w:ascii="Arial" w:hAnsi="Arial" w:cs="Arial"/>
                <w:sz w:val="15"/>
                <w:szCs w:val="15"/>
                <w:lang w:val="en-US"/>
              </w:rPr>
              <w:t>Leung et al., 2015</w:t>
            </w:r>
            <w:r w:rsidR="00DB7E22" w:rsidRPr="00370A32">
              <w:rPr>
                <w:rFonts w:ascii="Arial" w:hAnsi="Arial" w:cs="Arial"/>
                <w:sz w:val="15"/>
                <w:szCs w:val="15"/>
                <w:lang w:val="en-US"/>
              </w:rPr>
              <w:fldChar w:fldCharType="begin"/>
            </w:r>
            <w:r w:rsidR="000B5579">
              <w:rPr>
                <w:rFonts w:ascii="Arial" w:hAnsi="Arial" w:cs="Arial"/>
                <w:sz w:val="15"/>
                <w:szCs w:val="15"/>
                <w:lang w:val="en-US"/>
              </w:rPr>
              <w:instrText xml:space="preserve"> ADDIN ZOTERO_ITEM CSL_CITATION {"citationID":"5Pbv1Zai","properties":{"formattedCitation":"\\super 20\\nosupersub{}","plainCitation":"20","noteIndex":0},"citationItems":[{"id":110,"uris":["http://zotero.org/users/local/0pdZPGmr/items/5PRSKE77","http://zotero.org/users/9596130/items/5PRSKE77"],"itemData":{"id":110,"type":"article-journal","abstract":"Background: \n\nThe fraction of persons with influenza virus infection, who do not report any signs or symptoms throughout the course of infection is referred to as the asymptomatic fraction.\n\nMethods:\n\nWe conducted a systematic review and meta-analysis of published estimates of the asymptomatic fraction of influenza virus infections. We found that estimates of the asymptomatic fraction were reported from two different types of studies: first, outbreak investigations with short-term follow-up of potentially exposed persons and virologic confirmation of infections; second, studies conducted across epidemics typically evaluating rates of acute respiratory illness among persons with serologic evidence of infection, in some cases adjusting for background rates of illness from other causes.\n\nResults:\n\nMost point estimates from studies of outbreak investigations fell in the range 4%–28% with low heterogeneity (I2 = 0%) with a pooled mean of 16% (95% confidence interval = 13%, 19%). Estimates from the studies conducted across epidemics without adjustment were very heterogeneous (point estimates 0%–100%; I 2 = 97%), while estimates from studies that adjusted for background illnesses were more consistent with point estimates in the range 65%–85% and moderate heterogeneity (I2 = 58%). Variation in estimates could be partially explained by differences in study design and analysis, and inclusion of mild symptomatic illnesses as asymptomatic in some studies.\n\nConclusions:\n\nEstimates of the asymptomatic fraction are affected by the study design, and the definitions of infection and symptomatic illness. Considerable differences between the asymptomatic fraction of infections confirmed by virologic versus serologic testing may indicate fundamental differences in the interpretation of these two indicators.","container-title":"Epidemiology","ISSN":"1044-3983","issue":"6","title":"Review Article: The Fraction of Influenza Virus Infections That Are Asymptomatic: A Systematic Review and Meta-analysis","URL":"https://journals.lww.com/epidem/fulltext/2015/11000/review_article__the_fraction_of_influenza_virus.13.aspx","volume":"26","author":[{"family":"Leung","given":"Nancy H. L."},{"family":"Xu","given":"Cuiling"},{"family":"Ip","given":"Dennis K. M."},{"family":"Cowling","given":"Benjamin J."}],"issued":{"date-parts":[["2015"]]}}}],"schema":"https://github.com/citation-style-language/schema/raw/master/csl-citation.json"} </w:instrText>
            </w:r>
            <w:r w:rsidR="00DB7E22" w:rsidRPr="00370A32">
              <w:rPr>
                <w:rFonts w:ascii="Arial" w:hAnsi="Arial" w:cs="Arial"/>
                <w:sz w:val="15"/>
                <w:szCs w:val="15"/>
                <w:lang w:val="en-US"/>
              </w:rPr>
              <w:fldChar w:fldCharType="separate"/>
            </w:r>
            <w:r w:rsidR="000B5579" w:rsidRPr="000B5579">
              <w:rPr>
                <w:rFonts w:ascii="Arial" w:hAnsi="Arial" w:cs="Arial"/>
                <w:sz w:val="15"/>
                <w:vertAlign w:val="superscript"/>
                <w:lang w:val="en-US"/>
              </w:rPr>
              <w:t>20</w:t>
            </w:r>
            <w:r w:rsidR="00DB7E22" w:rsidRPr="00370A32">
              <w:rPr>
                <w:rFonts w:ascii="Arial" w:hAnsi="Arial" w:cs="Arial"/>
                <w:sz w:val="15"/>
                <w:szCs w:val="15"/>
                <w:lang w:val="en-US"/>
              </w:rPr>
              <w:fldChar w:fldCharType="end"/>
            </w:r>
          </w:p>
        </w:tc>
      </w:tr>
      <w:tr w:rsidR="00DB7E22" w:rsidRPr="00370A32" w14:paraId="080BC88C" w14:textId="77777777" w:rsidTr="00DB323B">
        <w:tc>
          <w:tcPr>
            <w:tcW w:w="4111" w:type="dxa"/>
          </w:tcPr>
          <w:p w14:paraId="45482BB6"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Sensitivity of diagnostic test (</w:t>
            </w:r>
            <m:oMath>
              <m:r>
                <w:rPr>
                  <w:rFonts w:ascii="Cambria Math" w:hAnsi="Cambria Math" w:cs="Arial"/>
                  <w:sz w:val="15"/>
                  <w:szCs w:val="15"/>
                  <w:lang w:val="en-US"/>
                </w:rPr>
                <m:t>ψ</m:t>
              </m:r>
            </m:oMath>
            <w:r w:rsidRPr="00370A32">
              <w:rPr>
                <w:rFonts w:ascii="Arial" w:hAnsi="Arial" w:cs="Arial"/>
                <w:sz w:val="15"/>
                <w:szCs w:val="15"/>
                <w:lang w:val="en-US"/>
              </w:rPr>
              <w:t>)</w:t>
            </w:r>
          </w:p>
        </w:tc>
        <w:tc>
          <w:tcPr>
            <w:tcW w:w="3849" w:type="dxa"/>
          </w:tcPr>
          <w:p w14:paraId="7CC1BAAF"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0.70</w:t>
            </w:r>
          </w:p>
        </w:tc>
        <w:tc>
          <w:tcPr>
            <w:tcW w:w="1050" w:type="dxa"/>
          </w:tcPr>
          <w:p w14:paraId="2F23B60C" w14:textId="76CE4D08" w:rsidR="00DB7E22" w:rsidRPr="00370A32" w:rsidRDefault="00370A32" w:rsidP="00370A32">
            <w:pPr>
              <w:spacing w:line="288" w:lineRule="auto"/>
              <w:rPr>
                <w:rFonts w:ascii="Arial" w:hAnsi="Arial" w:cs="Arial"/>
                <w:sz w:val="15"/>
                <w:szCs w:val="15"/>
              </w:rPr>
            </w:pPr>
            <w:r w:rsidRPr="00370A32">
              <w:rPr>
                <w:rFonts w:ascii="Arial" w:hAnsi="Arial" w:cs="Arial"/>
                <w:sz w:val="15"/>
                <w:szCs w:val="15"/>
                <w:lang w:val="en-US"/>
              </w:rPr>
              <w:t>Merckx et al., 2017</w:t>
            </w:r>
            <w:r w:rsidR="00DB7E22" w:rsidRPr="00370A32">
              <w:rPr>
                <w:rFonts w:ascii="Arial" w:hAnsi="Arial" w:cs="Arial"/>
                <w:sz w:val="15"/>
                <w:szCs w:val="15"/>
                <w:lang w:val="en-US"/>
              </w:rPr>
              <w:fldChar w:fldCharType="begin"/>
            </w:r>
            <w:r w:rsidR="000B5579">
              <w:rPr>
                <w:rFonts w:ascii="Arial" w:hAnsi="Arial" w:cs="Arial"/>
                <w:sz w:val="15"/>
                <w:szCs w:val="15"/>
                <w:lang w:val="en-US"/>
              </w:rPr>
              <w:instrText xml:space="preserve"> ADDIN ZOTERO_ITEM CSL_CITATION {"citationID":"a1q9ent1vdn","properties":{"formattedCitation":"\\super 35\\nosupersub{}","plainCitation":"35","noteIndex":0},"citationItems":[{"id":177,"uris":["http://zotero.org/users/local/0pdZPGmr/items/WU8BFN3C","http://zotero.org/users/9596130/items/WU8BFN3C"],"itemData":{"id":177,"type":"article-journal","abstract":"Background: Rapid and accurate influenza diagnostics can improve patient care. Purpose: To summarize and compare accuracy of traditional rapid influenza diagnostic tests (RIDTs), digital immunoassays (DIAs), and rapid nucleic acid amplification tests (NAATs) in children and adults with suspected influenza. Data Sources: 6 databases from their inception through May 2017. Study Selection: Studies in English, French, or Spanish comparing commercialized rapid tests (that is, providing results in &lt;30 minutes) with reverse transcriptase polymerase chain reaction reference standard for influenza diagnosis. Data Extraction: Data were extracted using a standardized form; quality was assessed using QUADAS-2 (Quality Assessment of Diagnostic Accuracy Studies 2) criteria. Data Synthesis: 162 studies were included (130 of RIDTs, 19 of DIAs, and 13 of NAATs). Pooled sensitivities for detecting influenza A from Bayesian bivariate random-effects models were 54.4% (95% credible interval [CrI], 48.9% to 59.8%) for RIDTs, 80.0% (CrI, 73.4% to 85.6%) for DIAs, and 91.6% (CrI, 84.9% to 95.9%) for NAATs. Those for detecting influenza B were 53.2% (CrI, 41.7% to 64.4%) for RIDTs, 76.8% (CrI, 65.4% to 85.4%) for DIAs, and 95.4% (CrI, 87.3% to 98.7%) for NAATs. Pooled specificities were uniformly high (&gt;98%). Forty-six influenza A and 24 influenza B studies presented pediatric-specific data; 35 influenza A and 16 influenza B studies presented adult-specific data. Pooled sensitivities were higher in children by 12.1 to 31.8 percentage points, except for influenza A by rapid NAATs (2.7 percentage points). Pooled sensitivities favored industry-sponsored studies by 6.2 to 34.0 percentage points. Incomplete reporting frequently led to unclear risk of bias. Limitations: Underreporting of clinical variables limited exploration of heterogeneity. Few NAAT studies reported adult-specific data, and none evaluated point-of-care testing. Many studies had unclear risk of bias. Conclusion: Novel DIAs and rapid NAATs had markedly higher sensitivities for influenza A and B in both children and adults than did traditional RIDTs, with equally high specificities. Primary Funding Source: Québec Health Research Fund and BD Diagnostic Systems.","container-title":"Annals of Internal Medicine","DOI":"10.7326/M17-0848","ISSN":"0003-4819","issue":"6","journalAbbreviation":"Ann Intern Med","note":"publisher: American College of Physicians","page":"394-409","title":"Diagnostic Accuracy of Novel and Traditional Rapid Tests for Influenza Infection Compared With Reverse Transcriptase Polymerase Chain Reaction","volume":"167","author":[{"family":"Merckx","given":"Joanna"},{"family":"Wali","given":"Rehab"},{"family":"Schiller","given":"Ian"},{"family":"Caya","given":"Chelsea"},{"family":"Gore","given":"Genevieve C."},{"family":"Chartrand","given":"Caroline"},{"family":"Dendukuri","given":"Nandini"},{"family":"Papenburg","given":"Jesse"}],"issued":{"date-parts":[["2017",9,19]]}}}],"schema":"https://github.com/citation-style-language/schema/raw/master/csl-citation.json"} </w:instrText>
            </w:r>
            <w:r w:rsidR="00DB7E22" w:rsidRPr="00370A32">
              <w:rPr>
                <w:rFonts w:ascii="Arial" w:hAnsi="Arial" w:cs="Arial"/>
                <w:sz w:val="15"/>
                <w:szCs w:val="15"/>
                <w:lang w:val="en-US"/>
              </w:rPr>
              <w:fldChar w:fldCharType="separate"/>
            </w:r>
            <w:r w:rsidR="000B5579" w:rsidRPr="000B5579">
              <w:rPr>
                <w:rFonts w:ascii="Arial" w:hAnsi="Arial" w:cs="Arial"/>
                <w:sz w:val="15"/>
                <w:vertAlign w:val="superscript"/>
                <w:lang w:val="en-US"/>
              </w:rPr>
              <w:t>35</w:t>
            </w:r>
            <w:r w:rsidR="00DB7E22" w:rsidRPr="00370A32">
              <w:rPr>
                <w:rFonts w:ascii="Arial" w:hAnsi="Arial" w:cs="Arial"/>
                <w:sz w:val="15"/>
                <w:szCs w:val="15"/>
                <w:lang w:val="en-US"/>
              </w:rPr>
              <w:fldChar w:fldCharType="end"/>
            </w:r>
          </w:p>
        </w:tc>
      </w:tr>
      <w:tr w:rsidR="00DB7E22" w:rsidRPr="00370A32" w14:paraId="5630CCBC" w14:textId="77777777" w:rsidTr="00370A32">
        <w:tc>
          <w:tcPr>
            <w:tcW w:w="4111" w:type="dxa"/>
          </w:tcPr>
          <w:p w14:paraId="471962B3"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Adherence to treatment, BXM</w:t>
            </w:r>
          </w:p>
        </w:tc>
        <w:tc>
          <w:tcPr>
            <w:tcW w:w="3849" w:type="dxa"/>
          </w:tcPr>
          <w:p w14:paraId="33EC3D94"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0.95</w:t>
            </w:r>
          </w:p>
        </w:tc>
        <w:tc>
          <w:tcPr>
            <w:tcW w:w="1050" w:type="dxa"/>
          </w:tcPr>
          <w:p w14:paraId="0903145C"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Assumed</w:t>
            </w:r>
          </w:p>
        </w:tc>
      </w:tr>
      <w:tr w:rsidR="00DB7E22" w:rsidRPr="00370A32" w14:paraId="52C340EC" w14:textId="77777777" w:rsidTr="00370A32">
        <w:tc>
          <w:tcPr>
            <w:tcW w:w="4111" w:type="dxa"/>
            <w:tcBorders>
              <w:bottom w:val="single" w:sz="4" w:space="0" w:color="auto"/>
            </w:tcBorders>
          </w:tcPr>
          <w:p w14:paraId="292B34CB"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Adherence to treatment, oseltamivir</w:t>
            </w:r>
          </w:p>
        </w:tc>
        <w:tc>
          <w:tcPr>
            <w:tcW w:w="3849" w:type="dxa"/>
            <w:tcBorders>
              <w:bottom w:val="single" w:sz="4" w:space="0" w:color="auto"/>
            </w:tcBorders>
          </w:tcPr>
          <w:p w14:paraId="79952A2E"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0.65</w:t>
            </w:r>
          </w:p>
        </w:tc>
        <w:tc>
          <w:tcPr>
            <w:tcW w:w="1050" w:type="dxa"/>
            <w:tcBorders>
              <w:bottom w:val="single" w:sz="4" w:space="0" w:color="auto"/>
            </w:tcBorders>
          </w:tcPr>
          <w:p w14:paraId="6A803021" w14:textId="6DD42036" w:rsidR="00DB7E22" w:rsidRPr="00370A32" w:rsidRDefault="00370A32" w:rsidP="00370A32">
            <w:pPr>
              <w:spacing w:line="288" w:lineRule="auto"/>
              <w:rPr>
                <w:rFonts w:ascii="Arial" w:hAnsi="Arial" w:cs="Arial"/>
                <w:sz w:val="15"/>
                <w:szCs w:val="15"/>
              </w:rPr>
            </w:pPr>
            <w:r w:rsidRPr="00370A32">
              <w:rPr>
                <w:rFonts w:ascii="Arial" w:hAnsi="Arial" w:cs="Arial"/>
                <w:sz w:val="15"/>
                <w:szCs w:val="15"/>
                <w:lang w:val="en-US"/>
              </w:rPr>
              <w:t>Smith et al., 2016</w:t>
            </w:r>
            <w:r w:rsidR="00DB7E22" w:rsidRPr="00370A32">
              <w:rPr>
                <w:rFonts w:ascii="Arial" w:hAnsi="Arial" w:cs="Arial"/>
                <w:sz w:val="15"/>
                <w:szCs w:val="15"/>
                <w:lang w:val="en-US"/>
              </w:rPr>
              <w:fldChar w:fldCharType="begin"/>
            </w:r>
            <w:r w:rsidR="000B5579">
              <w:rPr>
                <w:rFonts w:ascii="Arial" w:hAnsi="Arial" w:cs="Arial"/>
                <w:sz w:val="15"/>
                <w:szCs w:val="15"/>
                <w:lang w:val="en-US"/>
              </w:rPr>
              <w:instrText xml:space="preserve"> ADDIN ZOTERO_ITEM CSL_CITATION {"citationID":"a5tg9gplnq","properties":{"formattedCitation":"\\super 36\\nosupersub{}","plainCitation":"36","noteIndex":0},"citationItems":[{"id":181,"uris":["http://zotero.org/users/local/0pdZPGmr/items/UASRZYYR","http://zotero.org/users/9596130/items/UASRZYYR"],"itemData":{"id":181,"type":"article-journal","abstract":"The aim of this review was to identify factors predicting actual or intended adherence to antivirals as treatment or prophylaxis for influenza. Literature from inception to March 2015 was systematically reviewed to find studies reporting predictors of adherence to antivirals and self-reported reasons for non-adherence to antivirals. Twenty-six studies were included in the review; twenty identified through the literature search and six through other means. Of these studies, 18 assessed predictors of actual adherence to antivirals, whereas eight assessed predictors of intended adherence. The most commonly found predictor of, and self-reported reason for, non-adherence was the occurrence of side effects. Other predictors include perceptions surrounding self-efficacy, response efficacy and perceived personal consequences as well as social influences of others' experiences of taking antivirals. Predictors identified in this review can be used to help inform communications to increase adherence to antivirals in both seasonal and pandemic influenza.","container-title":"Influenza and Other Respiratory Viruses","DOI":"10.1111/irv.12406","ISSN":"1750-2640","issue":"6","journalAbbreviation":"Influenza and Other Respiratory Viruses","note":"publisher: John Wiley &amp; Sons, Ltd","page":"462-478","title":"A systematic review of factors affecting intended and actual adherence with antiviral medication as treatment or prophylaxis in seasonal and pandemic flu","volume":"10","author":[{"family":"Smith","given":"Louise E."},{"family":"D'Antoni","given":"Donatella"},{"family":"Jain","given":"Vageesh"},{"family":"Pearce","given":"Julia M."},{"family":"Weinman","given":"John"},{"family":"Rubin","given":"G. James"}],"issued":{"date-parts":[["2016",11,1]]}}}],"schema":"https://github.com/citation-style-language/schema/raw/master/csl-citation.json"} </w:instrText>
            </w:r>
            <w:r w:rsidR="00DB7E22" w:rsidRPr="00370A32">
              <w:rPr>
                <w:rFonts w:ascii="Arial" w:hAnsi="Arial" w:cs="Arial"/>
                <w:sz w:val="15"/>
                <w:szCs w:val="15"/>
                <w:lang w:val="en-US"/>
              </w:rPr>
              <w:fldChar w:fldCharType="separate"/>
            </w:r>
            <w:r w:rsidR="000B5579" w:rsidRPr="000B5579">
              <w:rPr>
                <w:rFonts w:ascii="Arial" w:hAnsi="Arial" w:cs="Arial"/>
                <w:sz w:val="15"/>
                <w:vertAlign w:val="superscript"/>
                <w:lang w:val="en-US"/>
              </w:rPr>
              <w:t>36</w:t>
            </w:r>
            <w:r w:rsidR="00DB7E22" w:rsidRPr="00370A32">
              <w:rPr>
                <w:rFonts w:ascii="Arial" w:hAnsi="Arial" w:cs="Arial"/>
                <w:sz w:val="15"/>
                <w:szCs w:val="15"/>
                <w:lang w:val="en-US"/>
              </w:rPr>
              <w:fldChar w:fldCharType="end"/>
            </w:r>
          </w:p>
        </w:tc>
      </w:tr>
    </w:tbl>
    <w:p w14:paraId="2E32BEC4" w14:textId="2190B5CA" w:rsidR="002851F2" w:rsidRPr="00257ABA" w:rsidRDefault="002851F2">
      <w:pPr>
        <w:rPr>
          <w:b/>
        </w:rPr>
      </w:pPr>
    </w:p>
    <w:p w14:paraId="2D982AC3" w14:textId="41AD4698" w:rsidR="00370A32" w:rsidRDefault="00370A32"/>
    <w:p w14:paraId="55D15D13" w14:textId="77777777" w:rsidR="000E6E23" w:rsidRDefault="000E6E23">
      <w:pPr>
        <w:rPr>
          <w:b/>
        </w:rPr>
      </w:pPr>
      <w:r>
        <w:rPr>
          <w:b/>
        </w:rPr>
        <w:br w:type="page"/>
      </w:r>
    </w:p>
    <w:p w14:paraId="2EB7935E" w14:textId="211AF8E5" w:rsidR="000E6E23" w:rsidRDefault="00805038" w:rsidP="000E6E23">
      <w:pPr>
        <w:rPr>
          <w:b/>
        </w:rPr>
      </w:pPr>
      <w:r>
        <w:rPr>
          <w:b/>
        </w:rPr>
        <w:lastRenderedPageBreak/>
        <w:t xml:space="preserve">Extended Data Table </w:t>
      </w:r>
      <w:r w:rsidR="000E6E23">
        <w:rPr>
          <w:b/>
        </w:rPr>
        <w:t>2</w:t>
      </w:r>
      <w:r w:rsidR="000E6E23" w:rsidRPr="00257ABA">
        <w:rPr>
          <w:b/>
        </w:rPr>
        <w:t xml:space="preserve">. </w:t>
      </w:r>
      <w:r w:rsidR="000E6E23">
        <w:rPr>
          <w:b/>
        </w:rPr>
        <w:t>Key assumptions in the between-host transmission model</w:t>
      </w:r>
      <w:r w:rsidR="000E6E23" w:rsidRPr="00257ABA">
        <w:rPr>
          <w:b/>
        </w:rPr>
        <w:t>.</w:t>
      </w:r>
    </w:p>
    <w:p w14:paraId="1EEA9511" w14:textId="77777777" w:rsidR="00F352E4" w:rsidRDefault="00F352E4" w:rsidP="000E6E23">
      <w:pPr>
        <w:rPr>
          <w:b/>
        </w:rPr>
      </w:pPr>
    </w:p>
    <w:tbl>
      <w:tblPr>
        <w:tblW w:w="5000" w:type="pct"/>
        <w:tblCellMar>
          <w:top w:w="57" w:type="dxa"/>
          <w:bottom w:w="57" w:type="dxa"/>
        </w:tblCellMar>
        <w:tblLook w:val="04A0" w:firstRow="1" w:lastRow="0" w:firstColumn="1" w:lastColumn="0" w:noHBand="0" w:noVBand="1"/>
      </w:tblPr>
      <w:tblGrid>
        <w:gridCol w:w="465"/>
        <w:gridCol w:w="3264"/>
        <w:gridCol w:w="5291"/>
      </w:tblGrid>
      <w:tr w:rsidR="00F352E4" w:rsidRPr="003022AB" w14:paraId="10A7E8A2" w14:textId="77777777" w:rsidTr="00F352E4">
        <w:trPr>
          <w:trHeight w:val="283"/>
        </w:trPr>
        <w:tc>
          <w:tcPr>
            <w:tcW w:w="241" w:type="pct"/>
            <w:tcBorders>
              <w:top w:val="single" w:sz="4" w:space="0" w:color="auto"/>
              <w:left w:val="nil"/>
              <w:bottom w:val="single" w:sz="4" w:space="0" w:color="auto"/>
              <w:right w:val="nil"/>
            </w:tcBorders>
            <w:shd w:val="clear" w:color="auto" w:fill="auto"/>
            <w:hideMark/>
          </w:tcPr>
          <w:p w14:paraId="40A9DFBD" w14:textId="77777777" w:rsidR="00F352E4" w:rsidRPr="003022AB" w:rsidRDefault="00F352E4" w:rsidP="00F352E4">
            <w:pPr>
              <w:rPr>
                <w:rFonts w:ascii="Arial" w:eastAsia="Times New Roman" w:hAnsi="Arial" w:cs="Arial"/>
                <w:color w:val="000000"/>
                <w:sz w:val="16"/>
                <w:szCs w:val="16"/>
              </w:rPr>
            </w:pPr>
            <w:r w:rsidRPr="003022AB">
              <w:rPr>
                <w:rFonts w:ascii="Arial" w:eastAsia="Times New Roman" w:hAnsi="Arial" w:cs="Arial"/>
                <w:color w:val="000000"/>
                <w:sz w:val="16"/>
                <w:szCs w:val="16"/>
              </w:rPr>
              <w:t>No.</w:t>
            </w:r>
          </w:p>
        </w:tc>
        <w:tc>
          <w:tcPr>
            <w:tcW w:w="1818" w:type="pct"/>
            <w:tcBorders>
              <w:top w:val="single" w:sz="4" w:space="0" w:color="auto"/>
              <w:left w:val="nil"/>
              <w:bottom w:val="single" w:sz="4" w:space="0" w:color="auto"/>
              <w:right w:val="nil"/>
            </w:tcBorders>
            <w:shd w:val="clear" w:color="auto" w:fill="auto"/>
            <w:hideMark/>
          </w:tcPr>
          <w:p w14:paraId="4FF93A4A" w14:textId="53381F3D" w:rsidR="00F352E4" w:rsidRPr="003022AB" w:rsidRDefault="00F352E4" w:rsidP="00F352E4">
            <w:pPr>
              <w:rPr>
                <w:rFonts w:ascii="Arial" w:eastAsia="Times New Roman" w:hAnsi="Arial" w:cs="Arial"/>
                <w:color w:val="000000"/>
                <w:sz w:val="16"/>
                <w:szCs w:val="16"/>
              </w:rPr>
            </w:pPr>
            <w:r w:rsidRPr="003022AB">
              <w:rPr>
                <w:rFonts w:ascii="Arial" w:eastAsia="Times New Roman" w:hAnsi="Arial" w:cs="Arial"/>
                <w:color w:val="000000"/>
                <w:sz w:val="16"/>
                <w:szCs w:val="16"/>
              </w:rPr>
              <w:t>Assumption</w:t>
            </w:r>
          </w:p>
        </w:tc>
        <w:tc>
          <w:tcPr>
            <w:tcW w:w="2941" w:type="pct"/>
            <w:tcBorders>
              <w:top w:val="single" w:sz="4" w:space="0" w:color="auto"/>
              <w:left w:val="nil"/>
              <w:bottom w:val="single" w:sz="4" w:space="0" w:color="auto"/>
              <w:right w:val="nil"/>
            </w:tcBorders>
            <w:shd w:val="clear" w:color="auto" w:fill="auto"/>
            <w:hideMark/>
          </w:tcPr>
          <w:p w14:paraId="273E008D" w14:textId="77777777" w:rsidR="00F352E4" w:rsidRPr="003022AB" w:rsidRDefault="00F352E4" w:rsidP="00F352E4">
            <w:pPr>
              <w:rPr>
                <w:rFonts w:ascii="Arial" w:eastAsia="Times New Roman" w:hAnsi="Arial" w:cs="Arial"/>
                <w:color w:val="000000"/>
                <w:sz w:val="16"/>
                <w:szCs w:val="16"/>
              </w:rPr>
            </w:pPr>
            <w:r w:rsidRPr="003022AB">
              <w:rPr>
                <w:rFonts w:ascii="Arial" w:eastAsia="Times New Roman" w:hAnsi="Arial" w:cs="Arial"/>
                <w:color w:val="000000"/>
                <w:sz w:val="16"/>
                <w:szCs w:val="16"/>
              </w:rPr>
              <w:t>Implication</w:t>
            </w:r>
          </w:p>
        </w:tc>
      </w:tr>
      <w:tr w:rsidR="00F352E4" w:rsidRPr="003022AB" w14:paraId="5AECC1FC" w14:textId="77777777" w:rsidTr="00F352E4">
        <w:trPr>
          <w:trHeight w:val="283"/>
        </w:trPr>
        <w:tc>
          <w:tcPr>
            <w:tcW w:w="241" w:type="pct"/>
            <w:tcBorders>
              <w:top w:val="single" w:sz="4" w:space="0" w:color="auto"/>
              <w:left w:val="nil"/>
              <w:bottom w:val="nil"/>
              <w:right w:val="nil"/>
            </w:tcBorders>
            <w:shd w:val="clear" w:color="auto" w:fill="auto"/>
            <w:hideMark/>
          </w:tcPr>
          <w:p w14:paraId="1494464D" w14:textId="77777777" w:rsidR="00F352E4" w:rsidRPr="003022AB" w:rsidRDefault="00F352E4" w:rsidP="00F352E4">
            <w:pPr>
              <w:rPr>
                <w:rFonts w:ascii="Arial" w:eastAsia="Times New Roman" w:hAnsi="Arial" w:cs="Arial"/>
                <w:color w:val="000000"/>
                <w:sz w:val="16"/>
                <w:szCs w:val="16"/>
              </w:rPr>
            </w:pPr>
            <w:r w:rsidRPr="003022AB">
              <w:rPr>
                <w:rFonts w:ascii="Arial" w:eastAsia="Times New Roman" w:hAnsi="Arial" w:cs="Arial"/>
                <w:color w:val="000000"/>
                <w:sz w:val="16"/>
                <w:szCs w:val="16"/>
              </w:rPr>
              <w:t>1</w:t>
            </w:r>
          </w:p>
        </w:tc>
        <w:tc>
          <w:tcPr>
            <w:tcW w:w="1818" w:type="pct"/>
            <w:tcBorders>
              <w:top w:val="single" w:sz="4" w:space="0" w:color="auto"/>
              <w:left w:val="nil"/>
              <w:bottom w:val="nil"/>
              <w:right w:val="nil"/>
            </w:tcBorders>
            <w:shd w:val="clear" w:color="auto" w:fill="auto"/>
            <w:hideMark/>
          </w:tcPr>
          <w:p w14:paraId="1759BB56" w14:textId="77777777" w:rsidR="00F352E4" w:rsidRPr="003022AB" w:rsidRDefault="00F352E4" w:rsidP="00F352E4">
            <w:pPr>
              <w:rPr>
                <w:rFonts w:ascii="Arial" w:eastAsia="Times New Roman" w:hAnsi="Arial" w:cs="Arial"/>
                <w:color w:val="000000"/>
                <w:sz w:val="16"/>
                <w:szCs w:val="16"/>
              </w:rPr>
            </w:pPr>
            <w:r w:rsidRPr="003022AB">
              <w:rPr>
                <w:rFonts w:ascii="Arial" w:eastAsia="Times New Roman" w:hAnsi="Arial" w:cs="Arial"/>
                <w:color w:val="000000"/>
                <w:sz w:val="16"/>
                <w:szCs w:val="16"/>
              </w:rPr>
              <w:t>SIR compartmental model with population structured in 5-year age bins using contact rate matrices estimated by Prem et al. (2021).</w:t>
            </w:r>
          </w:p>
        </w:tc>
        <w:tc>
          <w:tcPr>
            <w:tcW w:w="2941" w:type="pct"/>
            <w:tcBorders>
              <w:top w:val="single" w:sz="4" w:space="0" w:color="auto"/>
              <w:left w:val="nil"/>
              <w:bottom w:val="nil"/>
              <w:right w:val="nil"/>
            </w:tcBorders>
            <w:shd w:val="clear" w:color="auto" w:fill="auto"/>
            <w:hideMark/>
          </w:tcPr>
          <w:p w14:paraId="68749108" w14:textId="77777777" w:rsidR="00F352E4" w:rsidRPr="003022AB" w:rsidRDefault="00F352E4" w:rsidP="00F352E4">
            <w:pPr>
              <w:rPr>
                <w:rFonts w:ascii="Arial" w:eastAsia="Times New Roman" w:hAnsi="Arial" w:cs="Arial"/>
                <w:color w:val="000000"/>
                <w:sz w:val="16"/>
                <w:szCs w:val="16"/>
              </w:rPr>
            </w:pPr>
            <w:r w:rsidRPr="003022AB">
              <w:rPr>
                <w:rFonts w:ascii="Arial" w:eastAsia="Times New Roman" w:hAnsi="Arial" w:cs="Arial"/>
                <w:color w:val="000000"/>
                <w:sz w:val="16"/>
                <w:szCs w:val="16"/>
              </w:rPr>
              <w:t xml:space="preserve">Country-level estimation of transmission dynamics with no further spatial delineation. Population contact rates are only structured by age demography. As such, the estimated antiviral demand and impact represent country-level antiviral needs and burden reduction. </w:t>
            </w:r>
          </w:p>
        </w:tc>
      </w:tr>
      <w:tr w:rsidR="00F352E4" w:rsidRPr="003022AB" w14:paraId="72D05738" w14:textId="77777777" w:rsidTr="00F352E4">
        <w:trPr>
          <w:trHeight w:val="283"/>
        </w:trPr>
        <w:tc>
          <w:tcPr>
            <w:tcW w:w="241" w:type="pct"/>
            <w:tcBorders>
              <w:top w:val="nil"/>
              <w:left w:val="nil"/>
              <w:bottom w:val="nil"/>
              <w:right w:val="nil"/>
            </w:tcBorders>
            <w:shd w:val="clear" w:color="auto" w:fill="auto"/>
            <w:hideMark/>
          </w:tcPr>
          <w:p w14:paraId="47DAD7D5" w14:textId="77777777" w:rsidR="00F352E4" w:rsidRPr="003022AB" w:rsidRDefault="00F352E4" w:rsidP="00F352E4">
            <w:pPr>
              <w:rPr>
                <w:rFonts w:ascii="Arial" w:eastAsia="Times New Roman" w:hAnsi="Arial" w:cs="Arial"/>
                <w:color w:val="000000"/>
                <w:sz w:val="16"/>
                <w:szCs w:val="16"/>
              </w:rPr>
            </w:pPr>
            <w:r w:rsidRPr="003022AB">
              <w:rPr>
                <w:rFonts w:ascii="Arial" w:eastAsia="Times New Roman" w:hAnsi="Arial" w:cs="Arial"/>
                <w:color w:val="000000"/>
                <w:sz w:val="16"/>
                <w:szCs w:val="16"/>
              </w:rPr>
              <w:t>2</w:t>
            </w:r>
          </w:p>
        </w:tc>
        <w:tc>
          <w:tcPr>
            <w:tcW w:w="1818" w:type="pct"/>
            <w:tcBorders>
              <w:top w:val="nil"/>
              <w:left w:val="nil"/>
              <w:bottom w:val="nil"/>
              <w:right w:val="nil"/>
            </w:tcBorders>
            <w:shd w:val="clear" w:color="auto" w:fill="auto"/>
            <w:hideMark/>
          </w:tcPr>
          <w:p w14:paraId="3196E6D0" w14:textId="77777777" w:rsidR="00F352E4" w:rsidRPr="003022AB" w:rsidRDefault="00F352E4" w:rsidP="00F352E4">
            <w:pPr>
              <w:rPr>
                <w:rFonts w:ascii="Arial" w:eastAsia="Times New Roman" w:hAnsi="Arial" w:cs="Arial"/>
                <w:color w:val="000000"/>
                <w:sz w:val="16"/>
                <w:szCs w:val="16"/>
              </w:rPr>
            </w:pPr>
            <w:r w:rsidRPr="003022AB">
              <w:rPr>
                <w:rFonts w:ascii="Arial" w:eastAsia="Times New Roman" w:hAnsi="Arial" w:cs="Arial"/>
                <w:color w:val="000000"/>
                <w:sz w:val="16"/>
                <w:szCs w:val="16"/>
              </w:rPr>
              <w:t>Rapid diagnostic testing and antiviral drug administration is assumed to during the same clinical visit.</w:t>
            </w:r>
          </w:p>
        </w:tc>
        <w:tc>
          <w:tcPr>
            <w:tcW w:w="2941" w:type="pct"/>
            <w:tcBorders>
              <w:top w:val="nil"/>
              <w:left w:val="nil"/>
              <w:bottom w:val="nil"/>
              <w:right w:val="nil"/>
            </w:tcBorders>
            <w:shd w:val="clear" w:color="auto" w:fill="auto"/>
            <w:hideMark/>
          </w:tcPr>
          <w:p w14:paraId="05218AA4" w14:textId="77777777" w:rsidR="00F352E4" w:rsidRPr="003022AB" w:rsidRDefault="00F352E4" w:rsidP="00F352E4">
            <w:pPr>
              <w:rPr>
                <w:rFonts w:ascii="Arial" w:eastAsia="Times New Roman" w:hAnsi="Arial" w:cs="Arial"/>
                <w:color w:val="000000"/>
                <w:sz w:val="16"/>
                <w:szCs w:val="16"/>
              </w:rPr>
            </w:pPr>
            <w:r w:rsidRPr="003022AB">
              <w:rPr>
                <w:rFonts w:ascii="Arial" w:eastAsia="Times New Roman" w:hAnsi="Arial" w:cs="Arial"/>
                <w:color w:val="000000"/>
                <w:sz w:val="16"/>
                <w:szCs w:val="16"/>
              </w:rPr>
              <w:t xml:space="preserve">No delay between obtaining test result and antiviral administration. If there are any delays, the effect would be equivalent to delayed time to seeking test-and-treat, which we had investigated. </w:t>
            </w:r>
          </w:p>
        </w:tc>
      </w:tr>
      <w:tr w:rsidR="00F352E4" w:rsidRPr="003022AB" w14:paraId="05F67B76" w14:textId="77777777" w:rsidTr="00F352E4">
        <w:trPr>
          <w:trHeight w:val="283"/>
        </w:trPr>
        <w:tc>
          <w:tcPr>
            <w:tcW w:w="241" w:type="pct"/>
            <w:tcBorders>
              <w:top w:val="nil"/>
              <w:left w:val="nil"/>
              <w:bottom w:val="nil"/>
              <w:right w:val="nil"/>
            </w:tcBorders>
            <w:shd w:val="clear" w:color="auto" w:fill="auto"/>
            <w:hideMark/>
          </w:tcPr>
          <w:p w14:paraId="3DAEEE8A" w14:textId="77777777" w:rsidR="00F352E4" w:rsidRPr="003022AB" w:rsidRDefault="00F352E4" w:rsidP="00F352E4">
            <w:pPr>
              <w:rPr>
                <w:rFonts w:ascii="Arial" w:eastAsia="Times New Roman" w:hAnsi="Arial" w:cs="Arial"/>
                <w:color w:val="000000"/>
                <w:sz w:val="16"/>
                <w:szCs w:val="16"/>
              </w:rPr>
            </w:pPr>
            <w:r w:rsidRPr="003022AB">
              <w:rPr>
                <w:rFonts w:ascii="Arial" w:eastAsia="Times New Roman" w:hAnsi="Arial" w:cs="Arial"/>
                <w:color w:val="000000"/>
                <w:sz w:val="16"/>
                <w:szCs w:val="16"/>
              </w:rPr>
              <w:t>3</w:t>
            </w:r>
          </w:p>
        </w:tc>
        <w:tc>
          <w:tcPr>
            <w:tcW w:w="1818" w:type="pct"/>
            <w:tcBorders>
              <w:top w:val="nil"/>
              <w:left w:val="nil"/>
              <w:bottom w:val="nil"/>
              <w:right w:val="nil"/>
            </w:tcBorders>
            <w:shd w:val="clear" w:color="auto" w:fill="auto"/>
            <w:hideMark/>
          </w:tcPr>
          <w:p w14:paraId="7B01ECE3" w14:textId="77777777" w:rsidR="00F352E4" w:rsidRPr="003022AB" w:rsidRDefault="00F352E4" w:rsidP="00F352E4">
            <w:pPr>
              <w:rPr>
                <w:rFonts w:ascii="Arial" w:eastAsia="Times New Roman" w:hAnsi="Arial" w:cs="Arial"/>
                <w:color w:val="000000"/>
                <w:sz w:val="16"/>
                <w:szCs w:val="16"/>
              </w:rPr>
            </w:pPr>
            <w:r w:rsidRPr="003022AB">
              <w:rPr>
                <w:rFonts w:ascii="Arial" w:eastAsia="Times New Roman" w:hAnsi="Arial" w:cs="Arial"/>
                <w:color w:val="000000"/>
                <w:sz w:val="16"/>
                <w:szCs w:val="16"/>
              </w:rPr>
              <w:t xml:space="preserve">No supply and accessibility constraints to diagnostic tests and antivirals. </w:t>
            </w:r>
          </w:p>
        </w:tc>
        <w:tc>
          <w:tcPr>
            <w:tcW w:w="2941" w:type="pct"/>
            <w:tcBorders>
              <w:top w:val="nil"/>
              <w:left w:val="nil"/>
              <w:bottom w:val="nil"/>
              <w:right w:val="nil"/>
            </w:tcBorders>
            <w:shd w:val="clear" w:color="auto" w:fill="auto"/>
            <w:hideMark/>
          </w:tcPr>
          <w:p w14:paraId="13E9A89E" w14:textId="4CD03523" w:rsidR="00F352E4" w:rsidRPr="003022AB" w:rsidRDefault="00F352E4" w:rsidP="00F352E4">
            <w:pPr>
              <w:rPr>
                <w:rFonts w:ascii="Arial" w:eastAsia="Times New Roman" w:hAnsi="Arial" w:cs="Arial"/>
                <w:color w:val="000000"/>
                <w:sz w:val="16"/>
                <w:szCs w:val="16"/>
              </w:rPr>
            </w:pPr>
            <w:r w:rsidRPr="003022AB">
              <w:rPr>
                <w:rFonts w:ascii="Arial" w:eastAsia="Times New Roman" w:hAnsi="Arial" w:cs="Arial"/>
                <w:color w:val="000000"/>
                <w:sz w:val="16"/>
                <w:szCs w:val="16"/>
              </w:rPr>
              <w:t xml:space="preserve">The key goal of this work is to generate the quantitative evidence to inform antiviral stockpiling efforts prior to the next pandemic. To that end, we focused on estimating the theoretical upper limit of antiviral demand during a nascent influenza pandemic under the ideal assumption of no constraints on diagnostic test and antiviral supply , which in turn informs the capacity needed to meet surge demand. We did, however, investigate the impact of rationing baloxavir marboxil by age and provided estimates on the per-capita amount of diagnostic tests required for each country in </w:t>
            </w:r>
            <w:r w:rsidR="00805038" w:rsidRPr="003022AB">
              <w:rPr>
                <w:rFonts w:ascii="Arial" w:eastAsia="Times New Roman" w:hAnsi="Arial" w:cs="Arial"/>
                <w:color w:val="000000"/>
                <w:sz w:val="16"/>
                <w:szCs w:val="16"/>
              </w:rPr>
              <w:t xml:space="preserve">Extended Data Table  </w:t>
            </w:r>
            <w:r w:rsidRPr="003022AB">
              <w:rPr>
                <w:rFonts w:ascii="Arial" w:eastAsia="Times New Roman" w:hAnsi="Arial" w:cs="Arial"/>
                <w:color w:val="000000"/>
                <w:sz w:val="16"/>
                <w:szCs w:val="16"/>
              </w:rPr>
              <w:t>3. We also discussed the critical need to expand access to pandemic medicines before the next influenza pandemic</w:t>
            </w:r>
            <w:r w:rsidR="00176B6C" w:rsidRPr="003022AB">
              <w:rPr>
                <w:rFonts w:ascii="Arial" w:eastAsia="Times New Roman" w:hAnsi="Arial" w:cs="Arial"/>
                <w:color w:val="000000"/>
                <w:sz w:val="16"/>
                <w:szCs w:val="16"/>
              </w:rPr>
              <w:t xml:space="preserve"> in the main text</w:t>
            </w:r>
            <w:r w:rsidRPr="003022AB">
              <w:rPr>
                <w:rFonts w:ascii="Arial" w:eastAsia="Times New Roman" w:hAnsi="Arial" w:cs="Arial"/>
                <w:color w:val="000000"/>
                <w:sz w:val="16"/>
                <w:szCs w:val="16"/>
              </w:rPr>
              <w:t xml:space="preserve">.  </w:t>
            </w:r>
          </w:p>
        </w:tc>
      </w:tr>
      <w:tr w:rsidR="00F352E4" w:rsidRPr="003022AB" w14:paraId="1A82B116" w14:textId="77777777" w:rsidTr="00F352E4">
        <w:trPr>
          <w:trHeight w:val="283"/>
        </w:trPr>
        <w:tc>
          <w:tcPr>
            <w:tcW w:w="241" w:type="pct"/>
            <w:tcBorders>
              <w:top w:val="nil"/>
              <w:left w:val="nil"/>
              <w:bottom w:val="nil"/>
              <w:right w:val="nil"/>
            </w:tcBorders>
            <w:shd w:val="clear" w:color="auto" w:fill="auto"/>
            <w:hideMark/>
          </w:tcPr>
          <w:p w14:paraId="5BEB0AF9" w14:textId="77777777" w:rsidR="00F352E4" w:rsidRPr="003022AB" w:rsidRDefault="00F352E4" w:rsidP="00F352E4">
            <w:pPr>
              <w:rPr>
                <w:rFonts w:ascii="Arial" w:eastAsia="Times New Roman" w:hAnsi="Arial" w:cs="Arial"/>
                <w:color w:val="000000"/>
                <w:sz w:val="16"/>
                <w:szCs w:val="16"/>
              </w:rPr>
            </w:pPr>
            <w:r w:rsidRPr="003022AB">
              <w:rPr>
                <w:rFonts w:ascii="Arial" w:eastAsia="Times New Roman" w:hAnsi="Arial" w:cs="Arial"/>
                <w:color w:val="000000"/>
                <w:sz w:val="16"/>
                <w:szCs w:val="16"/>
              </w:rPr>
              <w:t>4</w:t>
            </w:r>
          </w:p>
        </w:tc>
        <w:tc>
          <w:tcPr>
            <w:tcW w:w="1818" w:type="pct"/>
            <w:tcBorders>
              <w:top w:val="nil"/>
              <w:left w:val="nil"/>
              <w:bottom w:val="nil"/>
              <w:right w:val="nil"/>
            </w:tcBorders>
            <w:shd w:val="clear" w:color="auto" w:fill="auto"/>
            <w:hideMark/>
          </w:tcPr>
          <w:p w14:paraId="6310D9A2" w14:textId="77777777" w:rsidR="00F352E4" w:rsidRPr="003022AB" w:rsidRDefault="00F352E4" w:rsidP="00F352E4">
            <w:pPr>
              <w:rPr>
                <w:rFonts w:ascii="Arial" w:eastAsia="Times New Roman" w:hAnsi="Arial" w:cs="Arial"/>
                <w:color w:val="000000"/>
                <w:sz w:val="16"/>
                <w:szCs w:val="16"/>
              </w:rPr>
            </w:pPr>
            <w:r w:rsidRPr="003022AB">
              <w:rPr>
                <w:rFonts w:ascii="Arial" w:eastAsia="Times New Roman" w:hAnsi="Arial" w:cs="Arial"/>
                <w:color w:val="000000"/>
                <w:sz w:val="16"/>
                <w:szCs w:val="16"/>
              </w:rPr>
              <w:t>High uptake rate (95%) of test-and-treat</w:t>
            </w:r>
          </w:p>
        </w:tc>
        <w:tc>
          <w:tcPr>
            <w:tcW w:w="2941" w:type="pct"/>
            <w:tcBorders>
              <w:top w:val="nil"/>
              <w:left w:val="nil"/>
              <w:bottom w:val="nil"/>
              <w:right w:val="nil"/>
            </w:tcBorders>
            <w:shd w:val="clear" w:color="auto" w:fill="auto"/>
            <w:hideMark/>
          </w:tcPr>
          <w:p w14:paraId="1879FA44" w14:textId="77777777" w:rsidR="00F352E4" w:rsidRPr="003022AB" w:rsidRDefault="00F352E4" w:rsidP="00F352E4">
            <w:pPr>
              <w:rPr>
                <w:rFonts w:ascii="Arial" w:eastAsia="Times New Roman" w:hAnsi="Arial" w:cs="Arial"/>
                <w:color w:val="000000"/>
                <w:sz w:val="16"/>
                <w:szCs w:val="16"/>
              </w:rPr>
            </w:pPr>
            <w:r w:rsidRPr="003022AB">
              <w:rPr>
                <w:rFonts w:ascii="Arial" w:eastAsia="Times New Roman" w:hAnsi="Arial" w:cs="Arial"/>
                <w:color w:val="000000"/>
                <w:sz w:val="16"/>
                <w:szCs w:val="16"/>
              </w:rPr>
              <w:t xml:space="preserve">Similar to above, we conservatively assumed a high uptake rate of test-and-treat for estimation of the upper limit of test-and-treat demand. We did, however, subsequently investigated how heterogeneity in healthcare-seeking behaviour would lead to heterogenous timing to seeking test-and-treat since symptom onset. </w:t>
            </w:r>
          </w:p>
        </w:tc>
      </w:tr>
      <w:tr w:rsidR="00F352E4" w:rsidRPr="003022AB" w14:paraId="465E5729" w14:textId="77777777" w:rsidTr="00F352E4">
        <w:trPr>
          <w:trHeight w:val="283"/>
        </w:trPr>
        <w:tc>
          <w:tcPr>
            <w:tcW w:w="241" w:type="pct"/>
            <w:tcBorders>
              <w:top w:val="nil"/>
              <w:left w:val="nil"/>
              <w:right w:val="nil"/>
            </w:tcBorders>
            <w:shd w:val="clear" w:color="auto" w:fill="auto"/>
            <w:hideMark/>
          </w:tcPr>
          <w:p w14:paraId="22D05D2E" w14:textId="77777777" w:rsidR="00F352E4" w:rsidRPr="003022AB" w:rsidRDefault="00F352E4" w:rsidP="00F352E4">
            <w:pPr>
              <w:rPr>
                <w:rFonts w:ascii="Arial" w:eastAsia="Times New Roman" w:hAnsi="Arial" w:cs="Arial"/>
                <w:color w:val="000000"/>
                <w:sz w:val="16"/>
                <w:szCs w:val="16"/>
              </w:rPr>
            </w:pPr>
            <w:r w:rsidRPr="003022AB">
              <w:rPr>
                <w:rFonts w:ascii="Arial" w:eastAsia="Times New Roman" w:hAnsi="Arial" w:cs="Arial"/>
                <w:color w:val="000000"/>
                <w:sz w:val="16"/>
                <w:szCs w:val="16"/>
              </w:rPr>
              <w:t>5</w:t>
            </w:r>
          </w:p>
        </w:tc>
        <w:tc>
          <w:tcPr>
            <w:tcW w:w="1818" w:type="pct"/>
            <w:tcBorders>
              <w:top w:val="nil"/>
              <w:left w:val="nil"/>
              <w:right w:val="nil"/>
            </w:tcBorders>
            <w:shd w:val="clear" w:color="auto" w:fill="auto"/>
            <w:hideMark/>
          </w:tcPr>
          <w:p w14:paraId="2E936C6D" w14:textId="77777777" w:rsidR="00F352E4" w:rsidRPr="003022AB" w:rsidRDefault="00F352E4" w:rsidP="00F352E4">
            <w:pPr>
              <w:rPr>
                <w:rFonts w:ascii="Arial" w:eastAsia="Times New Roman" w:hAnsi="Arial" w:cs="Arial"/>
                <w:color w:val="000000"/>
                <w:sz w:val="16"/>
                <w:szCs w:val="16"/>
              </w:rPr>
            </w:pPr>
            <w:r w:rsidRPr="003022AB">
              <w:rPr>
                <w:rFonts w:ascii="Arial" w:eastAsia="Times New Roman" w:hAnsi="Arial" w:cs="Arial"/>
                <w:color w:val="000000"/>
                <w:sz w:val="16"/>
                <w:szCs w:val="16"/>
              </w:rPr>
              <w:t xml:space="preserve">No uptake of pre-pandemic vaccines  </w:t>
            </w:r>
          </w:p>
        </w:tc>
        <w:tc>
          <w:tcPr>
            <w:tcW w:w="2941" w:type="pct"/>
            <w:tcBorders>
              <w:top w:val="nil"/>
              <w:left w:val="nil"/>
              <w:right w:val="nil"/>
            </w:tcBorders>
            <w:shd w:val="clear" w:color="auto" w:fill="auto"/>
            <w:hideMark/>
          </w:tcPr>
          <w:p w14:paraId="68B36CB5" w14:textId="71F6D86B" w:rsidR="00F352E4" w:rsidRPr="003022AB" w:rsidRDefault="00F352E4" w:rsidP="00F352E4">
            <w:pPr>
              <w:rPr>
                <w:rFonts w:ascii="Arial" w:eastAsia="Times New Roman" w:hAnsi="Arial" w:cs="Arial"/>
                <w:color w:val="000000"/>
                <w:sz w:val="16"/>
                <w:szCs w:val="16"/>
              </w:rPr>
            </w:pPr>
            <w:r w:rsidRPr="003022AB">
              <w:rPr>
                <w:rFonts w:ascii="Arial" w:eastAsia="Times New Roman" w:hAnsi="Arial" w:cs="Arial"/>
                <w:color w:val="000000"/>
                <w:sz w:val="16"/>
                <w:szCs w:val="16"/>
              </w:rPr>
              <w:t>We focused on the scenario where the antiviral stockpile was used to limit the impact prior to the availability of vaccines. We have showed in previous work that vaccination is the more resource-efficient intervention compared to test-and-treat during a pandemic.</w:t>
            </w:r>
            <w:r w:rsidR="00176B6C" w:rsidRPr="003022AB">
              <w:rPr>
                <w:rFonts w:ascii="Arial" w:eastAsia="Times New Roman" w:hAnsi="Arial" w:cs="Arial"/>
                <w:color w:val="000000"/>
                <w:sz w:val="16"/>
                <w:szCs w:val="16"/>
              </w:rPr>
              <w:fldChar w:fldCharType="begin"/>
            </w:r>
            <w:r w:rsidR="000B5579" w:rsidRPr="003022AB">
              <w:rPr>
                <w:rFonts w:ascii="Arial" w:eastAsia="Times New Roman" w:hAnsi="Arial" w:cs="Arial"/>
                <w:color w:val="000000"/>
                <w:sz w:val="16"/>
                <w:szCs w:val="16"/>
              </w:rPr>
              <w:instrText xml:space="preserve"> ADDIN ZOTERO_ITEM CSL_CITATION {"citationID":"ohQovZ37","properties":{"formattedCitation":"\\super 37\\nosupersub{}","plainCitation":"37","noteIndex":0},"citationItems":[{"id":19,"uris":["http://zotero.org/users/local/0pdZPGmr/items/XZABVFG3","http://zotero.org/users/9596130/items/XZABVFG3"],"itemData":{"id":19,"type":"article-journal","abstract":"Oral antivirals have the potential to reduce the public health burden of COVID-19. However, now that we have exited the emergency-phase of the COVID-19 pandemic, declining SARS-CoV-2 clinical testing rates (average testing rates = $$\\ll$$10 tests/100,000 people/day in low-and-middle income countries; &lt;100 tests/100,000 people/day in high-income countries; September 2023) make the development of effective test-and-treat programs challenging. We used an agent-based model to investigate how testing rates and strategies affect the use and effectiveness of oral antiviral test-to-treat programs in four country archetypes of different income levels and demographies. We find that in the post-emergency-phase of the pandemic, in countries where low testing rates are driven by limited testing capacity, significant population-level impact of test-and-treat programs can only be achieved by both increasing testing rates and prioritizing individuals with greater risk of severe disease. However, for all countries, significant reductions in severe cases with antivirals are only possible if testing rates were substantially increased with high willingness of people to seek testing. Comparing the potential population-level reductions in severe disease outcomes of test-to-treat programs and vaccination shows that test-and-treat strategies are likely substantially more resource intensive requiring very high levels of testing (</w:instrText>
            </w:r>
            <w:r w:rsidR="000B5579" w:rsidRPr="003022AB">
              <w:rPr>
                <w:rFonts w:ascii="Cambria Math" w:eastAsia="Times New Roman" w:hAnsi="Cambria Math" w:cs="Cambria Math"/>
                <w:color w:val="000000"/>
                <w:sz w:val="16"/>
                <w:szCs w:val="16"/>
              </w:rPr>
              <w:instrText>≫</w:instrText>
            </w:r>
            <w:r w:rsidR="000B5579" w:rsidRPr="003022AB">
              <w:rPr>
                <w:rFonts w:ascii="Arial" w:eastAsia="Times New Roman" w:hAnsi="Arial" w:cs="Arial"/>
                <w:color w:val="000000"/>
                <w:sz w:val="16"/>
                <w:szCs w:val="16"/>
              </w:rPr>
              <w:instrText xml:space="preserve">100 tests/100,000 people/day) and antiviral use suggesting that vaccination should be a higher priority.","container-title":"Nature Communications","DOI":"10.1038/s41467-023-43769-z","ISSN":"2041-1723","issue":"1","journalAbbreviation":"Nature Communications","page":"7981","title":"Estimating the potential impact and diagnostic requirements for SARS-CoV-2 test-and-treat programs","volume":"14","author":[{"family":"Han","given":"Alvin X."},{"family":"Hannay","given":"Emma"},{"family":"Carmona","given":"Sergio"},{"family":"Rodriguez","given":"Bill"},{"family":"Nichols","given":"Brooke E."},{"family":"Russell","given":"Colin A."}],"issued":{"date-parts":[["2023",12,2]]}}}],"schema":"https://github.com/citation-style-language/schema/raw/master/csl-citation.json"} </w:instrText>
            </w:r>
            <w:r w:rsidR="00176B6C" w:rsidRPr="003022AB">
              <w:rPr>
                <w:rFonts w:ascii="Arial" w:eastAsia="Times New Roman" w:hAnsi="Arial" w:cs="Arial"/>
                <w:color w:val="000000"/>
                <w:sz w:val="16"/>
                <w:szCs w:val="16"/>
              </w:rPr>
              <w:fldChar w:fldCharType="separate"/>
            </w:r>
            <w:r w:rsidR="000B5579" w:rsidRPr="003022AB">
              <w:rPr>
                <w:rFonts w:ascii="Arial" w:hAnsi="Arial" w:cs="Arial"/>
                <w:color w:val="000000"/>
                <w:sz w:val="16"/>
                <w:szCs w:val="16"/>
                <w:vertAlign w:val="superscript"/>
                <w:lang w:val="en-US"/>
              </w:rPr>
              <w:t>37</w:t>
            </w:r>
            <w:r w:rsidR="00176B6C" w:rsidRPr="003022AB">
              <w:rPr>
                <w:rFonts w:ascii="Arial" w:eastAsia="Times New Roman" w:hAnsi="Arial" w:cs="Arial"/>
                <w:color w:val="000000"/>
                <w:sz w:val="16"/>
                <w:szCs w:val="16"/>
              </w:rPr>
              <w:fldChar w:fldCharType="end"/>
            </w:r>
            <w:r w:rsidRPr="003022AB">
              <w:rPr>
                <w:rFonts w:ascii="Arial" w:eastAsia="Times New Roman" w:hAnsi="Arial" w:cs="Arial"/>
                <w:color w:val="000000"/>
                <w:sz w:val="16"/>
                <w:szCs w:val="16"/>
              </w:rPr>
              <w:t xml:space="preserve"> </w:t>
            </w:r>
          </w:p>
        </w:tc>
      </w:tr>
      <w:tr w:rsidR="00F352E4" w:rsidRPr="003022AB" w14:paraId="53471D1A" w14:textId="77777777" w:rsidTr="00F352E4">
        <w:trPr>
          <w:trHeight w:val="283"/>
        </w:trPr>
        <w:tc>
          <w:tcPr>
            <w:tcW w:w="241" w:type="pct"/>
            <w:tcBorders>
              <w:top w:val="nil"/>
              <w:left w:val="nil"/>
              <w:bottom w:val="single" w:sz="4" w:space="0" w:color="auto"/>
              <w:right w:val="nil"/>
            </w:tcBorders>
            <w:shd w:val="clear" w:color="auto" w:fill="auto"/>
            <w:hideMark/>
          </w:tcPr>
          <w:p w14:paraId="2C429FF4" w14:textId="77777777" w:rsidR="00F352E4" w:rsidRPr="003022AB" w:rsidRDefault="00F352E4" w:rsidP="00F352E4">
            <w:pPr>
              <w:rPr>
                <w:rFonts w:ascii="Arial" w:eastAsia="Times New Roman" w:hAnsi="Arial" w:cs="Arial"/>
                <w:color w:val="000000"/>
                <w:sz w:val="16"/>
                <w:szCs w:val="16"/>
              </w:rPr>
            </w:pPr>
            <w:r w:rsidRPr="003022AB">
              <w:rPr>
                <w:rFonts w:ascii="Arial" w:eastAsia="Times New Roman" w:hAnsi="Arial" w:cs="Arial"/>
                <w:color w:val="000000"/>
                <w:sz w:val="16"/>
                <w:szCs w:val="16"/>
              </w:rPr>
              <w:t>6</w:t>
            </w:r>
          </w:p>
        </w:tc>
        <w:tc>
          <w:tcPr>
            <w:tcW w:w="1818" w:type="pct"/>
            <w:tcBorders>
              <w:top w:val="nil"/>
              <w:left w:val="nil"/>
              <w:bottom w:val="single" w:sz="4" w:space="0" w:color="auto"/>
              <w:right w:val="nil"/>
            </w:tcBorders>
            <w:shd w:val="clear" w:color="auto" w:fill="auto"/>
            <w:hideMark/>
          </w:tcPr>
          <w:p w14:paraId="12FF283D" w14:textId="77777777" w:rsidR="00F352E4" w:rsidRPr="003022AB" w:rsidRDefault="00F352E4" w:rsidP="00F352E4">
            <w:pPr>
              <w:rPr>
                <w:rFonts w:ascii="Arial" w:eastAsia="Times New Roman" w:hAnsi="Arial" w:cs="Arial"/>
                <w:color w:val="000000"/>
                <w:sz w:val="16"/>
                <w:szCs w:val="16"/>
              </w:rPr>
            </w:pPr>
            <w:r w:rsidRPr="003022AB">
              <w:rPr>
                <w:rFonts w:ascii="Arial" w:eastAsia="Times New Roman" w:hAnsi="Arial" w:cs="Arial"/>
                <w:color w:val="000000"/>
                <w:sz w:val="16"/>
                <w:szCs w:val="16"/>
              </w:rPr>
              <w:t>No implementation of non-pharmaceutical interventions (NPIs)</w:t>
            </w:r>
          </w:p>
        </w:tc>
        <w:tc>
          <w:tcPr>
            <w:tcW w:w="2941" w:type="pct"/>
            <w:tcBorders>
              <w:top w:val="nil"/>
              <w:left w:val="nil"/>
              <w:bottom w:val="single" w:sz="4" w:space="0" w:color="auto"/>
              <w:right w:val="nil"/>
            </w:tcBorders>
            <w:shd w:val="clear" w:color="auto" w:fill="auto"/>
            <w:hideMark/>
          </w:tcPr>
          <w:p w14:paraId="61B76268" w14:textId="50AD7120" w:rsidR="00F352E4" w:rsidRPr="003022AB" w:rsidRDefault="00F352E4" w:rsidP="00F352E4">
            <w:pPr>
              <w:rPr>
                <w:rFonts w:ascii="Arial" w:eastAsia="Times New Roman" w:hAnsi="Arial" w:cs="Arial"/>
                <w:color w:val="000000"/>
                <w:sz w:val="16"/>
                <w:szCs w:val="16"/>
              </w:rPr>
            </w:pPr>
            <w:r w:rsidRPr="003022AB">
              <w:rPr>
                <w:rFonts w:ascii="Arial" w:eastAsia="Times New Roman" w:hAnsi="Arial" w:cs="Arial"/>
                <w:color w:val="000000"/>
                <w:sz w:val="16"/>
                <w:szCs w:val="16"/>
              </w:rPr>
              <w:t xml:space="preserve">NPIs </w:t>
            </w:r>
            <w:r w:rsidR="000B5579" w:rsidRPr="003022AB">
              <w:rPr>
                <w:rFonts w:ascii="Arial" w:eastAsia="Times New Roman" w:hAnsi="Arial" w:cs="Arial"/>
                <w:color w:val="000000"/>
                <w:sz w:val="16"/>
                <w:szCs w:val="16"/>
              </w:rPr>
              <w:t>could</w:t>
            </w:r>
            <w:r w:rsidRPr="003022AB">
              <w:rPr>
                <w:rFonts w:ascii="Arial" w:eastAsia="Times New Roman" w:hAnsi="Arial" w:cs="Arial"/>
                <w:color w:val="000000"/>
                <w:sz w:val="16"/>
                <w:szCs w:val="16"/>
              </w:rPr>
              <w:t xml:space="preserve"> lower antiviral demand and augment burden reduction. However, the effectiveness of NPIs are often context dependent, with varying degrees of socio-economic impacts</w:t>
            </w:r>
            <w:r w:rsidR="00176B6C" w:rsidRPr="003022AB">
              <w:rPr>
                <w:rFonts w:ascii="Arial" w:eastAsia="Times New Roman" w:hAnsi="Arial" w:cs="Arial"/>
                <w:color w:val="000000"/>
                <w:sz w:val="16"/>
                <w:szCs w:val="16"/>
              </w:rPr>
              <w:fldChar w:fldCharType="begin"/>
            </w:r>
            <w:r w:rsidR="000B5579" w:rsidRPr="003022AB">
              <w:rPr>
                <w:rFonts w:ascii="Arial" w:eastAsia="Times New Roman" w:hAnsi="Arial" w:cs="Arial"/>
                <w:color w:val="000000"/>
                <w:sz w:val="16"/>
                <w:szCs w:val="16"/>
              </w:rPr>
              <w:instrText xml:space="preserve"> ADDIN ZOTERO_ITEM CSL_CITATION {"citationID":"Xb1EzFzK","properties":{"formattedCitation":"\\super 38\\nosupersub{}","plainCitation":"38","noteIndex":0},"citationItems":[{"id":226,"uris":["http://zotero.org/users/local/0pdZPGmr/items/HJP6QG57","http://zotero.org/users/9596130/items/HJP6QG57"],"itemData":{"id":226,"type":"article-journal","abstract":"Assessing the effectiveness of non-pharmaceutical interventions (NPIs) to mitigate the spread of SARS-CoV-2 is critical to inform future preparedness response plans. Here we quantify the impact of 6,068 hierarchically coded NPIs implemented in 79 territories on the effective reproduction number, Rt, of COVID-19. We propose a modelling approach that combines four computational techniques merging statistical, inference and artificial intelligence tools. We validate our findings with two external datasets recording 42,151 additional NPIs from 226 countries. Our results indicate that a suitable combination of NPIs is necessary to curb the spread of the virus. Less disruptive and costly NPIs can be as effective as more intrusive, drastic, ones (for example, a national lockdown). Using country-specific ‘what-if’ scenarios, we assess how the effectiveness of NPIs depends on the local context such as timing of their adoption, opening the way for forecasting the effectiveness of future interventions.","container-title":"Nature Human Behaviour","DOI":"10.1038/s41562-020-01009-0","ISSN":"2397-3374","issue":"12","journalAbbreviation":"Nature Human Behaviour","page":"1303-1312","title":"Ranking the effectiveness of worldwide COVID-19 government interventions","volume":"4","author":[{"family":"Haug","given":"Nina"},{"family":"Geyrhofer","given":"Lukas"},{"family":"Londei","given":"Alessandro"},{"family":"Dervic","given":"Elma"},{"family":"Desvars-Larrive","given":"Amélie"},{"family":"Loreto","given":"Vittorio"},{"family":"Pinior","given":"Beate"},{"family":"Thurner","given":"Stefan"},{"family":"Klimek","given":"Peter"}],"issued":{"date-parts":[["2020",12,1]]}}}],"schema":"https://github.com/citation-style-language/schema/raw/master/csl-citation.json"} </w:instrText>
            </w:r>
            <w:r w:rsidR="00176B6C" w:rsidRPr="003022AB">
              <w:rPr>
                <w:rFonts w:ascii="Arial" w:eastAsia="Times New Roman" w:hAnsi="Arial" w:cs="Arial"/>
                <w:color w:val="000000"/>
                <w:sz w:val="16"/>
                <w:szCs w:val="16"/>
              </w:rPr>
              <w:fldChar w:fldCharType="separate"/>
            </w:r>
            <w:r w:rsidR="000B5579" w:rsidRPr="003022AB">
              <w:rPr>
                <w:rFonts w:ascii="Arial" w:hAnsi="Arial" w:cs="Arial"/>
                <w:color w:val="000000"/>
                <w:sz w:val="16"/>
                <w:szCs w:val="16"/>
                <w:vertAlign w:val="superscript"/>
                <w:lang w:val="en-US"/>
              </w:rPr>
              <w:t>38</w:t>
            </w:r>
            <w:r w:rsidR="00176B6C" w:rsidRPr="003022AB">
              <w:rPr>
                <w:rFonts w:ascii="Arial" w:eastAsia="Times New Roman" w:hAnsi="Arial" w:cs="Arial"/>
                <w:color w:val="000000"/>
                <w:sz w:val="16"/>
                <w:szCs w:val="16"/>
              </w:rPr>
              <w:fldChar w:fldCharType="end"/>
            </w:r>
            <w:r w:rsidRPr="003022AB">
              <w:rPr>
                <w:rFonts w:ascii="Arial" w:eastAsia="Times New Roman" w:hAnsi="Arial" w:cs="Arial"/>
                <w:color w:val="000000"/>
                <w:sz w:val="16"/>
                <w:szCs w:val="16"/>
              </w:rPr>
              <w:t xml:space="preserve"> associated with different NPIs that must be carefully considered alongside the cost effectiveness of mass test-and-treat distribution, which is outside the scope of this work. </w:t>
            </w:r>
          </w:p>
        </w:tc>
      </w:tr>
    </w:tbl>
    <w:p w14:paraId="64B4465E" w14:textId="77777777" w:rsidR="00710E25" w:rsidRDefault="00710E25" w:rsidP="000E6E23">
      <w:pPr>
        <w:rPr>
          <w:b/>
        </w:rPr>
      </w:pPr>
    </w:p>
    <w:p w14:paraId="4CA345BF" w14:textId="77777777" w:rsidR="000E6E23" w:rsidRDefault="000E6E23" w:rsidP="00370A32">
      <w:pPr>
        <w:rPr>
          <w:b/>
        </w:rPr>
      </w:pPr>
    </w:p>
    <w:p w14:paraId="61B3412E" w14:textId="77777777" w:rsidR="00F352E4" w:rsidRDefault="00F352E4">
      <w:pPr>
        <w:rPr>
          <w:b/>
        </w:rPr>
      </w:pPr>
      <w:r>
        <w:rPr>
          <w:b/>
        </w:rPr>
        <w:br w:type="page"/>
      </w:r>
    </w:p>
    <w:p w14:paraId="768CBC0B" w14:textId="5341DF29" w:rsidR="00370A32" w:rsidRPr="001C66B2" w:rsidRDefault="00805038" w:rsidP="00370A32">
      <w:r>
        <w:rPr>
          <w:b/>
        </w:rPr>
        <w:lastRenderedPageBreak/>
        <w:t xml:space="preserve">Extended Data Table </w:t>
      </w:r>
      <w:r w:rsidR="00D62237">
        <w:rPr>
          <w:b/>
        </w:rPr>
        <w:t>3</w:t>
      </w:r>
      <w:r w:rsidR="00370A32" w:rsidRPr="001C66B2">
        <w:rPr>
          <w:b/>
        </w:rPr>
        <w:t xml:space="preserve">. </w:t>
      </w:r>
      <w:r w:rsidR="00370A32">
        <w:rPr>
          <w:b/>
          <w:lang w:val="en-US"/>
        </w:rPr>
        <w:t>Mean</w:t>
      </w:r>
      <w:r w:rsidR="00370A32" w:rsidRPr="001C66B2">
        <w:rPr>
          <w:b/>
          <w:lang w:val="en-US"/>
        </w:rPr>
        <w:t xml:space="preserve"> deaths averted by test-and-treat with oral antivirals</w:t>
      </w:r>
      <w:r w:rsidR="00370A32">
        <w:rPr>
          <w:b/>
          <w:lang w:val="en-US"/>
        </w:rPr>
        <w:t xml:space="preserve"> (baloxavir marboxil (BXM) or oseltamivir (OSL), and the corresponding antiviral and rapid testing demand</w:t>
      </w:r>
      <w:r w:rsidR="00370A32" w:rsidRPr="001C66B2">
        <w:rPr>
          <w:b/>
          <w:lang w:val="en-US"/>
        </w:rPr>
        <w:t xml:space="preserve"> in 186 countries under ideal</w:t>
      </w:r>
      <w:r w:rsidR="00665561">
        <w:rPr>
          <w:b/>
          <w:lang w:val="en-US"/>
        </w:rPr>
        <w:t>ise</w:t>
      </w:r>
      <w:r w:rsidR="00370A32" w:rsidRPr="001C66B2">
        <w:rPr>
          <w:b/>
          <w:lang w:val="en-US"/>
        </w:rPr>
        <w:t>d assumptions</w:t>
      </w:r>
      <w:r w:rsidR="00370A32">
        <w:rPr>
          <w:b/>
          <w:lang w:val="en-US"/>
        </w:rPr>
        <w:t xml:space="preserve">. </w:t>
      </w:r>
      <w:r w:rsidR="00370A32">
        <w:rPr>
          <w:lang w:val="en-US"/>
        </w:rPr>
        <w:t xml:space="preserve"> [Supplementary file]</w:t>
      </w:r>
    </w:p>
    <w:p w14:paraId="2F7A0133" w14:textId="67A8521B" w:rsidR="00370A32" w:rsidRDefault="00370A32"/>
    <w:p w14:paraId="3F62D15E" w14:textId="73C47823" w:rsidR="005E2F89" w:rsidRDefault="00805038">
      <w:r>
        <w:rPr>
          <w:b/>
        </w:rPr>
        <w:t xml:space="preserve">Extended Data Table </w:t>
      </w:r>
      <w:r w:rsidR="005E2F89">
        <w:rPr>
          <w:b/>
        </w:rPr>
        <w:t>4</w:t>
      </w:r>
      <w:r w:rsidR="005E2F89" w:rsidRPr="001C66B2">
        <w:rPr>
          <w:b/>
        </w:rPr>
        <w:t xml:space="preserve">. </w:t>
      </w:r>
      <w:r w:rsidR="00282B94">
        <w:rPr>
          <w:b/>
          <w:lang w:val="en-US"/>
        </w:rPr>
        <w:t xml:space="preserve">Breakdown of baloxavir marboxil (BXM) and oseltamivir stockpile when performing age-based rationing of BXM. </w:t>
      </w:r>
      <w:r w:rsidR="00282B94">
        <w:rPr>
          <w:lang w:val="en-US"/>
        </w:rPr>
        <w:t>Countries are differentiated by their income group</w:t>
      </w:r>
      <w:r w:rsidR="006166E3">
        <w:rPr>
          <w:lang w:val="en-US"/>
        </w:rPr>
        <w:t xml:space="preserve">s (low-income, LIC; lower-middle income, LMIC; upper-middle income, UMIC; and high-income, HIC). The median and interquartile range (IQR) of the percentage of stockpile comprising of BXM, and the corresponding per-capita BXM and oseltamivir demand are tabulated. </w:t>
      </w:r>
    </w:p>
    <w:p w14:paraId="0A030C38" w14:textId="77777777" w:rsidR="005E2F89" w:rsidRDefault="005E2F89"/>
    <w:tbl>
      <w:tblPr>
        <w:tblW w:w="5000" w:type="pct"/>
        <w:tblLayout w:type="fixed"/>
        <w:tblLook w:val="04A0" w:firstRow="1" w:lastRow="0" w:firstColumn="1" w:lastColumn="0" w:noHBand="0" w:noVBand="1"/>
      </w:tblPr>
      <w:tblGrid>
        <w:gridCol w:w="1062"/>
        <w:gridCol w:w="1128"/>
        <w:gridCol w:w="880"/>
        <w:gridCol w:w="992"/>
        <w:gridCol w:w="992"/>
        <w:gridCol w:w="992"/>
        <w:gridCol w:w="992"/>
        <w:gridCol w:w="992"/>
        <w:gridCol w:w="990"/>
      </w:tblGrid>
      <w:tr w:rsidR="00282B94" w:rsidRPr="005E2F89" w14:paraId="52043208" w14:textId="77777777" w:rsidTr="00282B94">
        <w:trPr>
          <w:trHeight w:val="397"/>
        </w:trPr>
        <w:tc>
          <w:tcPr>
            <w:tcW w:w="588" w:type="pct"/>
            <w:vMerge w:val="restart"/>
            <w:tcBorders>
              <w:top w:val="single" w:sz="4" w:space="0" w:color="auto"/>
              <w:left w:val="nil"/>
              <w:right w:val="nil"/>
            </w:tcBorders>
            <w:shd w:val="clear" w:color="auto" w:fill="auto"/>
            <w:noWrap/>
            <w:vAlign w:val="center"/>
            <w:hideMark/>
          </w:tcPr>
          <w:p w14:paraId="26D40D49" w14:textId="77777777" w:rsidR="005E2F89" w:rsidRPr="005E2F89" w:rsidRDefault="005E2F89" w:rsidP="005E2F89">
            <w:pPr>
              <w:rPr>
                <w:rFonts w:ascii="Arial" w:eastAsia="Times New Roman" w:hAnsi="Arial" w:cs="Arial"/>
                <w:b/>
                <w:color w:val="000000"/>
                <w:sz w:val="14"/>
                <w:szCs w:val="14"/>
              </w:rPr>
            </w:pPr>
            <w:r w:rsidRPr="005E2F89">
              <w:rPr>
                <w:rFonts w:ascii="Arial" w:eastAsia="Times New Roman" w:hAnsi="Arial" w:cs="Arial"/>
                <w:b/>
                <w:color w:val="000000"/>
                <w:sz w:val="14"/>
                <w:szCs w:val="14"/>
              </w:rPr>
              <w:t> </w:t>
            </w:r>
          </w:p>
          <w:p w14:paraId="338D7BE0" w14:textId="77777777" w:rsidR="00282B94" w:rsidRDefault="00282B94" w:rsidP="005E2F89">
            <w:pPr>
              <w:rPr>
                <w:rFonts w:ascii="Arial" w:eastAsia="Times New Roman" w:hAnsi="Arial" w:cs="Arial"/>
                <w:b/>
                <w:color w:val="000000"/>
                <w:sz w:val="14"/>
                <w:szCs w:val="14"/>
              </w:rPr>
            </w:pPr>
            <w:r>
              <w:rPr>
                <w:rFonts w:ascii="Arial" w:eastAsia="Times New Roman" w:hAnsi="Arial" w:cs="Arial"/>
                <w:b/>
                <w:color w:val="000000"/>
                <w:sz w:val="14"/>
                <w:szCs w:val="14"/>
              </w:rPr>
              <w:t>Country i</w:t>
            </w:r>
            <w:r w:rsidR="005E2F89" w:rsidRPr="005E2F89">
              <w:rPr>
                <w:rFonts w:ascii="Arial" w:eastAsia="Times New Roman" w:hAnsi="Arial" w:cs="Arial"/>
                <w:b/>
                <w:color w:val="000000"/>
                <w:sz w:val="14"/>
                <w:szCs w:val="14"/>
              </w:rPr>
              <w:t xml:space="preserve">ncome </w:t>
            </w:r>
          </w:p>
          <w:p w14:paraId="0867EFE3" w14:textId="0AC49B7B" w:rsidR="005E2F89" w:rsidRPr="005E2F89" w:rsidRDefault="005E2F89" w:rsidP="005E2F89">
            <w:pPr>
              <w:rPr>
                <w:rFonts w:ascii="Arial" w:eastAsia="Times New Roman" w:hAnsi="Arial" w:cs="Arial"/>
                <w:b/>
                <w:color w:val="000000"/>
                <w:sz w:val="14"/>
                <w:szCs w:val="14"/>
              </w:rPr>
            </w:pPr>
            <w:r w:rsidRPr="005E2F89">
              <w:rPr>
                <w:rFonts w:ascii="Arial" w:eastAsia="Times New Roman" w:hAnsi="Arial" w:cs="Arial"/>
                <w:b/>
                <w:color w:val="000000"/>
                <w:sz w:val="14"/>
                <w:szCs w:val="14"/>
              </w:rPr>
              <w:t>group</w:t>
            </w:r>
          </w:p>
        </w:tc>
        <w:tc>
          <w:tcPr>
            <w:tcW w:w="625" w:type="pct"/>
            <w:vMerge w:val="restart"/>
            <w:tcBorders>
              <w:top w:val="single" w:sz="4" w:space="0" w:color="auto"/>
              <w:left w:val="nil"/>
              <w:right w:val="nil"/>
            </w:tcBorders>
            <w:shd w:val="clear" w:color="auto" w:fill="auto"/>
            <w:noWrap/>
            <w:vAlign w:val="center"/>
            <w:hideMark/>
          </w:tcPr>
          <w:p w14:paraId="4F303E1E" w14:textId="77777777" w:rsidR="005E2F89" w:rsidRPr="005E2F89" w:rsidRDefault="005E2F89" w:rsidP="005E2F89">
            <w:pPr>
              <w:rPr>
                <w:rFonts w:ascii="Arial" w:eastAsia="Times New Roman" w:hAnsi="Arial" w:cs="Arial"/>
                <w:b/>
                <w:color w:val="000000"/>
                <w:sz w:val="14"/>
                <w:szCs w:val="14"/>
              </w:rPr>
            </w:pPr>
            <w:r w:rsidRPr="005E2F89">
              <w:rPr>
                <w:rFonts w:ascii="Arial" w:eastAsia="Times New Roman" w:hAnsi="Arial" w:cs="Arial"/>
                <w:b/>
                <w:color w:val="000000"/>
                <w:sz w:val="14"/>
                <w:szCs w:val="14"/>
              </w:rPr>
              <w:t> </w:t>
            </w:r>
          </w:p>
          <w:p w14:paraId="166A8D6B" w14:textId="08CBECAE" w:rsidR="005E2F89" w:rsidRPr="005E2F89" w:rsidRDefault="005E2F89" w:rsidP="005E2F89">
            <w:pPr>
              <w:rPr>
                <w:rFonts w:ascii="Arial" w:eastAsia="Times New Roman" w:hAnsi="Arial" w:cs="Arial"/>
                <w:b/>
                <w:color w:val="000000"/>
                <w:sz w:val="14"/>
                <w:szCs w:val="14"/>
              </w:rPr>
            </w:pPr>
            <w:r w:rsidRPr="005E2F89">
              <w:rPr>
                <w:rFonts w:ascii="Arial" w:eastAsia="Times New Roman" w:hAnsi="Arial" w:cs="Arial"/>
                <w:b/>
                <w:color w:val="000000"/>
                <w:sz w:val="14"/>
                <w:szCs w:val="14"/>
              </w:rPr>
              <w:t>Ration age group</w:t>
            </w:r>
          </w:p>
        </w:tc>
        <w:tc>
          <w:tcPr>
            <w:tcW w:w="488" w:type="pct"/>
            <w:vMerge w:val="restart"/>
            <w:tcBorders>
              <w:top w:val="single" w:sz="4" w:space="0" w:color="auto"/>
              <w:left w:val="nil"/>
              <w:right w:val="nil"/>
            </w:tcBorders>
            <w:shd w:val="clear" w:color="auto" w:fill="auto"/>
            <w:noWrap/>
            <w:vAlign w:val="center"/>
            <w:hideMark/>
          </w:tcPr>
          <w:p w14:paraId="006547D6" w14:textId="77777777" w:rsidR="005E2F89" w:rsidRPr="005E2F89" w:rsidRDefault="005E2F89" w:rsidP="005E2F89">
            <w:pPr>
              <w:rPr>
                <w:rFonts w:ascii="Arial" w:eastAsia="Times New Roman" w:hAnsi="Arial" w:cs="Arial"/>
                <w:b/>
                <w:color w:val="000000"/>
                <w:sz w:val="14"/>
                <w:szCs w:val="14"/>
              </w:rPr>
            </w:pPr>
            <w:r w:rsidRPr="005E2F89">
              <w:rPr>
                <w:rFonts w:ascii="Arial" w:eastAsia="Times New Roman" w:hAnsi="Arial" w:cs="Arial"/>
                <w:b/>
                <w:color w:val="000000"/>
                <w:sz w:val="14"/>
                <w:szCs w:val="14"/>
              </w:rPr>
              <w:t> </w:t>
            </w:r>
          </w:p>
          <w:p w14:paraId="10BFECF5" w14:textId="48819F21" w:rsidR="005E2F89" w:rsidRPr="005E2F89" w:rsidRDefault="005E2F89" w:rsidP="005E2F89">
            <w:pPr>
              <w:rPr>
                <w:rFonts w:ascii="Arial" w:eastAsia="Times New Roman" w:hAnsi="Arial" w:cs="Arial"/>
                <w:b/>
                <w:color w:val="000000"/>
                <w:sz w:val="14"/>
                <w:szCs w:val="14"/>
              </w:rPr>
            </w:pPr>
            <w:r w:rsidRPr="005E2F89">
              <w:rPr>
                <w:rFonts w:ascii="Arial" w:eastAsia="Times New Roman" w:hAnsi="Arial" w:cs="Arial"/>
                <w:b/>
                <w:color w:val="000000"/>
                <w:sz w:val="14"/>
                <w:szCs w:val="14"/>
              </w:rPr>
              <w:t>Pandemic</w:t>
            </w:r>
          </w:p>
        </w:tc>
        <w:tc>
          <w:tcPr>
            <w:tcW w:w="1100" w:type="pct"/>
            <w:gridSpan w:val="2"/>
            <w:tcBorders>
              <w:top w:val="single" w:sz="4" w:space="0" w:color="auto"/>
              <w:left w:val="nil"/>
              <w:bottom w:val="single" w:sz="4" w:space="0" w:color="auto"/>
              <w:right w:val="nil"/>
            </w:tcBorders>
            <w:shd w:val="clear" w:color="auto" w:fill="auto"/>
            <w:noWrap/>
            <w:vAlign w:val="center"/>
            <w:hideMark/>
          </w:tcPr>
          <w:p w14:paraId="2DF2377D" w14:textId="77777777" w:rsidR="005E2F89" w:rsidRPr="005E2F89" w:rsidRDefault="005E2F89" w:rsidP="005E2F89">
            <w:pPr>
              <w:rPr>
                <w:rFonts w:ascii="Arial" w:eastAsia="Times New Roman" w:hAnsi="Arial" w:cs="Arial"/>
                <w:b/>
                <w:color w:val="000000"/>
                <w:sz w:val="14"/>
                <w:szCs w:val="14"/>
              </w:rPr>
            </w:pPr>
            <w:r w:rsidRPr="005E2F89">
              <w:rPr>
                <w:rFonts w:ascii="Arial" w:eastAsia="Times New Roman" w:hAnsi="Arial" w:cs="Arial"/>
                <w:b/>
                <w:color w:val="000000"/>
                <w:sz w:val="14"/>
                <w:szCs w:val="14"/>
              </w:rPr>
              <w:t>Percentage of stockpile comprising of BXM</w:t>
            </w:r>
          </w:p>
        </w:tc>
        <w:tc>
          <w:tcPr>
            <w:tcW w:w="1100" w:type="pct"/>
            <w:gridSpan w:val="2"/>
            <w:tcBorders>
              <w:top w:val="single" w:sz="4" w:space="0" w:color="auto"/>
              <w:left w:val="nil"/>
              <w:bottom w:val="single" w:sz="4" w:space="0" w:color="auto"/>
              <w:right w:val="nil"/>
            </w:tcBorders>
            <w:shd w:val="clear" w:color="auto" w:fill="auto"/>
            <w:noWrap/>
            <w:vAlign w:val="center"/>
            <w:hideMark/>
          </w:tcPr>
          <w:p w14:paraId="40479100" w14:textId="77777777" w:rsidR="005E2F89" w:rsidRPr="005E2F89" w:rsidRDefault="005E2F89" w:rsidP="005E2F89">
            <w:pPr>
              <w:rPr>
                <w:rFonts w:ascii="Arial" w:eastAsia="Times New Roman" w:hAnsi="Arial" w:cs="Arial"/>
                <w:b/>
                <w:color w:val="000000"/>
                <w:sz w:val="14"/>
                <w:szCs w:val="14"/>
              </w:rPr>
            </w:pPr>
            <w:r w:rsidRPr="005E2F89">
              <w:rPr>
                <w:rFonts w:ascii="Arial" w:eastAsia="Times New Roman" w:hAnsi="Arial" w:cs="Arial"/>
                <w:b/>
                <w:color w:val="000000"/>
                <w:sz w:val="14"/>
                <w:szCs w:val="14"/>
              </w:rPr>
              <w:t>Per-capita BXM demand</w:t>
            </w:r>
          </w:p>
        </w:tc>
        <w:tc>
          <w:tcPr>
            <w:tcW w:w="1100" w:type="pct"/>
            <w:gridSpan w:val="2"/>
            <w:tcBorders>
              <w:top w:val="single" w:sz="4" w:space="0" w:color="auto"/>
              <w:left w:val="nil"/>
              <w:bottom w:val="single" w:sz="4" w:space="0" w:color="auto"/>
              <w:right w:val="nil"/>
            </w:tcBorders>
            <w:shd w:val="clear" w:color="auto" w:fill="auto"/>
            <w:noWrap/>
            <w:vAlign w:val="center"/>
            <w:hideMark/>
          </w:tcPr>
          <w:p w14:paraId="149277A2" w14:textId="77777777" w:rsidR="005E2F89" w:rsidRPr="005E2F89" w:rsidRDefault="005E2F89" w:rsidP="005E2F89">
            <w:pPr>
              <w:rPr>
                <w:rFonts w:ascii="Arial" w:eastAsia="Times New Roman" w:hAnsi="Arial" w:cs="Arial"/>
                <w:b/>
                <w:color w:val="000000"/>
                <w:sz w:val="14"/>
                <w:szCs w:val="14"/>
              </w:rPr>
            </w:pPr>
            <w:r w:rsidRPr="005E2F89">
              <w:rPr>
                <w:rFonts w:ascii="Arial" w:eastAsia="Times New Roman" w:hAnsi="Arial" w:cs="Arial"/>
                <w:b/>
                <w:color w:val="000000"/>
                <w:sz w:val="14"/>
                <w:szCs w:val="14"/>
              </w:rPr>
              <w:t>Per-capita oseltamivir demand</w:t>
            </w:r>
          </w:p>
        </w:tc>
      </w:tr>
      <w:tr w:rsidR="00282B94" w:rsidRPr="005E2F89" w14:paraId="78089A04" w14:textId="77777777" w:rsidTr="00282B94">
        <w:trPr>
          <w:trHeight w:val="397"/>
        </w:trPr>
        <w:tc>
          <w:tcPr>
            <w:tcW w:w="588" w:type="pct"/>
            <w:vMerge/>
            <w:tcBorders>
              <w:left w:val="nil"/>
              <w:bottom w:val="single" w:sz="4" w:space="0" w:color="auto"/>
              <w:right w:val="nil"/>
            </w:tcBorders>
            <w:shd w:val="clear" w:color="auto" w:fill="auto"/>
            <w:noWrap/>
            <w:vAlign w:val="center"/>
            <w:hideMark/>
          </w:tcPr>
          <w:p w14:paraId="06002EE2" w14:textId="35194E0D" w:rsidR="005E2F89" w:rsidRPr="005E2F89" w:rsidRDefault="005E2F89" w:rsidP="005E2F89">
            <w:pPr>
              <w:rPr>
                <w:rFonts w:ascii="Arial" w:eastAsia="Times New Roman" w:hAnsi="Arial" w:cs="Arial"/>
                <w:color w:val="000000"/>
                <w:sz w:val="14"/>
                <w:szCs w:val="14"/>
              </w:rPr>
            </w:pPr>
          </w:p>
        </w:tc>
        <w:tc>
          <w:tcPr>
            <w:tcW w:w="625" w:type="pct"/>
            <w:vMerge/>
            <w:tcBorders>
              <w:left w:val="nil"/>
              <w:bottom w:val="single" w:sz="4" w:space="0" w:color="auto"/>
              <w:right w:val="nil"/>
            </w:tcBorders>
            <w:shd w:val="clear" w:color="auto" w:fill="auto"/>
            <w:noWrap/>
            <w:vAlign w:val="center"/>
            <w:hideMark/>
          </w:tcPr>
          <w:p w14:paraId="50133CA3" w14:textId="202BE656" w:rsidR="005E2F89" w:rsidRPr="005E2F89" w:rsidRDefault="005E2F89" w:rsidP="005E2F89">
            <w:pPr>
              <w:rPr>
                <w:rFonts w:ascii="Arial" w:eastAsia="Times New Roman" w:hAnsi="Arial" w:cs="Arial"/>
                <w:color w:val="000000"/>
                <w:sz w:val="14"/>
                <w:szCs w:val="14"/>
              </w:rPr>
            </w:pPr>
          </w:p>
        </w:tc>
        <w:tc>
          <w:tcPr>
            <w:tcW w:w="488" w:type="pct"/>
            <w:vMerge/>
            <w:tcBorders>
              <w:left w:val="nil"/>
              <w:bottom w:val="single" w:sz="4" w:space="0" w:color="auto"/>
              <w:right w:val="nil"/>
            </w:tcBorders>
            <w:shd w:val="clear" w:color="auto" w:fill="auto"/>
            <w:noWrap/>
            <w:vAlign w:val="center"/>
            <w:hideMark/>
          </w:tcPr>
          <w:p w14:paraId="0D0A1D53" w14:textId="2949699C" w:rsidR="005E2F89" w:rsidRPr="005E2F89" w:rsidRDefault="005E2F89" w:rsidP="005E2F89">
            <w:pPr>
              <w:rPr>
                <w:rFonts w:ascii="Arial" w:eastAsia="Times New Roman" w:hAnsi="Arial" w:cs="Arial"/>
                <w:color w:val="000000"/>
                <w:sz w:val="14"/>
                <w:szCs w:val="14"/>
              </w:rPr>
            </w:pPr>
          </w:p>
        </w:tc>
        <w:tc>
          <w:tcPr>
            <w:tcW w:w="550" w:type="pct"/>
            <w:tcBorders>
              <w:top w:val="nil"/>
              <w:left w:val="nil"/>
              <w:bottom w:val="single" w:sz="4" w:space="0" w:color="auto"/>
              <w:right w:val="nil"/>
            </w:tcBorders>
            <w:shd w:val="clear" w:color="auto" w:fill="auto"/>
            <w:noWrap/>
            <w:vAlign w:val="center"/>
            <w:hideMark/>
          </w:tcPr>
          <w:p w14:paraId="5813A00A" w14:textId="77777777" w:rsidR="005E2F89" w:rsidRPr="005E2F89" w:rsidRDefault="005E2F89" w:rsidP="005E2F89">
            <w:pPr>
              <w:rPr>
                <w:rFonts w:ascii="Arial" w:eastAsia="Times New Roman" w:hAnsi="Arial" w:cs="Arial"/>
                <w:b/>
                <w:color w:val="000000"/>
                <w:sz w:val="14"/>
                <w:szCs w:val="14"/>
              </w:rPr>
            </w:pPr>
            <w:r w:rsidRPr="005E2F89">
              <w:rPr>
                <w:rFonts w:ascii="Arial" w:eastAsia="Times New Roman" w:hAnsi="Arial" w:cs="Arial"/>
                <w:b/>
                <w:color w:val="000000"/>
                <w:sz w:val="14"/>
                <w:szCs w:val="14"/>
              </w:rPr>
              <w:t xml:space="preserve">Median </w:t>
            </w:r>
          </w:p>
        </w:tc>
        <w:tc>
          <w:tcPr>
            <w:tcW w:w="550" w:type="pct"/>
            <w:tcBorders>
              <w:top w:val="nil"/>
              <w:left w:val="nil"/>
              <w:bottom w:val="single" w:sz="4" w:space="0" w:color="auto"/>
              <w:right w:val="nil"/>
            </w:tcBorders>
            <w:shd w:val="clear" w:color="auto" w:fill="auto"/>
            <w:noWrap/>
            <w:vAlign w:val="center"/>
            <w:hideMark/>
          </w:tcPr>
          <w:p w14:paraId="03EF83E4" w14:textId="6FAB586A" w:rsidR="005E2F89" w:rsidRPr="005E2F89" w:rsidRDefault="00282B94" w:rsidP="005E2F89">
            <w:pPr>
              <w:rPr>
                <w:rFonts w:ascii="Arial" w:eastAsia="Times New Roman" w:hAnsi="Arial" w:cs="Arial"/>
                <w:b/>
                <w:color w:val="000000"/>
                <w:sz w:val="14"/>
                <w:szCs w:val="14"/>
              </w:rPr>
            </w:pPr>
            <w:r>
              <w:rPr>
                <w:rFonts w:ascii="Arial" w:eastAsia="Times New Roman" w:hAnsi="Arial" w:cs="Arial"/>
                <w:b/>
                <w:color w:val="000000"/>
                <w:sz w:val="14"/>
                <w:szCs w:val="14"/>
              </w:rPr>
              <w:t>IQR</w:t>
            </w:r>
          </w:p>
        </w:tc>
        <w:tc>
          <w:tcPr>
            <w:tcW w:w="550" w:type="pct"/>
            <w:tcBorders>
              <w:top w:val="nil"/>
              <w:left w:val="nil"/>
              <w:bottom w:val="single" w:sz="4" w:space="0" w:color="auto"/>
              <w:right w:val="nil"/>
            </w:tcBorders>
            <w:shd w:val="clear" w:color="auto" w:fill="auto"/>
            <w:noWrap/>
            <w:vAlign w:val="center"/>
            <w:hideMark/>
          </w:tcPr>
          <w:p w14:paraId="16A376A8" w14:textId="77777777" w:rsidR="005E2F89" w:rsidRPr="005E2F89" w:rsidRDefault="005E2F89" w:rsidP="005E2F89">
            <w:pPr>
              <w:rPr>
                <w:rFonts w:ascii="Arial" w:eastAsia="Times New Roman" w:hAnsi="Arial" w:cs="Arial"/>
                <w:b/>
                <w:color w:val="000000"/>
                <w:sz w:val="14"/>
                <w:szCs w:val="14"/>
              </w:rPr>
            </w:pPr>
            <w:r w:rsidRPr="005E2F89">
              <w:rPr>
                <w:rFonts w:ascii="Arial" w:eastAsia="Times New Roman" w:hAnsi="Arial" w:cs="Arial"/>
                <w:b/>
                <w:color w:val="000000"/>
                <w:sz w:val="14"/>
                <w:szCs w:val="14"/>
              </w:rPr>
              <w:t xml:space="preserve">Median </w:t>
            </w:r>
          </w:p>
        </w:tc>
        <w:tc>
          <w:tcPr>
            <w:tcW w:w="550" w:type="pct"/>
            <w:tcBorders>
              <w:top w:val="nil"/>
              <w:left w:val="nil"/>
              <w:bottom w:val="single" w:sz="4" w:space="0" w:color="auto"/>
              <w:right w:val="nil"/>
            </w:tcBorders>
            <w:shd w:val="clear" w:color="auto" w:fill="auto"/>
            <w:noWrap/>
            <w:vAlign w:val="center"/>
            <w:hideMark/>
          </w:tcPr>
          <w:p w14:paraId="180BC0AF" w14:textId="2A268CB7" w:rsidR="005E2F89" w:rsidRPr="005E2F89" w:rsidRDefault="00282B94" w:rsidP="005E2F89">
            <w:pPr>
              <w:rPr>
                <w:rFonts w:ascii="Arial" w:eastAsia="Times New Roman" w:hAnsi="Arial" w:cs="Arial"/>
                <w:b/>
                <w:color w:val="000000"/>
                <w:sz w:val="14"/>
                <w:szCs w:val="14"/>
              </w:rPr>
            </w:pPr>
            <w:r>
              <w:rPr>
                <w:rFonts w:ascii="Arial" w:eastAsia="Times New Roman" w:hAnsi="Arial" w:cs="Arial"/>
                <w:b/>
                <w:color w:val="000000"/>
                <w:sz w:val="14"/>
                <w:szCs w:val="14"/>
              </w:rPr>
              <w:t>IQR</w:t>
            </w:r>
          </w:p>
        </w:tc>
        <w:tc>
          <w:tcPr>
            <w:tcW w:w="550" w:type="pct"/>
            <w:tcBorders>
              <w:top w:val="nil"/>
              <w:left w:val="nil"/>
              <w:bottom w:val="single" w:sz="4" w:space="0" w:color="auto"/>
              <w:right w:val="nil"/>
            </w:tcBorders>
            <w:shd w:val="clear" w:color="auto" w:fill="auto"/>
            <w:noWrap/>
            <w:vAlign w:val="center"/>
            <w:hideMark/>
          </w:tcPr>
          <w:p w14:paraId="15EBAF27" w14:textId="77777777" w:rsidR="005E2F89" w:rsidRPr="005E2F89" w:rsidRDefault="005E2F89" w:rsidP="005E2F89">
            <w:pPr>
              <w:rPr>
                <w:rFonts w:ascii="Arial" w:eastAsia="Times New Roman" w:hAnsi="Arial" w:cs="Arial"/>
                <w:b/>
                <w:color w:val="000000"/>
                <w:sz w:val="14"/>
                <w:szCs w:val="14"/>
              </w:rPr>
            </w:pPr>
            <w:r w:rsidRPr="005E2F89">
              <w:rPr>
                <w:rFonts w:ascii="Arial" w:eastAsia="Times New Roman" w:hAnsi="Arial" w:cs="Arial"/>
                <w:b/>
                <w:color w:val="000000"/>
                <w:sz w:val="14"/>
                <w:szCs w:val="14"/>
              </w:rPr>
              <w:t xml:space="preserve">Median </w:t>
            </w:r>
          </w:p>
        </w:tc>
        <w:tc>
          <w:tcPr>
            <w:tcW w:w="550" w:type="pct"/>
            <w:tcBorders>
              <w:top w:val="nil"/>
              <w:left w:val="nil"/>
              <w:bottom w:val="single" w:sz="4" w:space="0" w:color="auto"/>
              <w:right w:val="nil"/>
            </w:tcBorders>
            <w:shd w:val="clear" w:color="auto" w:fill="auto"/>
            <w:noWrap/>
            <w:vAlign w:val="center"/>
            <w:hideMark/>
          </w:tcPr>
          <w:p w14:paraId="0DAB19C7" w14:textId="3392333E" w:rsidR="00282B94" w:rsidRPr="005E2F89" w:rsidRDefault="00282B94" w:rsidP="005E2F89">
            <w:pPr>
              <w:rPr>
                <w:rFonts w:ascii="Arial" w:eastAsia="Times New Roman" w:hAnsi="Arial" w:cs="Arial"/>
                <w:b/>
                <w:color w:val="000000"/>
                <w:sz w:val="14"/>
                <w:szCs w:val="14"/>
              </w:rPr>
            </w:pPr>
            <w:r>
              <w:rPr>
                <w:rFonts w:ascii="Arial" w:eastAsia="Times New Roman" w:hAnsi="Arial" w:cs="Arial"/>
                <w:b/>
                <w:color w:val="000000"/>
                <w:sz w:val="14"/>
                <w:szCs w:val="14"/>
              </w:rPr>
              <w:t>IQR</w:t>
            </w:r>
          </w:p>
        </w:tc>
      </w:tr>
      <w:tr w:rsidR="00282B94" w:rsidRPr="005E2F89" w14:paraId="392EB7A7" w14:textId="77777777" w:rsidTr="00282B94">
        <w:trPr>
          <w:trHeight w:val="397"/>
        </w:trPr>
        <w:tc>
          <w:tcPr>
            <w:tcW w:w="588" w:type="pct"/>
            <w:vMerge w:val="restart"/>
            <w:tcBorders>
              <w:top w:val="nil"/>
              <w:left w:val="nil"/>
              <w:bottom w:val="single" w:sz="4" w:space="0" w:color="000000"/>
              <w:right w:val="nil"/>
            </w:tcBorders>
            <w:shd w:val="clear" w:color="auto" w:fill="auto"/>
            <w:noWrap/>
            <w:vAlign w:val="center"/>
            <w:hideMark/>
          </w:tcPr>
          <w:p w14:paraId="7D098A87"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LIC</w:t>
            </w:r>
          </w:p>
        </w:tc>
        <w:tc>
          <w:tcPr>
            <w:tcW w:w="625" w:type="pct"/>
            <w:vMerge w:val="restart"/>
            <w:tcBorders>
              <w:top w:val="nil"/>
              <w:left w:val="nil"/>
              <w:bottom w:val="single" w:sz="4" w:space="0" w:color="000000"/>
              <w:right w:val="nil"/>
            </w:tcBorders>
            <w:shd w:val="clear" w:color="auto" w:fill="auto"/>
            <w:noWrap/>
            <w:vAlign w:val="center"/>
            <w:hideMark/>
          </w:tcPr>
          <w:p w14:paraId="72145FA4"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5-24y</w:t>
            </w:r>
          </w:p>
        </w:tc>
        <w:tc>
          <w:tcPr>
            <w:tcW w:w="488" w:type="pct"/>
            <w:tcBorders>
              <w:top w:val="nil"/>
              <w:left w:val="nil"/>
              <w:bottom w:val="nil"/>
              <w:right w:val="nil"/>
            </w:tcBorders>
            <w:shd w:val="clear" w:color="auto" w:fill="auto"/>
            <w:noWrap/>
            <w:vAlign w:val="center"/>
            <w:hideMark/>
          </w:tcPr>
          <w:p w14:paraId="12A60780"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067A62CA"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64.1%</w:t>
            </w:r>
          </w:p>
        </w:tc>
        <w:tc>
          <w:tcPr>
            <w:tcW w:w="550" w:type="pct"/>
            <w:tcBorders>
              <w:top w:val="nil"/>
              <w:left w:val="nil"/>
              <w:bottom w:val="nil"/>
              <w:right w:val="nil"/>
            </w:tcBorders>
            <w:shd w:val="clear" w:color="auto" w:fill="auto"/>
            <w:noWrap/>
            <w:vAlign w:val="center"/>
            <w:hideMark/>
          </w:tcPr>
          <w:p w14:paraId="202C9615"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58.4% - 67.7%</w:t>
            </w:r>
          </w:p>
        </w:tc>
        <w:tc>
          <w:tcPr>
            <w:tcW w:w="550" w:type="pct"/>
            <w:tcBorders>
              <w:top w:val="nil"/>
              <w:left w:val="nil"/>
              <w:bottom w:val="nil"/>
              <w:right w:val="nil"/>
            </w:tcBorders>
            <w:shd w:val="clear" w:color="auto" w:fill="auto"/>
            <w:noWrap/>
            <w:vAlign w:val="center"/>
            <w:hideMark/>
          </w:tcPr>
          <w:p w14:paraId="69866E0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18.3%</w:t>
            </w:r>
          </w:p>
        </w:tc>
        <w:tc>
          <w:tcPr>
            <w:tcW w:w="550" w:type="pct"/>
            <w:tcBorders>
              <w:top w:val="nil"/>
              <w:left w:val="nil"/>
              <w:bottom w:val="nil"/>
              <w:right w:val="nil"/>
            </w:tcBorders>
            <w:shd w:val="clear" w:color="auto" w:fill="auto"/>
            <w:noWrap/>
            <w:vAlign w:val="center"/>
            <w:hideMark/>
          </w:tcPr>
          <w:p w14:paraId="653810E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15.6% - 55.2%</w:t>
            </w:r>
          </w:p>
        </w:tc>
        <w:tc>
          <w:tcPr>
            <w:tcW w:w="550" w:type="pct"/>
            <w:tcBorders>
              <w:top w:val="nil"/>
              <w:left w:val="nil"/>
              <w:bottom w:val="nil"/>
              <w:right w:val="nil"/>
            </w:tcBorders>
            <w:shd w:val="clear" w:color="auto" w:fill="auto"/>
            <w:noWrap/>
            <w:vAlign w:val="center"/>
            <w:hideMark/>
          </w:tcPr>
          <w:p w14:paraId="32ED729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13.7%</w:t>
            </w:r>
          </w:p>
        </w:tc>
        <w:tc>
          <w:tcPr>
            <w:tcW w:w="550" w:type="pct"/>
            <w:tcBorders>
              <w:top w:val="nil"/>
              <w:left w:val="nil"/>
              <w:bottom w:val="nil"/>
              <w:right w:val="nil"/>
            </w:tcBorders>
            <w:shd w:val="clear" w:color="auto" w:fill="auto"/>
            <w:noWrap/>
            <w:vAlign w:val="center"/>
            <w:hideMark/>
          </w:tcPr>
          <w:p w14:paraId="5A52E52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10.3% - 28.5%</w:t>
            </w:r>
          </w:p>
        </w:tc>
      </w:tr>
      <w:tr w:rsidR="00282B94" w:rsidRPr="005E2F89" w14:paraId="295D0417" w14:textId="77777777" w:rsidTr="00282B94">
        <w:trPr>
          <w:trHeight w:val="397"/>
        </w:trPr>
        <w:tc>
          <w:tcPr>
            <w:tcW w:w="588" w:type="pct"/>
            <w:vMerge/>
            <w:tcBorders>
              <w:top w:val="nil"/>
              <w:left w:val="nil"/>
              <w:bottom w:val="single" w:sz="4" w:space="0" w:color="000000"/>
              <w:right w:val="nil"/>
            </w:tcBorders>
            <w:vAlign w:val="center"/>
            <w:hideMark/>
          </w:tcPr>
          <w:p w14:paraId="5048665F"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048C2926"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10135A18"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5174028A"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61.6%</w:t>
            </w:r>
          </w:p>
        </w:tc>
        <w:tc>
          <w:tcPr>
            <w:tcW w:w="550" w:type="pct"/>
            <w:tcBorders>
              <w:top w:val="nil"/>
              <w:left w:val="nil"/>
              <w:bottom w:val="nil"/>
              <w:right w:val="nil"/>
            </w:tcBorders>
            <w:shd w:val="clear" w:color="auto" w:fill="auto"/>
            <w:noWrap/>
            <w:vAlign w:val="center"/>
            <w:hideMark/>
          </w:tcPr>
          <w:p w14:paraId="6A924E55"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55.9% - 66.0%</w:t>
            </w:r>
          </w:p>
        </w:tc>
        <w:tc>
          <w:tcPr>
            <w:tcW w:w="550" w:type="pct"/>
            <w:tcBorders>
              <w:top w:val="nil"/>
              <w:left w:val="nil"/>
              <w:bottom w:val="nil"/>
              <w:right w:val="nil"/>
            </w:tcBorders>
            <w:shd w:val="clear" w:color="auto" w:fill="auto"/>
            <w:noWrap/>
            <w:vAlign w:val="center"/>
            <w:hideMark/>
          </w:tcPr>
          <w:p w14:paraId="09D409CB"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27.7%</w:t>
            </w:r>
          </w:p>
        </w:tc>
        <w:tc>
          <w:tcPr>
            <w:tcW w:w="550" w:type="pct"/>
            <w:tcBorders>
              <w:top w:val="nil"/>
              <w:left w:val="nil"/>
              <w:bottom w:val="nil"/>
              <w:right w:val="nil"/>
            </w:tcBorders>
            <w:shd w:val="clear" w:color="auto" w:fill="auto"/>
            <w:noWrap/>
            <w:vAlign w:val="center"/>
            <w:hideMark/>
          </w:tcPr>
          <w:p w14:paraId="26886E57"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14.5% - 56.9%</w:t>
            </w:r>
          </w:p>
        </w:tc>
        <w:tc>
          <w:tcPr>
            <w:tcW w:w="550" w:type="pct"/>
            <w:tcBorders>
              <w:top w:val="nil"/>
              <w:left w:val="nil"/>
              <w:bottom w:val="nil"/>
              <w:right w:val="nil"/>
            </w:tcBorders>
            <w:shd w:val="clear" w:color="auto" w:fill="auto"/>
            <w:noWrap/>
            <w:vAlign w:val="center"/>
            <w:hideMark/>
          </w:tcPr>
          <w:p w14:paraId="5AFDBEEB"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16.0%</w:t>
            </w:r>
          </w:p>
        </w:tc>
        <w:tc>
          <w:tcPr>
            <w:tcW w:w="550" w:type="pct"/>
            <w:tcBorders>
              <w:top w:val="nil"/>
              <w:left w:val="nil"/>
              <w:bottom w:val="nil"/>
              <w:right w:val="nil"/>
            </w:tcBorders>
            <w:shd w:val="clear" w:color="auto" w:fill="auto"/>
            <w:noWrap/>
            <w:vAlign w:val="center"/>
            <w:hideMark/>
          </w:tcPr>
          <w:p w14:paraId="539229D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11.3% - 28.2%</w:t>
            </w:r>
          </w:p>
        </w:tc>
      </w:tr>
      <w:tr w:rsidR="00282B94" w:rsidRPr="005E2F89" w14:paraId="679D6903" w14:textId="77777777" w:rsidTr="00282B94">
        <w:trPr>
          <w:trHeight w:val="397"/>
        </w:trPr>
        <w:tc>
          <w:tcPr>
            <w:tcW w:w="588" w:type="pct"/>
            <w:vMerge/>
            <w:tcBorders>
              <w:top w:val="nil"/>
              <w:left w:val="nil"/>
              <w:bottom w:val="single" w:sz="4" w:space="0" w:color="000000"/>
              <w:right w:val="nil"/>
            </w:tcBorders>
            <w:vAlign w:val="center"/>
            <w:hideMark/>
          </w:tcPr>
          <w:p w14:paraId="7072A30B"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78E5E224"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262176BE"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6CD50DA5"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68.8%</w:t>
            </w:r>
          </w:p>
        </w:tc>
        <w:tc>
          <w:tcPr>
            <w:tcW w:w="550" w:type="pct"/>
            <w:tcBorders>
              <w:top w:val="nil"/>
              <w:left w:val="nil"/>
              <w:bottom w:val="nil"/>
              <w:right w:val="nil"/>
            </w:tcBorders>
            <w:shd w:val="clear" w:color="auto" w:fill="auto"/>
            <w:noWrap/>
            <w:vAlign w:val="center"/>
            <w:hideMark/>
          </w:tcPr>
          <w:p w14:paraId="44795CBD"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64.5% - 71.7%</w:t>
            </w:r>
          </w:p>
        </w:tc>
        <w:tc>
          <w:tcPr>
            <w:tcW w:w="550" w:type="pct"/>
            <w:tcBorders>
              <w:top w:val="nil"/>
              <w:left w:val="nil"/>
              <w:bottom w:val="nil"/>
              <w:right w:val="nil"/>
            </w:tcBorders>
            <w:shd w:val="clear" w:color="auto" w:fill="auto"/>
            <w:noWrap/>
            <w:vAlign w:val="center"/>
            <w:hideMark/>
          </w:tcPr>
          <w:p w14:paraId="7EE7AAC7"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21.5%</w:t>
            </w:r>
          </w:p>
        </w:tc>
        <w:tc>
          <w:tcPr>
            <w:tcW w:w="550" w:type="pct"/>
            <w:tcBorders>
              <w:top w:val="nil"/>
              <w:left w:val="nil"/>
              <w:bottom w:val="nil"/>
              <w:right w:val="nil"/>
            </w:tcBorders>
            <w:shd w:val="clear" w:color="auto" w:fill="auto"/>
            <w:noWrap/>
            <w:vAlign w:val="center"/>
            <w:hideMark/>
          </w:tcPr>
          <w:p w14:paraId="188F989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11.1% - 43.2%</w:t>
            </w:r>
          </w:p>
        </w:tc>
        <w:tc>
          <w:tcPr>
            <w:tcW w:w="550" w:type="pct"/>
            <w:tcBorders>
              <w:top w:val="nil"/>
              <w:left w:val="nil"/>
              <w:bottom w:val="nil"/>
              <w:right w:val="nil"/>
            </w:tcBorders>
            <w:shd w:val="clear" w:color="auto" w:fill="auto"/>
            <w:noWrap/>
            <w:vAlign w:val="center"/>
            <w:hideMark/>
          </w:tcPr>
          <w:p w14:paraId="57DEB6D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11.2%</w:t>
            </w:r>
          </w:p>
        </w:tc>
        <w:tc>
          <w:tcPr>
            <w:tcW w:w="550" w:type="pct"/>
            <w:tcBorders>
              <w:top w:val="nil"/>
              <w:left w:val="nil"/>
              <w:bottom w:val="nil"/>
              <w:right w:val="nil"/>
            </w:tcBorders>
            <w:shd w:val="clear" w:color="auto" w:fill="auto"/>
            <w:noWrap/>
            <w:vAlign w:val="center"/>
            <w:hideMark/>
          </w:tcPr>
          <w:p w14:paraId="1619675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4.4% - 22.7%</w:t>
            </w:r>
          </w:p>
        </w:tc>
      </w:tr>
      <w:tr w:rsidR="00282B94" w:rsidRPr="005E2F89" w14:paraId="528D14CA" w14:textId="77777777" w:rsidTr="00282B94">
        <w:trPr>
          <w:trHeight w:val="397"/>
        </w:trPr>
        <w:tc>
          <w:tcPr>
            <w:tcW w:w="588" w:type="pct"/>
            <w:vMerge/>
            <w:tcBorders>
              <w:top w:val="nil"/>
              <w:left w:val="nil"/>
              <w:bottom w:val="single" w:sz="4" w:space="0" w:color="000000"/>
              <w:right w:val="nil"/>
            </w:tcBorders>
            <w:vAlign w:val="center"/>
            <w:hideMark/>
          </w:tcPr>
          <w:p w14:paraId="1CD28916"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53E1C12C"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16BC86F5"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599233E7"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67.2%</w:t>
            </w:r>
          </w:p>
        </w:tc>
        <w:tc>
          <w:tcPr>
            <w:tcW w:w="550" w:type="pct"/>
            <w:tcBorders>
              <w:top w:val="nil"/>
              <w:left w:val="nil"/>
              <w:bottom w:val="single" w:sz="4" w:space="0" w:color="auto"/>
              <w:right w:val="nil"/>
            </w:tcBorders>
            <w:shd w:val="clear" w:color="auto" w:fill="auto"/>
            <w:noWrap/>
            <w:vAlign w:val="center"/>
            <w:hideMark/>
          </w:tcPr>
          <w:p w14:paraId="58DE0905"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53.4% - 93.7%</w:t>
            </w:r>
          </w:p>
        </w:tc>
        <w:tc>
          <w:tcPr>
            <w:tcW w:w="550" w:type="pct"/>
            <w:tcBorders>
              <w:top w:val="nil"/>
              <w:left w:val="nil"/>
              <w:bottom w:val="single" w:sz="4" w:space="0" w:color="auto"/>
              <w:right w:val="nil"/>
            </w:tcBorders>
            <w:shd w:val="clear" w:color="auto" w:fill="auto"/>
            <w:noWrap/>
            <w:vAlign w:val="center"/>
            <w:hideMark/>
          </w:tcPr>
          <w:p w14:paraId="590CF86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14.9%</w:t>
            </w:r>
          </w:p>
        </w:tc>
        <w:tc>
          <w:tcPr>
            <w:tcW w:w="550" w:type="pct"/>
            <w:tcBorders>
              <w:top w:val="nil"/>
              <w:left w:val="nil"/>
              <w:bottom w:val="single" w:sz="4" w:space="0" w:color="auto"/>
              <w:right w:val="nil"/>
            </w:tcBorders>
            <w:shd w:val="clear" w:color="auto" w:fill="auto"/>
            <w:noWrap/>
            <w:vAlign w:val="center"/>
            <w:hideMark/>
          </w:tcPr>
          <w:p w14:paraId="61A37837"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0.3% - 52.9%</w:t>
            </w:r>
          </w:p>
        </w:tc>
        <w:tc>
          <w:tcPr>
            <w:tcW w:w="550" w:type="pct"/>
            <w:tcBorders>
              <w:top w:val="nil"/>
              <w:left w:val="nil"/>
              <w:bottom w:val="single" w:sz="4" w:space="0" w:color="auto"/>
              <w:right w:val="nil"/>
            </w:tcBorders>
            <w:shd w:val="clear" w:color="auto" w:fill="auto"/>
            <w:noWrap/>
            <w:vAlign w:val="center"/>
            <w:hideMark/>
          </w:tcPr>
          <w:p w14:paraId="5747B12B"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14.5%</w:t>
            </w:r>
          </w:p>
        </w:tc>
        <w:tc>
          <w:tcPr>
            <w:tcW w:w="550" w:type="pct"/>
            <w:tcBorders>
              <w:top w:val="nil"/>
              <w:left w:val="nil"/>
              <w:bottom w:val="single" w:sz="4" w:space="0" w:color="auto"/>
              <w:right w:val="nil"/>
            </w:tcBorders>
            <w:shd w:val="clear" w:color="auto" w:fill="auto"/>
            <w:noWrap/>
            <w:vAlign w:val="center"/>
            <w:hideMark/>
          </w:tcPr>
          <w:p w14:paraId="74649AA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 - 25.8%</w:t>
            </w:r>
          </w:p>
        </w:tc>
      </w:tr>
      <w:tr w:rsidR="00282B94" w:rsidRPr="005E2F89" w14:paraId="3568217D" w14:textId="77777777" w:rsidTr="00282B94">
        <w:trPr>
          <w:trHeight w:val="397"/>
        </w:trPr>
        <w:tc>
          <w:tcPr>
            <w:tcW w:w="588" w:type="pct"/>
            <w:vMerge/>
            <w:tcBorders>
              <w:top w:val="nil"/>
              <w:left w:val="nil"/>
              <w:bottom w:val="single" w:sz="4" w:space="0" w:color="000000"/>
              <w:right w:val="nil"/>
            </w:tcBorders>
            <w:vAlign w:val="center"/>
            <w:hideMark/>
          </w:tcPr>
          <w:p w14:paraId="09635E6E" w14:textId="77777777" w:rsidR="005E2F89" w:rsidRPr="005E2F89" w:rsidRDefault="005E2F89" w:rsidP="005E2F89">
            <w:pPr>
              <w:rPr>
                <w:rFonts w:ascii="Arial" w:eastAsia="Times New Roman" w:hAnsi="Arial" w:cs="Arial"/>
                <w:color w:val="000000"/>
                <w:sz w:val="14"/>
                <w:szCs w:val="14"/>
              </w:rPr>
            </w:pPr>
          </w:p>
        </w:tc>
        <w:tc>
          <w:tcPr>
            <w:tcW w:w="625" w:type="pct"/>
            <w:vMerge w:val="restart"/>
            <w:tcBorders>
              <w:top w:val="nil"/>
              <w:left w:val="nil"/>
              <w:bottom w:val="single" w:sz="4" w:space="0" w:color="000000"/>
              <w:right w:val="nil"/>
            </w:tcBorders>
            <w:shd w:val="clear" w:color="auto" w:fill="auto"/>
            <w:noWrap/>
            <w:vAlign w:val="center"/>
            <w:hideMark/>
          </w:tcPr>
          <w:p w14:paraId="442A5BA8"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25-64y</w:t>
            </w:r>
          </w:p>
        </w:tc>
        <w:tc>
          <w:tcPr>
            <w:tcW w:w="488" w:type="pct"/>
            <w:tcBorders>
              <w:top w:val="nil"/>
              <w:left w:val="nil"/>
              <w:bottom w:val="nil"/>
              <w:right w:val="nil"/>
            </w:tcBorders>
            <w:shd w:val="clear" w:color="auto" w:fill="auto"/>
            <w:noWrap/>
            <w:vAlign w:val="center"/>
            <w:hideMark/>
          </w:tcPr>
          <w:p w14:paraId="280B10A1"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4B89A6B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33.8%</w:t>
            </w:r>
          </w:p>
        </w:tc>
        <w:tc>
          <w:tcPr>
            <w:tcW w:w="550" w:type="pct"/>
            <w:tcBorders>
              <w:top w:val="nil"/>
              <w:left w:val="nil"/>
              <w:bottom w:val="nil"/>
              <w:right w:val="nil"/>
            </w:tcBorders>
            <w:shd w:val="clear" w:color="auto" w:fill="auto"/>
            <w:noWrap/>
            <w:vAlign w:val="center"/>
            <w:hideMark/>
          </w:tcPr>
          <w:p w14:paraId="7ACE679D"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30.5% - 37.8%</w:t>
            </w:r>
          </w:p>
        </w:tc>
        <w:tc>
          <w:tcPr>
            <w:tcW w:w="550" w:type="pct"/>
            <w:tcBorders>
              <w:top w:val="nil"/>
              <w:left w:val="nil"/>
              <w:bottom w:val="nil"/>
              <w:right w:val="nil"/>
            </w:tcBorders>
            <w:shd w:val="clear" w:color="auto" w:fill="auto"/>
            <w:noWrap/>
            <w:vAlign w:val="center"/>
            <w:hideMark/>
          </w:tcPr>
          <w:p w14:paraId="5B69F2C3"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12.8%</w:t>
            </w:r>
          </w:p>
        </w:tc>
        <w:tc>
          <w:tcPr>
            <w:tcW w:w="550" w:type="pct"/>
            <w:tcBorders>
              <w:top w:val="nil"/>
              <w:left w:val="nil"/>
              <w:bottom w:val="nil"/>
              <w:right w:val="nil"/>
            </w:tcBorders>
            <w:shd w:val="clear" w:color="auto" w:fill="auto"/>
            <w:noWrap/>
            <w:vAlign w:val="center"/>
            <w:hideMark/>
          </w:tcPr>
          <w:p w14:paraId="0A92FF15"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9.7% - 27.2%</w:t>
            </w:r>
          </w:p>
        </w:tc>
        <w:tc>
          <w:tcPr>
            <w:tcW w:w="550" w:type="pct"/>
            <w:tcBorders>
              <w:top w:val="nil"/>
              <w:left w:val="nil"/>
              <w:bottom w:val="nil"/>
              <w:right w:val="nil"/>
            </w:tcBorders>
            <w:shd w:val="clear" w:color="auto" w:fill="auto"/>
            <w:noWrap/>
            <w:vAlign w:val="center"/>
            <w:hideMark/>
          </w:tcPr>
          <w:p w14:paraId="44506CBF"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19.8%</w:t>
            </w:r>
          </w:p>
        </w:tc>
        <w:tc>
          <w:tcPr>
            <w:tcW w:w="550" w:type="pct"/>
            <w:tcBorders>
              <w:top w:val="nil"/>
              <w:left w:val="nil"/>
              <w:bottom w:val="nil"/>
              <w:right w:val="nil"/>
            </w:tcBorders>
            <w:shd w:val="clear" w:color="auto" w:fill="auto"/>
            <w:noWrap/>
            <w:vAlign w:val="center"/>
            <w:hideMark/>
          </w:tcPr>
          <w:p w14:paraId="5C68A3F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17.1% - 57.4%</w:t>
            </w:r>
          </w:p>
        </w:tc>
      </w:tr>
      <w:tr w:rsidR="00282B94" w:rsidRPr="005E2F89" w14:paraId="718A63A4" w14:textId="77777777" w:rsidTr="00282B94">
        <w:trPr>
          <w:trHeight w:val="397"/>
        </w:trPr>
        <w:tc>
          <w:tcPr>
            <w:tcW w:w="588" w:type="pct"/>
            <w:vMerge/>
            <w:tcBorders>
              <w:top w:val="nil"/>
              <w:left w:val="nil"/>
              <w:bottom w:val="single" w:sz="4" w:space="0" w:color="000000"/>
              <w:right w:val="nil"/>
            </w:tcBorders>
            <w:vAlign w:val="center"/>
            <w:hideMark/>
          </w:tcPr>
          <w:p w14:paraId="76D9868F"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120C071A"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72791A54"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2AF3F6F6"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35.4%</w:t>
            </w:r>
          </w:p>
        </w:tc>
        <w:tc>
          <w:tcPr>
            <w:tcW w:w="550" w:type="pct"/>
            <w:tcBorders>
              <w:top w:val="nil"/>
              <w:left w:val="nil"/>
              <w:bottom w:val="nil"/>
              <w:right w:val="nil"/>
            </w:tcBorders>
            <w:shd w:val="clear" w:color="auto" w:fill="auto"/>
            <w:noWrap/>
            <w:vAlign w:val="center"/>
            <w:hideMark/>
          </w:tcPr>
          <w:p w14:paraId="6C560B50"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32.6% - 40.2%</w:t>
            </w:r>
          </w:p>
        </w:tc>
        <w:tc>
          <w:tcPr>
            <w:tcW w:w="550" w:type="pct"/>
            <w:tcBorders>
              <w:top w:val="nil"/>
              <w:left w:val="nil"/>
              <w:bottom w:val="nil"/>
              <w:right w:val="nil"/>
            </w:tcBorders>
            <w:shd w:val="clear" w:color="auto" w:fill="auto"/>
            <w:noWrap/>
            <w:vAlign w:val="center"/>
            <w:hideMark/>
          </w:tcPr>
          <w:p w14:paraId="3BFCF4FF"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15.0%</w:t>
            </w:r>
          </w:p>
        </w:tc>
        <w:tc>
          <w:tcPr>
            <w:tcW w:w="550" w:type="pct"/>
            <w:tcBorders>
              <w:top w:val="nil"/>
              <w:left w:val="nil"/>
              <w:bottom w:val="nil"/>
              <w:right w:val="nil"/>
            </w:tcBorders>
            <w:shd w:val="clear" w:color="auto" w:fill="auto"/>
            <w:noWrap/>
            <w:vAlign w:val="center"/>
            <w:hideMark/>
          </w:tcPr>
          <w:p w14:paraId="724FBB1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10.6% - 27.2%</w:t>
            </w:r>
          </w:p>
        </w:tc>
        <w:tc>
          <w:tcPr>
            <w:tcW w:w="550" w:type="pct"/>
            <w:tcBorders>
              <w:top w:val="nil"/>
              <w:left w:val="nil"/>
              <w:bottom w:val="nil"/>
              <w:right w:val="nil"/>
            </w:tcBorders>
            <w:shd w:val="clear" w:color="auto" w:fill="auto"/>
            <w:noWrap/>
            <w:vAlign w:val="center"/>
            <w:hideMark/>
          </w:tcPr>
          <w:p w14:paraId="77C8729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28.7%</w:t>
            </w:r>
          </w:p>
        </w:tc>
        <w:tc>
          <w:tcPr>
            <w:tcW w:w="550" w:type="pct"/>
            <w:tcBorders>
              <w:top w:val="nil"/>
              <w:left w:val="nil"/>
              <w:bottom w:val="nil"/>
              <w:right w:val="nil"/>
            </w:tcBorders>
            <w:shd w:val="clear" w:color="auto" w:fill="auto"/>
            <w:noWrap/>
            <w:vAlign w:val="center"/>
            <w:hideMark/>
          </w:tcPr>
          <w:p w14:paraId="5FE1B93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16% - 58.9%</w:t>
            </w:r>
          </w:p>
        </w:tc>
      </w:tr>
      <w:tr w:rsidR="00282B94" w:rsidRPr="005E2F89" w14:paraId="544F365C" w14:textId="77777777" w:rsidTr="00282B94">
        <w:trPr>
          <w:trHeight w:val="397"/>
        </w:trPr>
        <w:tc>
          <w:tcPr>
            <w:tcW w:w="588" w:type="pct"/>
            <w:vMerge/>
            <w:tcBorders>
              <w:top w:val="nil"/>
              <w:left w:val="nil"/>
              <w:bottom w:val="single" w:sz="4" w:space="0" w:color="000000"/>
              <w:right w:val="nil"/>
            </w:tcBorders>
            <w:vAlign w:val="center"/>
            <w:hideMark/>
          </w:tcPr>
          <w:p w14:paraId="651D786C"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36A1AC2A"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7356946E"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5B89439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29.9%</w:t>
            </w:r>
          </w:p>
        </w:tc>
        <w:tc>
          <w:tcPr>
            <w:tcW w:w="550" w:type="pct"/>
            <w:tcBorders>
              <w:top w:val="nil"/>
              <w:left w:val="nil"/>
              <w:bottom w:val="nil"/>
              <w:right w:val="nil"/>
            </w:tcBorders>
            <w:shd w:val="clear" w:color="auto" w:fill="auto"/>
            <w:noWrap/>
            <w:vAlign w:val="center"/>
            <w:hideMark/>
          </w:tcPr>
          <w:p w14:paraId="3BF3970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27.2% - 33.7%</w:t>
            </w:r>
          </w:p>
        </w:tc>
        <w:tc>
          <w:tcPr>
            <w:tcW w:w="550" w:type="pct"/>
            <w:tcBorders>
              <w:top w:val="nil"/>
              <w:left w:val="nil"/>
              <w:bottom w:val="nil"/>
              <w:right w:val="nil"/>
            </w:tcBorders>
            <w:shd w:val="clear" w:color="auto" w:fill="auto"/>
            <w:noWrap/>
            <w:vAlign w:val="center"/>
            <w:hideMark/>
          </w:tcPr>
          <w:p w14:paraId="0AF6D6B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10.9%</w:t>
            </w:r>
          </w:p>
        </w:tc>
        <w:tc>
          <w:tcPr>
            <w:tcW w:w="550" w:type="pct"/>
            <w:tcBorders>
              <w:top w:val="nil"/>
              <w:left w:val="nil"/>
              <w:bottom w:val="nil"/>
              <w:right w:val="nil"/>
            </w:tcBorders>
            <w:shd w:val="clear" w:color="auto" w:fill="auto"/>
            <w:noWrap/>
            <w:vAlign w:val="center"/>
            <w:hideMark/>
          </w:tcPr>
          <w:p w14:paraId="3A971FA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4.5% - 21.7%</w:t>
            </w:r>
          </w:p>
        </w:tc>
        <w:tc>
          <w:tcPr>
            <w:tcW w:w="550" w:type="pct"/>
            <w:tcBorders>
              <w:top w:val="nil"/>
              <w:left w:val="nil"/>
              <w:bottom w:val="nil"/>
              <w:right w:val="nil"/>
            </w:tcBorders>
            <w:shd w:val="clear" w:color="auto" w:fill="auto"/>
            <w:noWrap/>
            <w:vAlign w:val="center"/>
            <w:hideMark/>
          </w:tcPr>
          <w:p w14:paraId="52A59A2A"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22.2%</w:t>
            </w:r>
          </w:p>
        </w:tc>
        <w:tc>
          <w:tcPr>
            <w:tcW w:w="550" w:type="pct"/>
            <w:tcBorders>
              <w:top w:val="nil"/>
              <w:left w:val="nil"/>
              <w:bottom w:val="nil"/>
              <w:right w:val="nil"/>
            </w:tcBorders>
            <w:shd w:val="clear" w:color="auto" w:fill="auto"/>
            <w:noWrap/>
            <w:vAlign w:val="center"/>
            <w:hideMark/>
          </w:tcPr>
          <w:p w14:paraId="361810F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12.1% - 44%</w:t>
            </w:r>
          </w:p>
        </w:tc>
      </w:tr>
      <w:tr w:rsidR="00282B94" w:rsidRPr="005E2F89" w14:paraId="7C651A29" w14:textId="77777777" w:rsidTr="00282B94">
        <w:trPr>
          <w:trHeight w:val="397"/>
        </w:trPr>
        <w:tc>
          <w:tcPr>
            <w:tcW w:w="588" w:type="pct"/>
            <w:vMerge/>
            <w:tcBorders>
              <w:top w:val="nil"/>
              <w:left w:val="nil"/>
              <w:bottom w:val="single" w:sz="4" w:space="0" w:color="000000"/>
              <w:right w:val="nil"/>
            </w:tcBorders>
            <w:vAlign w:val="center"/>
            <w:hideMark/>
          </w:tcPr>
          <w:p w14:paraId="7DE53977"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5DDA8676"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23653D01"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7DE2048F"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30.9%</w:t>
            </w:r>
          </w:p>
        </w:tc>
        <w:tc>
          <w:tcPr>
            <w:tcW w:w="550" w:type="pct"/>
            <w:tcBorders>
              <w:top w:val="nil"/>
              <w:left w:val="nil"/>
              <w:bottom w:val="single" w:sz="4" w:space="0" w:color="auto"/>
              <w:right w:val="nil"/>
            </w:tcBorders>
            <w:shd w:val="clear" w:color="auto" w:fill="auto"/>
            <w:noWrap/>
            <w:vAlign w:val="center"/>
            <w:hideMark/>
          </w:tcPr>
          <w:p w14:paraId="62D5E0CD"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5.8% - 42.8%</w:t>
            </w:r>
          </w:p>
        </w:tc>
        <w:tc>
          <w:tcPr>
            <w:tcW w:w="550" w:type="pct"/>
            <w:tcBorders>
              <w:top w:val="nil"/>
              <w:left w:val="nil"/>
              <w:bottom w:val="single" w:sz="4" w:space="0" w:color="auto"/>
              <w:right w:val="nil"/>
            </w:tcBorders>
            <w:shd w:val="clear" w:color="auto" w:fill="auto"/>
            <w:noWrap/>
            <w:vAlign w:val="center"/>
            <w:hideMark/>
          </w:tcPr>
          <w:p w14:paraId="421E063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13.5%</w:t>
            </w:r>
          </w:p>
        </w:tc>
        <w:tc>
          <w:tcPr>
            <w:tcW w:w="550" w:type="pct"/>
            <w:tcBorders>
              <w:top w:val="nil"/>
              <w:left w:val="nil"/>
              <w:bottom w:val="single" w:sz="4" w:space="0" w:color="auto"/>
              <w:right w:val="nil"/>
            </w:tcBorders>
            <w:shd w:val="clear" w:color="auto" w:fill="auto"/>
            <w:noWrap/>
            <w:vAlign w:val="center"/>
            <w:hideMark/>
          </w:tcPr>
          <w:p w14:paraId="14E25656"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 - 24.6%</w:t>
            </w:r>
          </w:p>
        </w:tc>
        <w:tc>
          <w:tcPr>
            <w:tcW w:w="550" w:type="pct"/>
            <w:tcBorders>
              <w:top w:val="nil"/>
              <w:left w:val="nil"/>
              <w:bottom w:val="single" w:sz="4" w:space="0" w:color="auto"/>
              <w:right w:val="nil"/>
            </w:tcBorders>
            <w:shd w:val="clear" w:color="auto" w:fill="auto"/>
            <w:noWrap/>
            <w:vAlign w:val="center"/>
            <w:hideMark/>
          </w:tcPr>
          <w:p w14:paraId="4A16E49A"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16.6%</w:t>
            </w:r>
          </w:p>
        </w:tc>
        <w:tc>
          <w:tcPr>
            <w:tcW w:w="550" w:type="pct"/>
            <w:tcBorders>
              <w:top w:val="nil"/>
              <w:left w:val="nil"/>
              <w:bottom w:val="single" w:sz="4" w:space="0" w:color="auto"/>
              <w:right w:val="nil"/>
            </w:tcBorders>
            <w:shd w:val="clear" w:color="auto" w:fill="auto"/>
            <w:noWrap/>
            <w:vAlign w:val="center"/>
            <w:hideMark/>
          </w:tcPr>
          <w:p w14:paraId="6B4CCD1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0.3% - 55.7%</w:t>
            </w:r>
          </w:p>
        </w:tc>
      </w:tr>
      <w:tr w:rsidR="00282B94" w:rsidRPr="005E2F89" w14:paraId="6F59C9BD" w14:textId="77777777" w:rsidTr="00282B94">
        <w:trPr>
          <w:trHeight w:val="397"/>
        </w:trPr>
        <w:tc>
          <w:tcPr>
            <w:tcW w:w="588" w:type="pct"/>
            <w:vMerge/>
            <w:tcBorders>
              <w:top w:val="nil"/>
              <w:left w:val="nil"/>
              <w:bottom w:val="single" w:sz="4" w:space="0" w:color="000000"/>
              <w:right w:val="nil"/>
            </w:tcBorders>
            <w:vAlign w:val="center"/>
            <w:hideMark/>
          </w:tcPr>
          <w:p w14:paraId="4DA98E41" w14:textId="77777777" w:rsidR="005E2F89" w:rsidRPr="005E2F89" w:rsidRDefault="005E2F89" w:rsidP="005E2F89">
            <w:pPr>
              <w:rPr>
                <w:rFonts w:ascii="Arial" w:eastAsia="Times New Roman" w:hAnsi="Arial" w:cs="Arial"/>
                <w:color w:val="000000"/>
                <w:sz w:val="14"/>
                <w:szCs w:val="14"/>
              </w:rPr>
            </w:pPr>
          </w:p>
        </w:tc>
        <w:tc>
          <w:tcPr>
            <w:tcW w:w="625" w:type="pct"/>
            <w:vMerge w:val="restart"/>
            <w:tcBorders>
              <w:top w:val="nil"/>
              <w:left w:val="nil"/>
              <w:bottom w:val="single" w:sz="4" w:space="0" w:color="000000"/>
              <w:right w:val="nil"/>
            </w:tcBorders>
            <w:shd w:val="clear" w:color="auto" w:fill="auto"/>
            <w:noWrap/>
            <w:vAlign w:val="center"/>
            <w:hideMark/>
          </w:tcPr>
          <w:p w14:paraId="7CC33B16"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&gt;64y</w:t>
            </w:r>
          </w:p>
        </w:tc>
        <w:tc>
          <w:tcPr>
            <w:tcW w:w="488" w:type="pct"/>
            <w:tcBorders>
              <w:top w:val="nil"/>
              <w:left w:val="nil"/>
              <w:bottom w:val="nil"/>
              <w:right w:val="nil"/>
            </w:tcBorders>
            <w:shd w:val="clear" w:color="auto" w:fill="auto"/>
            <w:noWrap/>
            <w:vAlign w:val="center"/>
            <w:hideMark/>
          </w:tcPr>
          <w:p w14:paraId="68BEB546"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773D290D"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2.5%</w:t>
            </w:r>
          </w:p>
        </w:tc>
        <w:tc>
          <w:tcPr>
            <w:tcW w:w="550" w:type="pct"/>
            <w:tcBorders>
              <w:top w:val="nil"/>
              <w:left w:val="nil"/>
              <w:bottom w:val="nil"/>
              <w:right w:val="nil"/>
            </w:tcBorders>
            <w:shd w:val="clear" w:color="auto" w:fill="auto"/>
            <w:noWrap/>
            <w:vAlign w:val="center"/>
            <w:hideMark/>
          </w:tcPr>
          <w:p w14:paraId="005CC3C6"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2.0% - 3.0%</w:t>
            </w:r>
          </w:p>
        </w:tc>
        <w:tc>
          <w:tcPr>
            <w:tcW w:w="550" w:type="pct"/>
            <w:tcBorders>
              <w:top w:val="nil"/>
              <w:left w:val="nil"/>
              <w:bottom w:val="nil"/>
              <w:right w:val="nil"/>
            </w:tcBorders>
            <w:shd w:val="clear" w:color="auto" w:fill="auto"/>
            <w:noWrap/>
            <w:vAlign w:val="center"/>
            <w:hideMark/>
          </w:tcPr>
          <w:p w14:paraId="01CF33B6"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1.0%</w:t>
            </w:r>
          </w:p>
        </w:tc>
        <w:tc>
          <w:tcPr>
            <w:tcW w:w="550" w:type="pct"/>
            <w:tcBorders>
              <w:top w:val="nil"/>
              <w:left w:val="nil"/>
              <w:bottom w:val="nil"/>
              <w:right w:val="nil"/>
            </w:tcBorders>
            <w:shd w:val="clear" w:color="auto" w:fill="auto"/>
            <w:noWrap/>
            <w:vAlign w:val="center"/>
            <w:hideMark/>
          </w:tcPr>
          <w:p w14:paraId="04FF8A1D"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0.7% - 1.8%</w:t>
            </w:r>
          </w:p>
        </w:tc>
        <w:tc>
          <w:tcPr>
            <w:tcW w:w="550" w:type="pct"/>
            <w:tcBorders>
              <w:top w:val="nil"/>
              <w:left w:val="nil"/>
              <w:bottom w:val="nil"/>
              <w:right w:val="nil"/>
            </w:tcBorders>
            <w:shd w:val="clear" w:color="auto" w:fill="auto"/>
            <w:noWrap/>
            <w:vAlign w:val="center"/>
            <w:hideMark/>
          </w:tcPr>
          <w:p w14:paraId="5A6236D7"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31.6%</w:t>
            </w:r>
          </w:p>
        </w:tc>
        <w:tc>
          <w:tcPr>
            <w:tcW w:w="550" w:type="pct"/>
            <w:tcBorders>
              <w:top w:val="nil"/>
              <w:left w:val="nil"/>
              <w:bottom w:val="nil"/>
              <w:right w:val="nil"/>
            </w:tcBorders>
            <w:shd w:val="clear" w:color="auto" w:fill="auto"/>
            <w:noWrap/>
            <w:vAlign w:val="center"/>
            <w:hideMark/>
          </w:tcPr>
          <w:p w14:paraId="04DEB887"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27.3% - 84.6%</w:t>
            </w:r>
          </w:p>
        </w:tc>
      </w:tr>
      <w:tr w:rsidR="00282B94" w:rsidRPr="005E2F89" w14:paraId="5FDACF73" w14:textId="77777777" w:rsidTr="00282B94">
        <w:trPr>
          <w:trHeight w:val="397"/>
        </w:trPr>
        <w:tc>
          <w:tcPr>
            <w:tcW w:w="588" w:type="pct"/>
            <w:vMerge/>
            <w:tcBorders>
              <w:top w:val="nil"/>
              <w:left w:val="nil"/>
              <w:bottom w:val="single" w:sz="4" w:space="0" w:color="000000"/>
              <w:right w:val="nil"/>
            </w:tcBorders>
            <w:vAlign w:val="center"/>
            <w:hideMark/>
          </w:tcPr>
          <w:p w14:paraId="629D486D"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46F065AC"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0F795CCA"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3DE97B0A"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2.5%</w:t>
            </w:r>
          </w:p>
        </w:tc>
        <w:tc>
          <w:tcPr>
            <w:tcW w:w="550" w:type="pct"/>
            <w:tcBorders>
              <w:top w:val="nil"/>
              <w:left w:val="nil"/>
              <w:bottom w:val="nil"/>
              <w:right w:val="nil"/>
            </w:tcBorders>
            <w:shd w:val="clear" w:color="auto" w:fill="auto"/>
            <w:noWrap/>
            <w:vAlign w:val="center"/>
            <w:hideMark/>
          </w:tcPr>
          <w:p w14:paraId="4121F750"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2.0% - 3.1%</w:t>
            </w:r>
          </w:p>
        </w:tc>
        <w:tc>
          <w:tcPr>
            <w:tcW w:w="550" w:type="pct"/>
            <w:tcBorders>
              <w:top w:val="nil"/>
              <w:left w:val="nil"/>
              <w:bottom w:val="nil"/>
              <w:right w:val="nil"/>
            </w:tcBorders>
            <w:shd w:val="clear" w:color="auto" w:fill="auto"/>
            <w:noWrap/>
            <w:vAlign w:val="center"/>
            <w:hideMark/>
          </w:tcPr>
          <w:p w14:paraId="4F19993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1.1%</w:t>
            </w:r>
          </w:p>
        </w:tc>
        <w:tc>
          <w:tcPr>
            <w:tcW w:w="550" w:type="pct"/>
            <w:tcBorders>
              <w:top w:val="nil"/>
              <w:left w:val="nil"/>
              <w:bottom w:val="nil"/>
              <w:right w:val="nil"/>
            </w:tcBorders>
            <w:shd w:val="clear" w:color="auto" w:fill="auto"/>
            <w:noWrap/>
            <w:vAlign w:val="center"/>
            <w:hideMark/>
          </w:tcPr>
          <w:p w14:paraId="2418CFEB"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0.8% - 1.8%</w:t>
            </w:r>
          </w:p>
        </w:tc>
        <w:tc>
          <w:tcPr>
            <w:tcW w:w="550" w:type="pct"/>
            <w:tcBorders>
              <w:top w:val="nil"/>
              <w:left w:val="nil"/>
              <w:bottom w:val="nil"/>
              <w:right w:val="nil"/>
            </w:tcBorders>
            <w:shd w:val="clear" w:color="auto" w:fill="auto"/>
            <w:noWrap/>
            <w:vAlign w:val="center"/>
            <w:hideMark/>
          </w:tcPr>
          <w:p w14:paraId="66ED2F87"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43.0%</w:t>
            </w:r>
          </w:p>
        </w:tc>
        <w:tc>
          <w:tcPr>
            <w:tcW w:w="550" w:type="pct"/>
            <w:tcBorders>
              <w:top w:val="nil"/>
              <w:left w:val="nil"/>
              <w:bottom w:val="nil"/>
              <w:right w:val="nil"/>
            </w:tcBorders>
            <w:shd w:val="clear" w:color="auto" w:fill="auto"/>
            <w:noWrap/>
            <w:vAlign w:val="center"/>
            <w:hideMark/>
          </w:tcPr>
          <w:p w14:paraId="344540F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26.7% - 84.8%</w:t>
            </w:r>
          </w:p>
        </w:tc>
      </w:tr>
      <w:tr w:rsidR="00282B94" w:rsidRPr="005E2F89" w14:paraId="2A06664D" w14:textId="77777777" w:rsidTr="00282B94">
        <w:trPr>
          <w:trHeight w:val="397"/>
        </w:trPr>
        <w:tc>
          <w:tcPr>
            <w:tcW w:w="588" w:type="pct"/>
            <w:vMerge/>
            <w:tcBorders>
              <w:top w:val="nil"/>
              <w:left w:val="nil"/>
              <w:bottom w:val="single" w:sz="4" w:space="0" w:color="000000"/>
              <w:right w:val="nil"/>
            </w:tcBorders>
            <w:vAlign w:val="center"/>
            <w:hideMark/>
          </w:tcPr>
          <w:p w14:paraId="685548B0"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2AD286F1"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698FA0D1"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461966E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1.0%</w:t>
            </w:r>
          </w:p>
        </w:tc>
        <w:tc>
          <w:tcPr>
            <w:tcW w:w="550" w:type="pct"/>
            <w:tcBorders>
              <w:top w:val="nil"/>
              <w:left w:val="nil"/>
              <w:bottom w:val="nil"/>
              <w:right w:val="nil"/>
            </w:tcBorders>
            <w:shd w:val="clear" w:color="auto" w:fill="auto"/>
            <w:noWrap/>
            <w:vAlign w:val="center"/>
            <w:hideMark/>
          </w:tcPr>
          <w:p w14:paraId="578D010F"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0.7% - 1.8%</w:t>
            </w:r>
          </w:p>
        </w:tc>
        <w:tc>
          <w:tcPr>
            <w:tcW w:w="550" w:type="pct"/>
            <w:tcBorders>
              <w:top w:val="nil"/>
              <w:left w:val="nil"/>
              <w:bottom w:val="nil"/>
              <w:right w:val="nil"/>
            </w:tcBorders>
            <w:shd w:val="clear" w:color="auto" w:fill="auto"/>
            <w:noWrap/>
            <w:vAlign w:val="center"/>
            <w:hideMark/>
          </w:tcPr>
          <w:p w14:paraId="576E7A2F"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0.5%</w:t>
            </w:r>
          </w:p>
        </w:tc>
        <w:tc>
          <w:tcPr>
            <w:tcW w:w="550" w:type="pct"/>
            <w:tcBorders>
              <w:top w:val="nil"/>
              <w:left w:val="nil"/>
              <w:bottom w:val="nil"/>
              <w:right w:val="nil"/>
            </w:tcBorders>
            <w:shd w:val="clear" w:color="auto" w:fill="auto"/>
            <w:noWrap/>
            <w:vAlign w:val="center"/>
            <w:hideMark/>
          </w:tcPr>
          <w:p w14:paraId="44523FD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0.1% - 1.2%</w:t>
            </w:r>
          </w:p>
        </w:tc>
        <w:tc>
          <w:tcPr>
            <w:tcW w:w="550" w:type="pct"/>
            <w:tcBorders>
              <w:top w:val="nil"/>
              <w:left w:val="nil"/>
              <w:bottom w:val="nil"/>
              <w:right w:val="nil"/>
            </w:tcBorders>
            <w:shd w:val="clear" w:color="auto" w:fill="auto"/>
            <w:noWrap/>
            <w:vAlign w:val="center"/>
            <w:hideMark/>
          </w:tcPr>
          <w:p w14:paraId="2267914B"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33.9%</w:t>
            </w:r>
          </w:p>
        </w:tc>
        <w:tc>
          <w:tcPr>
            <w:tcW w:w="550" w:type="pct"/>
            <w:tcBorders>
              <w:top w:val="nil"/>
              <w:left w:val="nil"/>
              <w:bottom w:val="nil"/>
              <w:right w:val="nil"/>
            </w:tcBorders>
            <w:shd w:val="clear" w:color="auto" w:fill="auto"/>
            <w:noWrap/>
            <w:vAlign w:val="center"/>
            <w:hideMark/>
          </w:tcPr>
          <w:p w14:paraId="7A3DA596"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17.1% - 66.1%</w:t>
            </w:r>
          </w:p>
        </w:tc>
      </w:tr>
      <w:tr w:rsidR="00282B94" w:rsidRPr="005E2F89" w14:paraId="6CE0A63B" w14:textId="77777777" w:rsidTr="00282B94">
        <w:trPr>
          <w:trHeight w:val="397"/>
        </w:trPr>
        <w:tc>
          <w:tcPr>
            <w:tcW w:w="588" w:type="pct"/>
            <w:vMerge/>
            <w:tcBorders>
              <w:top w:val="nil"/>
              <w:left w:val="nil"/>
              <w:bottom w:val="single" w:sz="4" w:space="0" w:color="000000"/>
              <w:right w:val="nil"/>
            </w:tcBorders>
            <w:vAlign w:val="center"/>
            <w:hideMark/>
          </w:tcPr>
          <w:p w14:paraId="528F66B9"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62649D5F"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48F6415E"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2A3696A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2.1%</w:t>
            </w:r>
          </w:p>
        </w:tc>
        <w:tc>
          <w:tcPr>
            <w:tcW w:w="550" w:type="pct"/>
            <w:tcBorders>
              <w:top w:val="nil"/>
              <w:left w:val="nil"/>
              <w:bottom w:val="single" w:sz="4" w:space="0" w:color="auto"/>
              <w:right w:val="nil"/>
            </w:tcBorders>
            <w:shd w:val="clear" w:color="auto" w:fill="auto"/>
            <w:noWrap/>
            <w:vAlign w:val="center"/>
            <w:hideMark/>
          </w:tcPr>
          <w:p w14:paraId="0B3E66E7"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0.5% - 3.4%</w:t>
            </w:r>
          </w:p>
        </w:tc>
        <w:tc>
          <w:tcPr>
            <w:tcW w:w="550" w:type="pct"/>
            <w:tcBorders>
              <w:top w:val="nil"/>
              <w:left w:val="nil"/>
              <w:bottom w:val="single" w:sz="4" w:space="0" w:color="auto"/>
              <w:right w:val="nil"/>
            </w:tcBorders>
            <w:shd w:val="clear" w:color="auto" w:fill="auto"/>
            <w:noWrap/>
            <w:vAlign w:val="center"/>
            <w:hideMark/>
          </w:tcPr>
          <w:p w14:paraId="73FE646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1.1%</w:t>
            </w:r>
          </w:p>
        </w:tc>
        <w:tc>
          <w:tcPr>
            <w:tcW w:w="550" w:type="pct"/>
            <w:tcBorders>
              <w:top w:val="nil"/>
              <w:left w:val="nil"/>
              <w:bottom w:val="single" w:sz="4" w:space="0" w:color="auto"/>
              <w:right w:val="nil"/>
            </w:tcBorders>
            <w:shd w:val="clear" w:color="auto" w:fill="auto"/>
            <w:noWrap/>
            <w:vAlign w:val="center"/>
            <w:hideMark/>
          </w:tcPr>
          <w:p w14:paraId="015F0EB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 - 1.7%</w:t>
            </w:r>
          </w:p>
        </w:tc>
        <w:tc>
          <w:tcPr>
            <w:tcW w:w="550" w:type="pct"/>
            <w:tcBorders>
              <w:top w:val="nil"/>
              <w:left w:val="nil"/>
              <w:bottom w:val="single" w:sz="4" w:space="0" w:color="auto"/>
              <w:right w:val="nil"/>
            </w:tcBorders>
            <w:shd w:val="clear" w:color="auto" w:fill="auto"/>
            <w:noWrap/>
            <w:vAlign w:val="center"/>
            <w:hideMark/>
          </w:tcPr>
          <w:p w14:paraId="36C3BAED"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29.5%</w:t>
            </w:r>
          </w:p>
        </w:tc>
        <w:tc>
          <w:tcPr>
            <w:tcW w:w="550" w:type="pct"/>
            <w:tcBorders>
              <w:top w:val="nil"/>
              <w:left w:val="nil"/>
              <w:bottom w:val="single" w:sz="4" w:space="0" w:color="auto"/>
              <w:right w:val="nil"/>
            </w:tcBorders>
            <w:shd w:val="clear" w:color="auto" w:fill="auto"/>
            <w:noWrap/>
            <w:vAlign w:val="center"/>
            <w:hideMark/>
          </w:tcPr>
          <w:p w14:paraId="0DE6DE0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0.3% - 80%</w:t>
            </w:r>
          </w:p>
        </w:tc>
      </w:tr>
      <w:tr w:rsidR="00282B94" w:rsidRPr="005E2F89" w14:paraId="0E249595" w14:textId="77777777" w:rsidTr="00282B94">
        <w:trPr>
          <w:trHeight w:val="397"/>
        </w:trPr>
        <w:tc>
          <w:tcPr>
            <w:tcW w:w="588" w:type="pct"/>
            <w:vMerge w:val="restart"/>
            <w:tcBorders>
              <w:top w:val="nil"/>
              <w:left w:val="nil"/>
              <w:bottom w:val="single" w:sz="4" w:space="0" w:color="000000"/>
              <w:right w:val="nil"/>
            </w:tcBorders>
            <w:shd w:val="clear" w:color="auto" w:fill="auto"/>
            <w:noWrap/>
            <w:vAlign w:val="center"/>
            <w:hideMark/>
          </w:tcPr>
          <w:p w14:paraId="015610A9"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LMIC</w:t>
            </w:r>
          </w:p>
        </w:tc>
        <w:tc>
          <w:tcPr>
            <w:tcW w:w="625" w:type="pct"/>
            <w:vMerge w:val="restart"/>
            <w:tcBorders>
              <w:top w:val="nil"/>
              <w:left w:val="nil"/>
              <w:bottom w:val="single" w:sz="4" w:space="0" w:color="000000"/>
              <w:right w:val="nil"/>
            </w:tcBorders>
            <w:shd w:val="clear" w:color="auto" w:fill="auto"/>
            <w:noWrap/>
            <w:vAlign w:val="center"/>
            <w:hideMark/>
          </w:tcPr>
          <w:p w14:paraId="5DC9D42C"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5-24y</w:t>
            </w:r>
          </w:p>
        </w:tc>
        <w:tc>
          <w:tcPr>
            <w:tcW w:w="488" w:type="pct"/>
            <w:tcBorders>
              <w:top w:val="nil"/>
              <w:left w:val="nil"/>
              <w:bottom w:val="nil"/>
              <w:right w:val="nil"/>
            </w:tcBorders>
            <w:shd w:val="clear" w:color="auto" w:fill="auto"/>
            <w:noWrap/>
            <w:vAlign w:val="center"/>
            <w:hideMark/>
          </w:tcPr>
          <w:p w14:paraId="22DD7F58"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266B0C5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56.1%</w:t>
            </w:r>
          </w:p>
        </w:tc>
        <w:tc>
          <w:tcPr>
            <w:tcW w:w="550" w:type="pct"/>
            <w:tcBorders>
              <w:top w:val="nil"/>
              <w:left w:val="nil"/>
              <w:bottom w:val="nil"/>
              <w:right w:val="nil"/>
            </w:tcBorders>
            <w:shd w:val="clear" w:color="auto" w:fill="auto"/>
            <w:noWrap/>
            <w:vAlign w:val="center"/>
            <w:hideMark/>
          </w:tcPr>
          <w:p w14:paraId="73C62AD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51.4% - 60.8%</w:t>
            </w:r>
          </w:p>
        </w:tc>
        <w:tc>
          <w:tcPr>
            <w:tcW w:w="550" w:type="pct"/>
            <w:tcBorders>
              <w:top w:val="nil"/>
              <w:left w:val="nil"/>
              <w:bottom w:val="nil"/>
              <w:right w:val="nil"/>
            </w:tcBorders>
            <w:shd w:val="clear" w:color="auto" w:fill="auto"/>
            <w:noWrap/>
            <w:vAlign w:val="center"/>
            <w:hideMark/>
          </w:tcPr>
          <w:p w14:paraId="146773BF"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16.7%</w:t>
            </w:r>
          </w:p>
        </w:tc>
        <w:tc>
          <w:tcPr>
            <w:tcW w:w="550" w:type="pct"/>
            <w:tcBorders>
              <w:top w:val="nil"/>
              <w:left w:val="nil"/>
              <w:bottom w:val="nil"/>
              <w:right w:val="nil"/>
            </w:tcBorders>
            <w:shd w:val="clear" w:color="auto" w:fill="auto"/>
            <w:noWrap/>
            <w:vAlign w:val="center"/>
            <w:hideMark/>
          </w:tcPr>
          <w:p w14:paraId="5FD02BD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12.3% - 44.9%</w:t>
            </w:r>
          </w:p>
        </w:tc>
        <w:tc>
          <w:tcPr>
            <w:tcW w:w="550" w:type="pct"/>
            <w:tcBorders>
              <w:top w:val="nil"/>
              <w:left w:val="nil"/>
              <w:bottom w:val="nil"/>
              <w:right w:val="nil"/>
            </w:tcBorders>
            <w:shd w:val="clear" w:color="auto" w:fill="auto"/>
            <w:noWrap/>
            <w:vAlign w:val="center"/>
            <w:hideMark/>
          </w:tcPr>
          <w:p w14:paraId="502EE5EB"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15.6%</w:t>
            </w:r>
          </w:p>
        </w:tc>
        <w:tc>
          <w:tcPr>
            <w:tcW w:w="550" w:type="pct"/>
            <w:tcBorders>
              <w:top w:val="nil"/>
              <w:left w:val="nil"/>
              <w:bottom w:val="nil"/>
              <w:right w:val="nil"/>
            </w:tcBorders>
            <w:shd w:val="clear" w:color="auto" w:fill="auto"/>
            <w:noWrap/>
            <w:vAlign w:val="center"/>
            <w:hideMark/>
          </w:tcPr>
          <w:p w14:paraId="32374A27"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11.6% - 31.8%</w:t>
            </w:r>
          </w:p>
        </w:tc>
      </w:tr>
      <w:tr w:rsidR="00282B94" w:rsidRPr="005E2F89" w14:paraId="639CF2F0" w14:textId="77777777" w:rsidTr="00282B94">
        <w:trPr>
          <w:trHeight w:val="397"/>
        </w:trPr>
        <w:tc>
          <w:tcPr>
            <w:tcW w:w="588" w:type="pct"/>
            <w:vMerge/>
            <w:tcBorders>
              <w:top w:val="nil"/>
              <w:left w:val="nil"/>
              <w:bottom w:val="single" w:sz="4" w:space="0" w:color="000000"/>
              <w:right w:val="nil"/>
            </w:tcBorders>
            <w:vAlign w:val="center"/>
            <w:hideMark/>
          </w:tcPr>
          <w:p w14:paraId="2C8B3FAF"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7516EC25"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0B6E43E7"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202F9D2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55.4%</w:t>
            </w:r>
          </w:p>
        </w:tc>
        <w:tc>
          <w:tcPr>
            <w:tcW w:w="550" w:type="pct"/>
            <w:tcBorders>
              <w:top w:val="nil"/>
              <w:left w:val="nil"/>
              <w:bottom w:val="nil"/>
              <w:right w:val="nil"/>
            </w:tcBorders>
            <w:shd w:val="clear" w:color="auto" w:fill="auto"/>
            <w:noWrap/>
            <w:vAlign w:val="center"/>
            <w:hideMark/>
          </w:tcPr>
          <w:p w14:paraId="5DACCFC3"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51.3% - 59.4%</w:t>
            </w:r>
          </w:p>
        </w:tc>
        <w:tc>
          <w:tcPr>
            <w:tcW w:w="550" w:type="pct"/>
            <w:tcBorders>
              <w:top w:val="nil"/>
              <w:left w:val="nil"/>
              <w:bottom w:val="nil"/>
              <w:right w:val="nil"/>
            </w:tcBorders>
            <w:shd w:val="clear" w:color="auto" w:fill="auto"/>
            <w:noWrap/>
            <w:vAlign w:val="center"/>
            <w:hideMark/>
          </w:tcPr>
          <w:p w14:paraId="49AB4993"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16.6%</w:t>
            </w:r>
          </w:p>
        </w:tc>
        <w:tc>
          <w:tcPr>
            <w:tcW w:w="550" w:type="pct"/>
            <w:tcBorders>
              <w:top w:val="nil"/>
              <w:left w:val="nil"/>
              <w:bottom w:val="nil"/>
              <w:right w:val="nil"/>
            </w:tcBorders>
            <w:shd w:val="clear" w:color="auto" w:fill="auto"/>
            <w:noWrap/>
            <w:vAlign w:val="center"/>
            <w:hideMark/>
          </w:tcPr>
          <w:p w14:paraId="4B326F2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12.7% - 44.3%</w:t>
            </w:r>
          </w:p>
        </w:tc>
        <w:tc>
          <w:tcPr>
            <w:tcW w:w="550" w:type="pct"/>
            <w:tcBorders>
              <w:top w:val="nil"/>
              <w:left w:val="nil"/>
              <w:bottom w:val="nil"/>
              <w:right w:val="nil"/>
            </w:tcBorders>
            <w:shd w:val="clear" w:color="auto" w:fill="auto"/>
            <w:noWrap/>
            <w:vAlign w:val="center"/>
            <w:hideMark/>
          </w:tcPr>
          <w:p w14:paraId="68DF3AC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15.6%</w:t>
            </w:r>
          </w:p>
        </w:tc>
        <w:tc>
          <w:tcPr>
            <w:tcW w:w="550" w:type="pct"/>
            <w:tcBorders>
              <w:top w:val="nil"/>
              <w:left w:val="nil"/>
              <w:bottom w:val="nil"/>
              <w:right w:val="nil"/>
            </w:tcBorders>
            <w:shd w:val="clear" w:color="auto" w:fill="auto"/>
            <w:noWrap/>
            <w:vAlign w:val="center"/>
            <w:hideMark/>
          </w:tcPr>
          <w:p w14:paraId="56DFD28B"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12.1% - 30.6%</w:t>
            </w:r>
          </w:p>
        </w:tc>
      </w:tr>
      <w:tr w:rsidR="00282B94" w:rsidRPr="005E2F89" w14:paraId="1E5DBFD2" w14:textId="77777777" w:rsidTr="00282B94">
        <w:trPr>
          <w:trHeight w:val="397"/>
        </w:trPr>
        <w:tc>
          <w:tcPr>
            <w:tcW w:w="588" w:type="pct"/>
            <w:vMerge/>
            <w:tcBorders>
              <w:top w:val="nil"/>
              <w:left w:val="nil"/>
              <w:bottom w:val="single" w:sz="4" w:space="0" w:color="000000"/>
              <w:right w:val="nil"/>
            </w:tcBorders>
            <w:vAlign w:val="center"/>
            <w:hideMark/>
          </w:tcPr>
          <w:p w14:paraId="1720D63A"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61C73E45"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33ACB6AF"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03E9145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66.6%</w:t>
            </w:r>
          </w:p>
        </w:tc>
        <w:tc>
          <w:tcPr>
            <w:tcW w:w="550" w:type="pct"/>
            <w:tcBorders>
              <w:top w:val="nil"/>
              <w:left w:val="nil"/>
              <w:bottom w:val="nil"/>
              <w:right w:val="nil"/>
            </w:tcBorders>
            <w:shd w:val="clear" w:color="auto" w:fill="auto"/>
            <w:noWrap/>
            <w:vAlign w:val="center"/>
            <w:hideMark/>
          </w:tcPr>
          <w:p w14:paraId="1FBE335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60.8% - 72.7%</w:t>
            </w:r>
          </w:p>
        </w:tc>
        <w:tc>
          <w:tcPr>
            <w:tcW w:w="550" w:type="pct"/>
            <w:tcBorders>
              <w:top w:val="nil"/>
              <w:left w:val="nil"/>
              <w:bottom w:val="nil"/>
              <w:right w:val="nil"/>
            </w:tcBorders>
            <w:shd w:val="clear" w:color="auto" w:fill="auto"/>
            <w:noWrap/>
            <w:vAlign w:val="center"/>
            <w:hideMark/>
          </w:tcPr>
          <w:p w14:paraId="5EC51D86"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13.2%</w:t>
            </w:r>
          </w:p>
        </w:tc>
        <w:tc>
          <w:tcPr>
            <w:tcW w:w="550" w:type="pct"/>
            <w:tcBorders>
              <w:top w:val="nil"/>
              <w:left w:val="nil"/>
              <w:bottom w:val="nil"/>
              <w:right w:val="nil"/>
            </w:tcBorders>
            <w:shd w:val="clear" w:color="auto" w:fill="auto"/>
            <w:noWrap/>
            <w:vAlign w:val="center"/>
            <w:hideMark/>
          </w:tcPr>
          <w:p w14:paraId="4B0A73FF"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8.5% - 28.4%</w:t>
            </w:r>
          </w:p>
        </w:tc>
        <w:tc>
          <w:tcPr>
            <w:tcW w:w="550" w:type="pct"/>
            <w:tcBorders>
              <w:top w:val="nil"/>
              <w:left w:val="nil"/>
              <w:bottom w:val="nil"/>
              <w:right w:val="nil"/>
            </w:tcBorders>
            <w:shd w:val="clear" w:color="auto" w:fill="auto"/>
            <w:noWrap/>
            <w:vAlign w:val="center"/>
            <w:hideMark/>
          </w:tcPr>
          <w:p w14:paraId="6B10E110"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5.8%</w:t>
            </w:r>
          </w:p>
        </w:tc>
        <w:tc>
          <w:tcPr>
            <w:tcW w:w="550" w:type="pct"/>
            <w:tcBorders>
              <w:top w:val="nil"/>
              <w:left w:val="nil"/>
              <w:bottom w:val="nil"/>
              <w:right w:val="nil"/>
            </w:tcBorders>
            <w:shd w:val="clear" w:color="auto" w:fill="auto"/>
            <w:noWrap/>
            <w:vAlign w:val="center"/>
            <w:hideMark/>
          </w:tcPr>
          <w:p w14:paraId="0197247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3.2% - 18.5%</w:t>
            </w:r>
          </w:p>
        </w:tc>
      </w:tr>
      <w:tr w:rsidR="00282B94" w:rsidRPr="005E2F89" w14:paraId="0402AC3F" w14:textId="77777777" w:rsidTr="00282B94">
        <w:trPr>
          <w:trHeight w:val="397"/>
        </w:trPr>
        <w:tc>
          <w:tcPr>
            <w:tcW w:w="588" w:type="pct"/>
            <w:vMerge/>
            <w:tcBorders>
              <w:top w:val="nil"/>
              <w:left w:val="nil"/>
              <w:bottom w:val="single" w:sz="4" w:space="0" w:color="000000"/>
              <w:right w:val="nil"/>
            </w:tcBorders>
            <w:vAlign w:val="center"/>
            <w:hideMark/>
          </w:tcPr>
          <w:p w14:paraId="0D949AAF"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18FEDDD1"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04905988"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30C773E3"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59.8%</w:t>
            </w:r>
          </w:p>
        </w:tc>
        <w:tc>
          <w:tcPr>
            <w:tcW w:w="550" w:type="pct"/>
            <w:tcBorders>
              <w:top w:val="nil"/>
              <w:left w:val="nil"/>
              <w:bottom w:val="single" w:sz="4" w:space="0" w:color="auto"/>
              <w:right w:val="nil"/>
            </w:tcBorders>
            <w:shd w:val="clear" w:color="auto" w:fill="auto"/>
            <w:noWrap/>
            <w:vAlign w:val="center"/>
            <w:hideMark/>
          </w:tcPr>
          <w:p w14:paraId="6EB5938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48.3% - 81.5%</w:t>
            </w:r>
          </w:p>
        </w:tc>
        <w:tc>
          <w:tcPr>
            <w:tcW w:w="550" w:type="pct"/>
            <w:tcBorders>
              <w:top w:val="nil"/>
              <w:left w:val="nil"/>
              <w:bottom w:val="single" w:sz="4" w:space="0" w:color="auto"/>
              <w:right w:val="nil"/>
            </w:tcBorders>
            <w:shd w:val="clear" w:color="auto" w:fill="auto"/>
            <w:noWrap/>
            <w:vAlign w:val="center"/>
            <w:hideMark/>
          </w:tcPr>
          <w:p w14:paraId="46E8C1B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14.0%</w:t>
            </w:r>
          </w:p>
        </w:tc>
        <w:tc>
          <w:tcPr>
            <w:tcW w:w="550" w:type="pct"/>
            <w:tcBorders>
              <w:top w:val="nil"/>
              <w:left w:val="nil"/>
              <w:bottom w:val="single" w:sz="4" w:space="0" w:color="auto"/>
              <w:right w:val="nil"/>
            </w:tcBorders>
            <w:shd w:val="clear" w:color="auto" w:fill="auto"/>
            <w:noWrap/>
            <w:vAlign w:val="center"/>
            <w:hideMark/>
          </w:tcPr>
          <w:p w14:paraId="6A5CB03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0.1% - 45.1%</w:t>
            </w:r>
          </w:p>
        </w:tc>
        <w:tc>
          <w:tcPr>
            <w:tcW w:w="550" w:type="pct"/>
            <w:tcBorders>
              <w:top w:val="nil"/>
              <w:left w:val="nil"/>
              <w:bottom w:val="single" w:sz="4" w:space="0" w:color="auto"/>
              <w:right w:val="nil"/>
            </w:tcBorders>
            <w:shd w:val="clear" w:color="auto" w:fill="auto"/>
            <w:noWrap/>
            <w:vAlign w:val="center"/>
            <w:hideMark/>
          </w:tcPr>
          <w:p w14:paraId="00E04DC7"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17.2%</w:t>
            </w:r>
          </w:p>
        </w:tc>
        <w:tc>
          <w:tcPr>
            <w:tcW w:w="550" w:type="pct"/>
            <w:tcBorders>
              <w:top w:val="nil"/>
              <w:left w:val="nil"/>
              <w:bottom w:val="single" w:sz="4" w:space="0" w:color="auto"/>
              <w:right w:val="nil"/>
            </w:tcBorders>
            <w:shd w:val="clear" w:color="auto" w:fill="auto"/>
            <w:noWrap/>
            <w:vAlign w:val="center"/>
            <w:hideMark/>
          </w:tcPr>
          <w:p w14:paraId="3814761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 - 29.8%</w:t>
            </w:r>
          </w:p>
        </w:tc>
      </w:tr>
      <w:tr w:rsidR="00282B94" w:rsidRPr="005E2F89" w14:paraId="0E37C772" w14:textId="77777777" w:rsidTr="00282B94">
        <w:trPr>
          <w:trHeight w:val="397"/>
        </w:trPr>
        <w:tc>
          <w:tcPr>
            <w:tcW w:w="588" w:type="pct"/>
            <w:vMerge/>
            <w:tcBorders>
              <w:top w:val="nil"/>
              <w:left w:val="nil"/>
              <w:bottom w:val="single" w:sz="4" w:space="0" w:color="000000"/>
              <w:right w:val="nil"/>
            </w:tcBorders>
            <w:vAlign w:val="center"/>
            <w:hideMark/>
          </w:tcPr>
          <w:p w14:paraId="759696B2" w14:textId="77777777" w:rsidR="005E2F89" w:rsidRPr="005E2F89" w:rsidRDefault="005E2F89" w:rsidP="005E2F89">
            <w:pPr>
              <w:rPr>
                <w:rFonts w:ascii="Arial" w:eastAsia="Times New Roman" w:hAnsi="Arial" w:cs="Arial"/>
                <w:color w:val="000000"/>
                <w:sz w:val="14"/>
                <w:szCs w:val="14"/>
              </w:rPr>
            </w:pPr>
          </w:p>
        </w:tc>
        <w:tc>
          <w:tcPr>
            <w:tcW w:w="625" w:type="pct"/>
            <w:vMerge w:val="restart"/>
            <w:tcBorders>
              <w:top w:val="nil"/>
              <w:left w:val="nil"/>
              <w:bottom w:val="single" w:sz="4" w:space="0" w:color="000000"/>
              <w:right w:val="nil"/>
            </w:tcBorders>
            <w:shd w:val="clear" w:color="auto" w:fill="auto"/>
            <w:noWrap/>
            <w:vAlign w:val="center"/>
            <w:hideMark/>
          </w:tcPr>
          <w:p w14:paraId="2D201224"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25-64y</w:t>
            </w:r>
          </w:p>
        </w:tc>
        <w:tc>
          <w:tcPr>
            <w:tcW w:w="488" w:type="pct"/>
            <w:tcBorders>
              <w:top w:val="nil"/>
              <w:left w:val="nil"/>
              <w:bottom w:val="nil"/>
              <w:right w:val="nil"/>
            </w:tcBorders>
            <w:shd w:val="clear" w:color="auto" w:fill="auto"/>
            <w:noWrap/>
            <w:vAlign w:val="center"/>
            <w:hideMark/>
          </w:tcPr>
          <w:p w14:paraId="4264C313"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2E9C7B2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40.5%</w:t>
            </w:r>
          </w:p>
        </w:tc>
        <w:tc>
          <w:tcPr>
            <w:tcW w:w="550" w:type="pct"/>
            <w:tcBorders>
              <w:top w:val="nil"/>
              <w:left w:val="nil"/>
              <w:bottom w:val="nil"/>
              <w:right w:val="nil"/>
            </w:tcBorders>
            <w:shd w:val="clear" w:color="auto" w:fill="auto"/>
            <w:noWrap/>
            <w:vAlign w:val="center"/>
            <w:hideMark/>
          </w:tcPr>
          <w:p w14:paraId="442C88EA"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36.4% - 44.8%</w:t>
            </w:r>
          </w:p>
        </w:tc>
        <w:tc>
          <w:tcPr>
            <w:tcW w:w="550" w:type="pct"/>
            <w:tcBorders>
              <w:top w:val="nil"/>
              <w:left w:val="nil"/>
              <w:bottom w:val="nil"/>
              <w:right w:val="nil"/>
            </w:tcBorders>
            <w:shd w:val="clear" w:color="auto" w:fill="auto"/>
            <w:noWrap/>
            <w:vAlign w:val="center"/>
            <w:hideMark/>
          </w:tcPr>
          <w:p w14:paraId="7B8D505F"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14.2%</w:t>
            </w:r>
          </w:p>
        </w:tc>
        <w:tc>
          <w:tcPr>
            <w:tcW w:w="550" w:type="pct"/>
            <w:tcBorders>
              <w:top w:val="nil"/>
              <w:left w:val="nil"/>
              <w:bottom w:val="nil"/>
              <w:right w:val="nil"/>
            </w:tcBorders>
            <w:shd w:val="clear" w:color="auto" w:fill="auto"/>
            <w:noWrap/>
            <w:vAlign w:val="center"/>
            <w:hideMark/>
          </w:tcPr>
          <w:p w14:paraId="775144C5"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10.7% - 30%</w:t>
            </w:r>
          </w:p>
        </w:tc>
        <w:tc>
          <w:tcPr>
            <w:tcW w:w="550" w:type="pct"/>
            <w:tcBorders>
              <w:top w:val="nil"/>
              <w:left w:val="nil"/>
              <w:bottom w:val="nil"/>
              <w:right w:val="nil"/>
            </w:tcBorders>
            <w:shd w:val="clear" w:color="auto" w:fill="auto"/>
            <w:noWrap/>
            <w:vAlign w:val="center"/>
            <w:hideMark/>
          </w:tcPr>
          <w:p w14:paraId="03C827F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18.3%</w:t>
            </w:r>
          </w:p>
        </w:tc>
        <w:tc>
          <w:tcPr>
            <w:tcW w:w="550" w:type="pct"/>
            <w:tcBorders>
              <w:top w:val="nil"/>
              <w:left w:val="nil"/>
              <w:bottom w:val="nil"/>
              <w:right w:val="nil"/>
            </w:tcBorders>
            <w:shd w:val="clear" w:color="auto" w:fill="auto"/>
            <w:noWrap/>
            <w:vAlign w:val="center"/>
            <w:hideMark/>
          </w:tcPr>
          <w:p w14:paraId="30B0EB1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13.6% - 47.1%</w:t>
            </w:r>
          </w:p>
        </w:tc>
      </w:tr>
      <w:tr w:rsidR="00282B94" w:rsidRPr="005E2F89" w14:paraId="27470BA9" w14:textId="77777777" w:rsidTr="00282B94">
        <w:trPr>
          <w:trHeight w:val="397"/>
        </w:trPr>
        <w:tc>
          <w:tcPr>
            <w:tcW w:w="588" w:type="pct"/>
            <w:vMerge/>
            <w:tcBorders>
              <w:top w:val="nil"/>
              <w:left w:val="nil"/>
              <w:bottom w:val="single" w:sz="4" w:space="0" w:color="000000"/>
              <w:right w:val="nil"/>
            </w:tcBorders>
            <w:vAlign w:val="center"/>
            <w:hideMark/>
          </w:tcPr>
          <w:p w14:paraId="0CEB1E15"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32EDD1EA"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689AC004"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13C55AA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41.2%</w:t>
            </w:r>
          </w:p>
        </w:tc>
        <w:tc>
          <w:tcPr>
            <w:tcW w:w="550" w:type="pct"/>
            <w:tcBorders>
              <w:top w:val="nil"/>
              <w:left w:val="nil"/>
              <w:bottom w:val="nil"/>
              <w:right w:val="nil"/>
            </w:tcBorders>
            <w:shd w:val="clear" w:color="auto" w:fill="auto"/>
            <w:noWrap/>
            <w:vAlign w:val="center"/>
            <w:hideMark/>
          </w:tcPr>
          <w:p w14:paraId="1532B206"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38.0% - 44.4%</w:t>
            </w:r>
          </w:p>
        </w:tc>
        <w:tc>
          <w:tcPr>
            <w:tcW w:w="550" w:type="pct"/>
            <w:tcBorders>
              <w:top w:val="nil"/>
              <w:left w:val="nil"/>
              <w:bottom w:val="nil"/>
              <w:right w:val="nil"/>
            </w:tcBorders>
            <w:shd w:val="clear" w:color="auto" w:fill="auto"/>
            <w:noWrap/>
            <w:vAlign w:val="center"/>
            <w:hideMark/>
          </w:tcPr>
          <w:p w14:paraId="54E45A5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14.2%</w:t>
            </w:r>
          </w:p>
        </w:tc>
        <w:tc>
          <w:tcPr>
            <w:tcW w:w="550" w:type="pct"/>
            <w:tcBorders>
              <w:top w:val="nil"/>
              <w:left w:val="nil"/>
              <w:bottom w:val="nil"/>
              <w:right w:val="nil"/>
            </w:tcBorders>
            <w:shd w:val="clear" w:color="auto" w:fill="auto"/>
            <w:noWrap/>
            <w:vAlign w:val="center"/>
            <w:hideMark/>
          </w:tcPr>
          <w:p w14:paraId="576B4E8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11.2% - 29%</w:t>
            </w:r>
          </w:p>
        </w:tc>
        <w:tc>
          <w:tcPr>
            <w:tcW w:w="550" w:type="pct"/>
            <w:tcBorders>
              <w:top w:val="nil"/>
              <w:left w:val="nil"/>
              <w:bottom w:val="nil"/>
              <w:right w:val="nil"/>
            </w:tcBorders>
            <w:shd w:val="clear" w:color="auto" w:fill="auto"/>
            <w:noWrap/>
            <w:vAlign w:val="center"/>
            <w:hideMark/>
          </w:tcPr>
          <w:p w14:paraId="4AB008A7"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17.9%</w:t>
            </w:r>
          </w:p>
        </w:tc>
        <w:tc>
          <w:tcPr>
            <w:tcW w:w="550" w:type="pct"/>
            <w:tcBorders>
              <w:top w:val="nil"/>
              <w:left w:val="nil"/>
              <w:bottom w:val="nil"/>
              <w:right w:val="nil"/>
            </w:tcBorders>
            <w:shd w:val="clear" w:color="auto" w:fill="auto"/>
            <w:noWrap/>
            <w:vAlign w:val="center"/>
            <w:hideMark/>
          </w:tcPr>
          <w:p w14:paraId="5E48BB5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14.1% - 46.4%</w:t>
            </w:r>
          </w:p>
        </w:tc>
      </w:tr>
      <w:tr w:rsidR="00282B94" w:rsidRPr="005E2F89" w14:paraId="58696C4D" w14:textId="77777777" w:rsidTr="00282B94">
        <w:trPr>
          <w:trHeight w:val="397"/>
        </w:trPr>
        <w:tc>
          <w:tcPr>
            <w:tcW w:w="588" w:type="pct"/>
            <w:vMerge/>
            <w:tcBorders>
              <w:top w:val="nil"/>
              <w:left w:val="nil"/>
              <w:bottom w:val="single" w:sz="4" w:space="0" w:color="000000"/>
              <w:right w:val="nil"/>
            </w:tcBorders>
            <w:vAlign w:val="center"/>
            <w:hideMark/>
          </w:tcPr>
          <w:p w14:paraId="6B97282F"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20ED9274"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55183DE3"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1E0B0DD3"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31.9%</w:t>
            </w:r>
          </w:p>
        </w:tc>
        <w:tc>
          <w:tcPr>
            <w:tcW w:w="550" w:type="pct"/>
            <w:tcBorders>
              <w:top w:val="nil"/>
              <w:left w:val="nil"/>
              <w:bottom w:val="nil"/>
              <w:right w:val="nil"/>
            </w:tcBorders>
            <w:shd w:val="clear" w:color="auto" w:fill="auto"/>
            <w:noWrap/>
            <w:vAlign w:val="center"/>
            <w:hideMark/>
          </w:tcPr>
          <w:p w14:paraId="291E21C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26.4% - 37.3%</w:t>
            </w:r>
          </w:p>
        </w:tc>
        <w:tc>
          <w:tcPr>
            <w:tcW w:w="550" w:type="pct"/>
            <w:tcBorders>
              <w:top w:val="nil"/>
              <w:left w:val="nil"/>
              <w:bottom w:val="nil"/>
              <w:right w:val="nil"/>
            </w:tcBorders>
            <w:shd w:val="clear" w:color="auto" w:fill="auto"/>
            <w:noWrap/>
            <w:vAlign w:val="center"/>
            <w:hideMark/>
          </w:tcPr>
          <w:p w14:paraId="0401DB9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6.9%</w:t>
            </w:r>
          </w:p>
        </w:tc>
        <w:tc>
          <w:tcPr>
            <w:tcW w:w="550" w:type="pct"/>
            <w:tcBorders>
              <w:top w:val="nil"/>
              <w:left w:val="nil"/>
              <w:bottom w:val="nil"/>
              <w:right w:val="nil"/>
            </w:tcBorders>
            <w:shd w:val="clear" w:color="auto" w:fill="auto"/>
            <w:noWrap/>
            <w:vAlign w:val="center"/>
            <w:hideMark/>
          </w:tcPr>
          <w:p w14:paraId="565291C3"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3.4% - 18.5%</w:t>
            </w:r>
          </w:p>
        </w:tc>
        <w:tc>
          <w:tcPr>
            <w:tcW w:w="550" w:type="pct"/>
            <w:tcBorders>
              <w:top w:val="nil"/>
              <w:left w:val="nil"/>
              <w:bottom w:val="nil"/>
              <w:right w:val="nil"/>
            </w:tcBorders>
            <w:shd w:val="clear" w:color="auto" w:fill="auto"/>
            <w:noWrap/>
            <w:vAlign w:val="center"/>
            <w:hideMark/>
          </w:tcPr>
          <w:p w14:paraId="38AED87B"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13.4%</w:t>
            </w:r>
          </w:p>
        </w:tc>
        <w:tc>
          <w:tcPr>
            <w:tcW w:w="550" w:type="pct"/>
            <w:tcBorders>
              <w:top w:val="nil"/>
              <w:left w:val="nil"/>
              <w:bottom w:val="nil"/>
              <w:right w:val="nil"/>
            </w:tcBorders>
            <w:shd w:val="clear" w:color="auto" w:fill="auto"/>
            <w:noWrap/>
            <w:vAlign w:val="center"/>
            <w:hideMark/>
          </w:tcPr>
          <w:p w14:paraId="26B3BD1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9.3% - 30.7%</w:t>
            </w:r>
          </w:p>
        </w:tc>
      </w:tr>
      <w:tr w:rsidR="00282B94" w:rsidRPr="005E2F89" w14:paraId="44131C20" w14:textId="77777777" w:rsidTr="00282B94">
        <w:trPr>
          <w:trHeight w:val="397"/>
        </w:trPr>
        <w:tc>
          <w:tcPr>
            <w:tcW w:w="588" w:type="pct"/>
            <w:vMerge/>
            <w:tcBorders>
              <w:top w:val="nil"/>
              <w:left w:val="nil"/>
              <w:bottom w:val="single" w:sz="4" w:space="0" w:color="000000"/>
              <w:right w:val="nil"/>
            </w:tcBorders>
            <w:vAlign w:val="center"/>
            <w:hideMark/>
          </w:tcPr>
          <w:p w14:paraId="5F6C9D1D"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64D444E3"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3E63B31F"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11DB935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37.3%</w:t>
            </w:r>
          </w:p>
        </w:tc>
        <w:tc>
          <w:tcPr>
            <w:tcW w:w="550" w:type="pct"/>
            <w:tcBorders>
              <w:top w:val="nil"/>
              <w:left w:val="nil"/>
              <w:bottom w:val="single" w:sz="4" w:space="0" w:color="auto"/>
              <w:right w:val="nil"/>
            </w:tcBorders>
            <w:shd w:val="clear" w:color="auto" w:fill="auto"/>
            <w:noWrap/>
            <w:vAlign w:val="center"/>
            <w:hideMark/>
          </w:tcPr>
          <w:p w14:paraId="2FB12E3A"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15.7% - 46.5%</w:t>
            </w:r>
          </w:p>
        </w:tc>
        <w:tc>
          <w:tcPr>
            <w:tcW w:w="550" w:type="pct"/>
            <w:tcBorders>
              <w:top w:val="nil"/>
              <w:left w:val="nil"/>
              <w:bottom w:val="single" w:sz="4" w:space="0" w:color="auto"/>
              <w:right w:val="nil"/>
            </w:tcBorders>
            <w:shd w:val="clear" w:color="auto" w:fill="auto"/>
            <w:noWrap/>
            <w:vAlign w:val="center"/>
            <w:hideMark/>
          </w:tcPr>
          <w:p w14:paraId="3B473FF0"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15.7%</w:t>
            </w:r>
          </w:p>
        </w:tc>
        <w:tc>
          <w:tcPr>
            <w:tcW w:w="550" w:type="pct"/>
            <w:tcBorders>
              <w:top w:val="nil"/>
              <w:left w:val="nil"/>
              <w:bottom w:val="single" w:sz="4" w:space="0" w:color="auto"/>
              <w:right w:val="nil"/>
            </w:tcBorders>
            <w:shd w:val="clear" w:color="auto" w:fill="auto"/>
            <w:noWrap/>
            <w:vAlign w:val="center"/>
            <w:hideMark/>
          </w:tcPr>
          <w:p w14:paraId="376C9E00"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 - 28.1%</w:t>
            </w:r>
          </w:p>
        </w:tc>
        <w:tc>
          <w:tcPr>
            <w:tcW w:w="550" w:type="pct"/>
            <w:tcBorders>
              <w:top w:val="nil"/>
              <w:left w:val="nil"/>
              <w:bottom w:val="single" w:sz="4" w:space="0" w:color="auto"/>
              <w:right w:val="nil"/>
            </w:tcBorders>
            <w:shd w:val="clear" w:color="auto" w:fill="auto"/>
            <w:noWrap/>
            <w:vAlign w:val="center"/>
            <w:hideMark/>
          </w:tcPr>
          <w:p w14:paraId="5CF6283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16.1%</w:t>
            </w:r>
          </w:p>
        </w:tc>
        <w:tc>
          <w:tcPr>
            <w:tcW w:w="550" w:type="pct"/>
            <w:tcBorders>
              <w:top w:val="nil"/>
              <w:left w:val="nil"/>
              <w:bottom w:val="single" w:sz="4" w:space="0" w:color="auto"/>
              <w:right w:val="nil"/>
            </w:tcBorders>
            <w:shd w:val="clear" w:color="auto" w:fill="auto"/>
            <w:noWrap/>
            <w:vAlign w:val="center"/>
            <w:hideMark/>
          </w:tcPr>
          <w:p w14:paraId="6A727583"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0.1% - 48.4%</w:t>
            </w:r>
          </w:p>
        </w:tc>
      </w:tr>
      <w:tr w:rsidR="00282B94" w:rsidRPr="005E2F89" w14:paraId="15925FE9" w14:textId="77777777" w:rsidTr="00282B94">
        <w:trPr>
          <w:trHeight w:val="397"/>
        </w:trPr>
        <w:tc>
          <w:tcPr>
            <w:tcW w:w="588" w:type="pct"/>
            <w:vMerge/>
            <w:tcBorders>
              <w:top w:val="nil"/>
              <w:left w:val="nil"/>
              <w:bottom w:val="single" w:sz="4" w:space="0" w:color="000000"/>
              <w:right w:val="nil"/>
            </w:tcBorders>
            <w:vAlign w:val="center"/>
            <w:hideMark/>
          </w:tcPr>
          <w:p w14:paraId="2C2AC2EE" w14:textId="77777777" w:rsidR="005E2F89" w:rsidRPr="005E2F89" w:rsidRDefault="005E2F89" w:rsidP="005E2F89">
            <w:pPr>
              <w:rPr>
                <w:rFonts w:ascii="Arial" w:eastAsia="Times New Roman" w:hAnsi="Arial" w:cs="Arial"/>
                <w:color w:val="000000"/>
                <w:sz w:val="14"/>
                <w:szCs w:val="14"/>
              </w:rPr>
            </w:pPr>
          </w:p>
        </w:tc>
        <w:tc>
          <w:tcPr>
            <w:tcW w:w="625" w:type="pct"/>
            <w:vMerge w:val="restart"/>
            <w:tcBorders>
              <w:top w:val="nil"/>
              <w:left w:val="nil"/>
              <w:bottom w:val="single" w:sz="4" w:space="0" w:color="000000"/>
              <w:right w:val="nil"/>
            </w:tcBorders>
            <w:shd w:val="clear" w:color="auto" w:fill="auto"/>
            <w:noWrap/>
            <w:vAlign w:val="center"/>
            <w:hideMark/>
          </w:tcPr>
          <w:p w14:paraId="7F84ECFD"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&gt;64y</w:t>
            </w:r>
          </w:p>
        </w:tc>
        <w:tc>
          <w:tcPr>
            <w:tcW w:w="488" w:type="pct"/>
            <w:tcBorders>
              <w:top w:val="nil"/>
              <w:left w:val="nil"/>
              <w:bottom w:val="nil"/>
              <w:right w:val="nil"/>
            </w:tcBorders>
            <w:shd w:val="clear" w:color="auto" w:fill="auto"/>
            <w:noWrap/>
            <w:vAlign w:val="center"/>
            <w:hideMark/>
          </w:tcPr>
          <w:p w14:paraId="29849F85"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5FE883A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3.3%</w:t>
            </w:r>
          </w:p>
        </w:tc>
        <w:tc>
          <w:tcPr>
            <w:tcW w:w="550" w:type="pct"/>
            <w:tcBorders>
              <w:top w:val="nil"/>
              <w:left w:val="nil"/>
              <w:bottom w:val="nil"/>
              <w:right w:val="nil"/>
            </w:tcBorders>
            <w:shd w:val="clear" w:color="auto" w:fill="auto"/>
            <w:noWrap/>
            <w:vAlign w:val="center"/>
            <w:hideMark/>
          </w:tcPr>
          <w:p w14:paraId="760FDC2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2.6% - 4.0%</w:t>
            </w:r>
          </w:p>
        </w:tc>
        <w:tc>
          <w:tcPr>
            <w:tcW w:w="550" w:type="pct"/>
            <w:tcBorders>
              <w:top w:val="nil"/>
              <w:left w:val="nil"/>
              <w:bottom w:val="nil"/>
              <w:right w:val="nil"/>
            </w:tcBorders>
            <w:shd w:val="clear" w:color="auto" w:fill="auto"/>
            <w:noWrap/>
            <w:vAlign w:val="center"/>
            <w:hideMark/>
          </w:tcPr>
          <w:p w14:paraId="597CFA36"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1.3%</w:t>
            </w:r>
          </w:p>
        </w:tc>
        <w:tc>
          <w:tcPr>
            <w:tcW w:w="550" w:type="pct"/>
            <w:tcBorders>
              <w:top w:val="nil"/>
              <w:left w:val="nil"/>
              <w:bottom w:val="nil"/>
              <w:right w:val="nil"/>
            </w:tcBorders>
            <w:shd w:val="clear" w:color="auto" w:fill="auto"/>
            <w:noWrap/>
            <w:vAlign w:val="center"/>
            <w:hideMark/>
          </w:tcPr>
          <w:p w14:paraId="2A97DF2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0.9% - 2.2%</w:t>
            </w:r>
          </w:p>
        </w:tc>
        <w:tc>
          <w:tcPr>
            <w:tcW w:w="550" w:type="pct"/>
            <w:tcBorders>
              <w:top w:val="nil"/>
              <w:left w:val="nil"/>
              <w:bottom w:val="nil"/>
              <w:right w:val="nil"/>
            </w:tcBorders>
            <w:shd w:val="clear" w:color="auto" w:fill="auto"/>
            <w:noWrap/>
            <w:vAlign w:val="center"/>
            <w:hideMark/>
          </w:tcPr>
          <w:p w14:paraId="1F59C15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31.3%</w:t>
            </w:r>
          </w:p>
        </w:tc>
        <w:tc>
          <w:tcPr>
            <w:tcW w:w="550" w:type="pct"/>
            <w:tcBorders>
              <w:top w:val="nil"/>
              <w:left w:val="nil"/>
              <w:bottom w:val="nil"/>
              <w:right w:val="nil"/>
            </w:tcBorders>
            <w:shd w:val="clear" w:color="auto" w:fill="auto"/>
            <w:noWrap/>
            <w:vAlign w:val="center"/>
            <w:hideMark/>
          </w:tcPr>
          <w:p w14:paraId="515A704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24.6% - 77.8%</w:t>
            </w:r>
          </w:p>
        </w:tc>
      </w:tr>
      <w:tr w:rsidR="00282B94" w:rsidRPr="005E2F89" w14:paraId="17C3D38F" w14:textId="77777777" w:rsidTr="00282B94">
        <w:trPr>
          <w:trHeight w:val="397"/>
        </w:trPr>
        <w:tc>
          <w:tcPr>
            <w:tcW w:w="588" w:type="pct"/>
            <w:vMerge/>
            <w:tcBorders>
              <w:top w:val="nil"/>
              <w:left w:val="nil"/>
              <w:bottom w:val="single" w:sz="4" w:space="0" w:color="000000"/>
              <w:right w:val="nil"/>
            </w:tcBorders>
            <w:vAlign w:val="center"/>
            <w:hideMark/>
          </w:tcPr>
          <w:p w14:paraId="2B763ABF"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71B887B4"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4F3AE7D2"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21DC3EA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3.4%</w:t>
            </w:r>
          </w:p>
        </w:tc>
        <w:tc>
          <w:tcPr>
            <w:tcW w:w="550" w:type="pct"/>
            <w:tcBorders>
              <w:top w:val="nil"/>
              <w:left w:val="nil"/>
              <w:bottom w:val="nil"/>
              <w:right w:val="nil"/>
            </w:tcBorders>
            <w:shd w:val="clear" w:color="auto" w:fill="auto"/>
            <w:noWrap/>
            <w:vAlign w:val="center"/>
            <w:hideMark/>
          </w:tcPr>
          <w:p w14:paraId="195B6A1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2.6% - 3.9%</w:t>
            </w:r>
          </w:p>
        </w:tc>
        <w:tc>
          <w:tcPr>
            <w:tcW w:w="550" w:type="pct"/>
            <w:tcBorders>
              <w:top w:val="nil"/>
              <w:left w:val="nil"/>
              <w:bottom w:val="nil"/>
              <w:right w:val="nil"/>
            </w:tcBorders>
            <w:shd w:val="clear" w:color="auto" w:fill="auto"/>
            <w:noWrap/>
            <w:vAlign w:val="center"/>
            <w:hideMark/>
          </w:tcPr>
          <w:p w14:paraId="63012E9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1.3%</w:t>
            </w:r>
          </w:p>
        </w:tc>
        <w:tc>
          <w:tcPr>
            <w:tcW w:w="550" w:type="pct"/>
            <w:tcBorders>
              <w:top w:val="nil"/>
              <w:left w:val="nil"/>
              <w:bottom w:val="nil"/>
              <w:right w:val="nil"/>
            </w:tcBorders>
            <w:shd w:val="clear" w:color="auto" w:fill="auto"/>
            <w:noWrap/>
            <w:vAlign w:val="center"/>
            <w:hideMark/>
          </w:tcPr>
          <w:p w14:paraId="3F65794D"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 - 2.2%</w:t>
            </w:r>
          </w:p>
        </w:tc>
        <w:tc>
          <w:tcPr>
            <w:tcW w:w="550" w:type="pct"/>
            <w:tcBorders>
              <w:top w:val="nil"/>
              <w:left w:val="nil"/>
              <w:bottom w:val="nil"/>
              <w:right w:val="nil"/>
            </w:tcBorders>
            <w:shd w:val="clear" w:color="auto" w:fill="auto"/>
            <w:noWrap/>
            <w:vAlign w:val="center"/>
            <w:hideMark/>
          </w:tcPr>
          <w:p w14:paraId="32EB5105"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29.6%</w:t>
            </w:r>
          </w:p>
        </w:tc>
        <w:tc>
          <w:tcPr>
            <w:tcW w:w="550" w:type="pct"/>
            <w:tcBorders>
              <w:top w:val="nil"/>
              <w:left w:val="nil"/>
              <w:bottom w:val="nil"/>
              <w:right w:val="nil"/>
            </w:tcBorders>
            <w:shd w:val="clear" w:color="auto" w:fill="auto"/>
            <w:noWrap/>
            <w:vAlign w:val="center"/>
            <w:hideMark/>
          </w:tcPr>
          <w:p w14:paraId="089002B0"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26% - 76%</w:t>
            </w:r>
          </w:p>
        </w:tc>
      </w:tr>
      <w:tr w:rsidR="00282B94" w:rsidRPr="005E2F89" w14:paraId="43538BB0" w14:textId="77777777" w:rsidTr="00282B94">
        <w:trPr>
          <w:trHeight w:val="397"/>
        </w:trPr>
        <w:tc>
          <w:tcPr>
            <w:tcW w:w="588" w:type="pct"/>
            <w:vMerge/>
            <w:tcBorders>
              <w:top w:val="nil"/>
              <w:left w:val="nil"/>
              <w:bottom w:val="single" w:sz="4" w:space="0" w:color="000000"/>
              <w:right w:val="nil"/>
            </w:tcBorders>
            <w:vAlign w:val="center"/>
            <w:hideMark/>
          </w:tcPr>
          <w:p w14:paraId="4E97E293"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33DC0223"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1A4ABF4D"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4099A47F"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0.9%</w:t>
            </w:r>
          </w:p>
        </w:tc>
        <w:tc>
          <w:tcPr>
            <w:tcW w:w="550" w:type="pct"/>
            <w:tcBorders>
              <w:top w:val="nil"/>
              <w:left w:val="nil"/>
              <w:bottom w:val="nil"/>
              <w:right w:val="nil"/>
            </w:tcBorders>
            <w:shd w:val="clear" w:color="auto" w:fill="auto"/>
            <w:noWrap/>
            <w:vAlign w:val="center"/>
            <w:hideMark/>
          </w:tcPr>
          <w:p w14:paraId="61486677"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0.7% - 2.2%</w:t>
            </w:r>
          </w:p>
        </w:tc>
        <w:tc>
          <w:tcPr>
            <w:tcW w:w="550" w:type="pct"/>
            <w:tcBorders>
              <w:top w:val="nil"/>
              <w:left w:val="nil"/>
              <w:bottom w:val="nil"/>
              <w:right w:val="nil"/>
            </w:tcBorders>
            <w:shd w:val="clear" w:color="auto" w:fill="auto"/>
            <w:noWrap/>
            <w:vAlign w:val="center"/>
            <w:hideMark/>
          </w:tcPr>
          <w:p w14:paraId="318FC44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0.3%</w:t>
            </w:r>
          </w:p>
        </w:tc>
        <w:tc>
          <w:tcPr>
            <w:tcW w:w="550" w:type="pct"/>
            <w:tcBorders>
              <w:top w:val="nil"/>
              <w:left w:val="nil"/>
              <w:bottom w:val="nil"/>
              <w:right w:val="nil"/>
            </w:tcBorders>
            <w:shd w:val="clear" w:color="auto" w:fill="auto"/>
            <w:noWrap/>
            <w:vAlign w:val="center"/>
            <w:hideMark/>
          </w:tcPr>
          <w:p w14:paraId="736920CB"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0.1% - 1.1%</w:t>
            </w:r>
          </w:p>
        </w:tc>
        <w:tc>
          <w:tcPr>
            <w:tcW w:w="550" w:type="pct"/>
            <w:tcBorders>
              <w:top w:val="nil"/>
              <w:left w:val="nil"/>
              <w:bottom w:val="nil"/>
              <w:right w:val="nil"/>
            </w:tcBorders>
            <w:shd w:val="clear" w:color="auto" w:fill="auto"/>
            <w:noWrap/>
            <w:vAlign w:val="center"/>
            <w:hideMark/>
          </w:tcPr>
          <w:p w14:paraId="231BFF83"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20.4%</w:t>
            </w:r>
          </w:p>
        </w:tc>
        <w:tc>
          <w:tcPr>
            <w:tcW w:w="550" w:type="pct"/>
            <w:tcBorders>
              <w:top w:val="nil"/>
              <w:left w:val="nil"/>
              <w:bottom w:val="nil"/>
              <w:right w:val="nil"/>
            </w:tcBorders>
            <w:shd w:val="clear" w:color="auto" w:fill="auto"/>
            <w:noWrap/>
            <w:vAlign w:val="center"/>
            <w:hideMark/>
          </w:tcPr>
          <w:p w14:paraId="0426107F"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12.8% - 49.5%</w:t>
            </w:r>
          </w:p>
        </w:tc>
      </w:tr>
      <w:tr w:rsidR="00282B94" w:rsidRPr="005E2F89" w14:paraId="24FE07E7" w14:textId="77777777" w:rsidTr="00282B94">
        <w:trPr>
          <w:trHeight w:val="397"/>
        </w:trPr>
        <w:tc>
          <w:tcPr>
            <w:tcW w:w="588" w:type="pct"/>
            <w:vMerge/>
            <w:tcBorders>
              <w:top w:val="nil"/>
              <w:left w:val="nil"/>
              <w:bottom w:val="single" w:sz="4" w:space="0" w:color="000000"/>
              <w:right w:val="nil"/>
            </w:tcBorders>
            <w:vAlign w:val="center"/>
            <w:hideMark/>
          </w:tcPr>
          <w:p w14:paraId="7722B793"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09E97E0A"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5D94EE05"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357C0BF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3.4%</w:t>
            </w:r>
          </w:p>
        </w:tc>
        <w:tc>
          <w:tcPr>
            <w:tcW w:w="550" w:type="pct"/>
            <w:tcBorders>
              <w:top w:val="nil"/>
              <w:left w:val="nil"/>
              <w:bottom w:val="single" w:sz="4" w:space="0" w:color="auto"/>
              <w:right w:val="nil"/>
            </w:tcBorders>
            <w:shd w:val="clear" w:color="auto" w:fill="auto"/>
            <w:noWrap/>
            <w:vAlign w:val="center"/>
            <w:hideMark/>
          </w:tcPr>
          <w:p w14:paraId="72E4980A"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2.2% - 4.8%</w:t>
            </w:r>
          </w:p>
        </w:tc>
        <w:tc>
          <w:tcPr>
            <w:tcW w:w="550" w:type="pct"/>
            <w:tcBorders>
              <w:top w:val="nil"/>
              <w:left w:val="nil"/>
              <w:bottom w:val="single" w:sz="4" w:space="0" w:color="auto"/>
              <w:right w:val="nil"/>
            </w:tcBorders>
            <w:shd w:val="clear" w:color="auto" w:fill="auto"/>
            <w:noWrap/>
            <w:vAlign w:val="center"/>
            <w:hideMark/>
          </w:tcPr>
          <w:p w14:paraId="46A99B23"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1.4%</w:t>
            </w:r>
          </w:p>
        </w:tc>
        <w:tc>
          <w:tcPr>
            <w:tcW w:w="550" w:type="pct"/>
            <w:tcBorders>
              <w:top w:val="nil"/>
              <w:left w:val="nil"/>
              <w:bottom w:val="single" w:sz="4" w:space="0" w:color="auto"/>
              <w:right w:val="nil"/>
            </w:tcBorders>
            <w:shd w:val="clear" w:color="auto" w:fill="auto"/>
            <w:noWrap/>
            <w:vAlign w:val="center"/>
            <w:hideMark/>
          </w:tcPr>
          <w:p w14:paraId="73B16FF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 - 2.4%</w:t>
            </w:r>
          </w:p>
        </w:tc>
        <w:tc>
          <w:tcPr>
            <w:tcW w:w="550" w:type="pct"/>
            <w:tcBorders>
              <w:top w:val="nil"/>
              <w:left w:val="nil"/>
              <w:bottom w:val="single" w:sz="4" w:space="0" w:color="auto"/>
              <w:right w:val="nil"/>
            </w:tcBorders>
            <w:shd w:val="clear" w:color="auto" w:fill="auto"/>
            <w:noWrap/>
            <w:vAlign w:val="center"/>
            <w:hideMark/>
          </w:tcPr>
          <w:p w14:paraId="792075C5"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31.6%</w:t>
            </w:r>
          </w:p>
        </w:tc>
        <w:tc>
          <w:tcPr>
            <w:tcW w:w="550" w:type="pct"/>
            <w:tcBorders>
              <w:top w:val="nil"/>
              <w:left w:val="nil"/>
              <w:bottom w:val="single" w:sz="4" w:space="0" w:color="auto"/>
              <w:right w:val="nil"/>
            </w:tcBorders>
            <w:shd w:val="clear" w:color="auto" w:fill="auto"/>
            <w:noWrap/>
            <w:vAlign w:val="center"/>
            <w:hideMark/>
          </w:tcPr>
          <w:p w14:paraId="6D530545"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0.2% - 77.1%</w:t>
            </w:r>
          </w:p>
        </w:tc>
      </w:tr>
      <w:tr w:rsidR="00282B94" w:rsidRPr="005E2F89" w14:paraId="371852F8" w14:textId="77777777" w:rsidTr="00282B94">
        <w:trPr>
          <w:trHeight w:val="397"/>
        </w:trPr>
        <w:tc>
          <w:tcPr>
            <w:tcW w:w="588" w:type="pct"/>
            <w:vMerge w:val="restart"/>
            <w:tcBorders>
              <w:top w:val="nil"/>
              <w:left w:val="nil"/>
              <w:bottom w:val="single" w:sz="4" w:space="0" w:color="000000"/>
              <w:right w:val="nil"/>
            </w:tcBorders>
            <w:shd w:val="clear" w:color="auto" w:fill="auto"/>
            <w:noWrap/>
            <w:vAlign w:val="center"/>
            <w:hideMark/>
          </w:tcPr>
          <w:p w14:paraId="4081E8AF"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UMIC</w:t>
            </w:r>
          </w:p>
        </w:tc>
        <w:tc>
          <w:tcPr>
            <w:tcW w:w="625" w:type="pct"/>
            <w:vMerge w:val="restart"/>
            <w:tcBorders>
              <w:top w:val="nil"/>
              <w:left w:val="nil"/>
              <w:bottom w:val="single" w:sz="4" w:space="0" w:color="000000"/>
              <w:right w:val="nil"/>
            </w:tcBorders>
            <w:shd w:val="clear" w:color="auto" w:fill="auto"/>
            <w:noWrap/>
            <w:vAlign w:val="center"/>
            <w:hideMark/>
          </w:tcPr>
          <w:p w14:paraId="52C84B27"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5-24y</w:t>
            </w:r>
          </w:p>
        </w:tc>
        <w:tc>
          <w:tcPr>
            <w:tcW w:w="488" w:type="pct"/>
            <w:tcBorders>
              <w:top w:val="nil"/>
              <w:left w:val="nil"/>
              <w:bottom w:val="nil"/>
              <w:right w:val="nil"/>
            </w:tcBorders>
            <w:shd w:val="clear" w:color="auto" w:fill="auto"/>
            <w:noWrap/>
            <w:vAlign w:val="center"/>
            <w:hideMark/>
          </w:tcPr>
          <w:p w14:paraId="68F7FF3E"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0D07D2D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45.8%</w:t>
            </w:r>
          </w:p>
        </w:tc>
        <w:tc>
          <w:tcPr>
            <w:tcW w:w="550" w:type="pct"/>
            <w:tcBorders>
              <w:top w:val="nil"/>
              <w:left w:val="nil"/>
              <w:bottom w:val="nil"/>
              <w:right w:val="nil"/>
            </w:tcBorders>
            <w:shd w:val="clear" w:color="auto" w:fill="auto"/>
            <w:noWrap/>
            <w:vAlign w:val="center"/>
            <w:hideMark/>
          </w:tcPr>
          <w:p w14:paraId="002FD8AD"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40.3% - 50.4%</w:t>
            </w:r>
          </w:p>
        </w:tc>
        <w:tc>
          <w:tcPr>
            <w:tcW w:w="550" w:type="pct"/>
            <w:tcBorders>
              <w:top w:val="nil"/>
              <w:left w:val="nil"/>
              <w:bottom w:val="nil"/>
              <w:right w:val="nil"/>
            </w:tcBorders>
            <w:shd w:val="clear" w:color="auto" w:fill="auto"/>
            <w:noWrap/>
            <w:vAlign w:val="center"/>
            <w:hideMark/>
          </w:tcPr>
          <w:p w14:paraId="4698072A"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13.2%</w:t>
            </w:r>
          </w:p>
        </w:tc>
        <w:tc>
          <w:tcPr>
            <w:tcW w:w="550" w:type="pct"/>
            <w:tcBorders>
              <w:top w:val="nil"/>
              <w:left w:val="nil"/>
              <w:bottom w:val="nil"/>
              <w:right w:val="nil"/>
            </w:tcBorders>
            <w:shd w:val="clear" w:color="auto" w:fill="auto"/>
            <w:noWrap/>
            <w:vAlign w:val="center"/>
            <w:hideMark/>
          </w:tcPr>
          <w:p w14:paraId="5157B77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8.5% - 30%</w:t>
            </w:r>
          </w:p>
        </w:tc>
        <w:tc>
          <w:tcPr>
            <w:tcW w:w="550" w:type="pct"/>
            <w:tcBorders>
              <w:top w:val="nil"/>
              <w:left w:val="nil"/>
              <w:bottom w:val="nil"/>
              <w:right w:val="nil"/>
            </w:tcBorders>
            <w:shd w:val="clear" w:color="auto" w:fill="auto"/>
            <w:noWrap/>
            <w:vAlign w:val="center"/>
            <w:hideMark/>
          </w:tcPr>
          <w:p w14:paraId="2D25427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16.8%</w:t>
            </w:r>
          </w:p>
        </w:tc>
        <w:tc>
          <w:tcPr>
            <w:tcW w:w="550" w:type="pct"/>
            <w:tcBorders>
              <w:top w:val="nil"/>
              <w:left w:val="nil"/>
              <w:bottom w:val="nil"/>
              <w:right w:val="nil"/>
            </w:tcBorders>
            <w:shd w:val="clear" w:color="auto" w:fill="auto"/>
            <w:noWrap/>
            <w:vAlign w:val="center"/>
            <w:hideMark/>
          </w:tcPr>
          <w:p w14:paraId="0973B5F6"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11.2% - 31.8%</w:t>
            </w:r>
          </w:p>
        </w:tc>
      </w:tr>
      <w:tr w:rsidR="00282B94" w:rsidRPr="005E2F89" w14:paraId="578F1B85" w14:textId="77777777" w:rsidTr="00282B94">
        <w:trPr>
          <w:trHeight w:val="397"/>
        </w:trPr>
        <w:tc>
          <w:tcPr>
            <w:tcW w:w="588" w:type="pct"/>
            <w:vMerge/>
            <w:tcBorders>
              <w:top w:val="nil"/>
              <w:left w:val="nil"/>
              <w:bottom w:val="single" w:sz="4" w:space="0" w:color="000000"/>
              <w:right w:val="nil"/>
            </w:tcBorders>
            <w:vAlign w:val="center"/>
            <w:hideMark/>
          </w:tcPr>
          <w:p w14:paraId="3B33BB34"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4AA17BD4"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301847DD"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2E89A69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46.5%</w:t>
            </w:r>
          </w:p>
        </w:tc>
        <w:tc>
          <w:tcPr>
            <w:tcW w:w="550" w:type="pct"/>
            <w:tcBorders>
              <w:top w:val="nil"/>
              <w:left w:val="nil"/>
              <w:bottom w:val="nil"/>
              <w:right w:val="nil"/>
            </w:tcBorders>
            <w:shd w:val="clear" w:color="auto" w:fill="auto"/>
            <w:noWrap/>
            <w:vAlign w:val="center"/>
            <w:hideMark/>
          </w:tcPr>
          <w:p w14:paraId="71C8459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42.1% - 51.0%</w:t>
            </w:r>
          </w:p>
        </w:tc>
        <w:tc>
          <w:tcPr>
            <w:tcW w:w="550" w:type="pct"/>
            <w:tcBorders>
              <w:top w:val="nil"/>
              <w:left w:val="nil"/>
              <w:bottom w:val="nil"/>
              <w:right w:val="nil"/>
            </w:tcBorders>
            <w:shd w:val="clear" w:color="auto" w:fill="auto"/>
            <w:noWrap/>
            <w:vAlign w:val="center"/>
            <w:hideMark/>
          </w:tcPr>
          <w:p w14:paraId="2B21C8A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13.3%</w:t>
            </w:r>
          </w:p>
        </w:tc>
        <w:tc>
          <w:tcPr>
            <w:tcW w:w="550" w:type="pct"/>
            <w:tcBorders>
              <w:top w:val="nil"/>
              <w:left w:val="nil"/>
              <w:bottom w:val="nil"/>
              <w:right w:val="nil"/>
            </w:tcBorders>
            <w:shd w:val="clear" w:color="auto" w:fill="auto"/>
            <w:noWrap/>
            <w:vAlign w:val="center"/>
            <w:hideMark/>
          </w:tcPr>
          <w:p w14:paraId="4A1BADF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9.8% - 30.2%</w:t>
            </w:r>
          </w:p>
        </w:tc>
        <w:tc>
          <w:tcPr>
            <w:tcW w:w="550" w:type="pct"/>
            <w:tcBorders>
              <w:top w:val="nil"/>
              <w:left w:val="nil"/>
              <w:bottom w:val="nil"/>
              <w:right w:val="nil"/>
            </w:tcBorders>
            <w:shd w:val="clear" w:color="auto" w:fill="auto"/>
            <w:noWrap/>
            <w:vAlign w:val="center"/>
            <w:hideMark/>
          </w:tcPr>
          <w:p w14:paraId="22EDF43D"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16.3%</w:t>
            </w:r>
          </w:p>
        </w:tc>
        <w:tc>
          <w:tcPr>
            <w:tcW w:w="550" w:type="pct"/>
            <w:tcBorders>
              <w:top w:val="nil"/>
              <w:left w:val="nil"/>
              <w:bottom w:val="nil"/>
              <w:right w:val="nil"/>
            </w:tcBorders>
            <w:shd w:val="clear" w:color="auto" w:fill="auto"/>
            <w:noWrap/>
            <w:vAlign w:val="center"/>
            <w:hideMark/>
          </w:tcPr>
          <w:p w14:paraId="1DBF8647"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13.3% - 30.2%</w:t>
            </w:r>
          </w:p>
        </w:tc>
      </w:tr>
      <w:tr w:rsidR="00282B94" w:rsidRPr="005E2F89" w14:paraId="65207FB9" w14:textId="77777777" w:rsidTr="00282B94">
        <w:trPr>
          <w:trHeight w:val="397"/>
        </w:trPr>
        <w:tc>
          <w:tcPr>
            <w:tcW w:w="588" w:type="pct"/>
            <w:vMerge/>
            <w:tcBorders>
              <w:top w:val="nil"/>
              <w:left w:val="nil"/>
              <w:bottom w:val="single" w:sz="4" w:space="0" w:color="000000"/>
              <w:right w:val="nil"/>
            </w:tcBorders>
            <w:vAlign w:val="center"/>
            <w:hideMark/>
          </w:tcPr>
          <w:p w14:paraId="281FB355"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632F7A93"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2F7E4A2C"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1AF03BA0"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64.0%</w:t>
            </w:r>
          </w:p>
        </w:tc>
        <w:tc>
          <w:tcPr>
            <w:tcW w:w="550" w:type="pct"/>
            <w:tcBorders>
              <w:top w:val="nil"/>
              <w:left w:val="nil"/>
              <w:bottom w:val="nil"/>
              <w:right w:val="nil"/>
            </w:tcBorders>
            <w:shd w:val="clear" w:color="auto" w:fill="auto"/>
            <w:noWrap/>
            <w:vAlign w:val="center"/>
            <w:hideMark/>
          </w:tcPr>
          <w:p w14:paraId="0D2C211A"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59.6% - 74.0%</w:t>
            </w:r>
          </w:p>
        </w:tc>
        <w:tc>
          <w:tcPr>
            <w:tcW w:w="550" w:type="pct"/>
            <w:tcBorders>
              <w:top w:val="nil"/>
              <w:left w:val="nil"/>
              <w:bottom w:val="nil"/>
              <w:right w:val="nil"/>
            </w:tcBorders>
            <w:shd w:val="clear" w:color="auto" w:fill="auto"/>
            <w:noWrap/>
            <w:vAlign w:val="center"/>
            <w:hideMark/>
          </w:tcPr>
          <w:p w14:paraId="70FE89DB"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8.1%</w:t>
            </w:r>
          </w:p>
        </w:tc>
        <w:tc>
          <w:tcPr>
            <w:tcW w:w="550" w:type="pct"/>
            <w:tcBorders>
              <w:top w:val="nil"/>
              <w:left w:val="nil"/>
              <w:bottom w:val="nil"/>
              <w:right w:val="nil"/>
            </w:tcBorders>
            <w:shd w:val="clear" w:color="auto" w:fill="auto"/>
            <w:noWrap/>
            <w:vAlign w:val="center"/>
            <w:hideMark/>
          </w:tcPr>
          <w:p w14:paraId="6FFB853A"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5.6% - 15.2%</w:t>
            </w:r>
          </w:p>
        </w:tc>
        <w:tc>
          <w:tcPr>
            <w:tcW w:w="550" w:type="pct"/>
            <w:tcBorders>
              <w:top w:val="nil"/>
              <w:left w:val="nil"/>
              <w:bottom w:val="nil"/>
              <w:right w:val="nil"/>
            </w:tcBorders>
            <w:shd w:val="clear" w:color="auto" w:fill="auto"/>
            <w:noWrap/>
            <w:vAlign w:val="center"/>
            <w:hideMark/>
          </w:tcPr>
          <w:p w14:paraId="1F32E6DA"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4.0%</w:t>
            </w:r>
          </w:p>
        </w:tc>
        <w:tc>
          <w:tcPr>
            <w:tcW w:w="550" w:type="pct"/>
            <w:tcBorders>
              <w:top w:val="nil"/>
              <w:left w:val="nil"/>
              <w:bottom w:val="nil"/>
              <w:right w:val="nil"/>
            </w:tcBorders>
            <w:shd w:val="clear" w:color="auto" w:fill="auto"/>
            <w:noWrap/>
            <w:vAlign w:val="center"/>
            <w:hideMark/>
          </w:tcPr>
          <w:p w14:paraId="7ECEF88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 - 10.9%</w:t>
            </w:r>
          </w:p>
        </w:tc>
      </w:tr>
      <w:tr w:rsidR="00282B94" w:rsidRPr="005E2F89" w14:paraId="2F2473A8" w14:textId="77777777" w:rsidTr="00282B94">
        <w:trPr>
          <w:trHeight w:val="397"/>
        </w:trPr>
        <w:tc>
          <w:tcPr>
            <w:tcW w:w="588" w:type="pct"/>
            <w:vMerge/>
            <w:tcBorders>
              <w:top w:val="nil"/>
              <w:left w:val="nil"/>
              <w:bottom w:val="single" w:sz="4" w:space="0" w:color="000000"/>
              <w:right w:val="nil"/>
            </w:tcBorders>
            <w:vAlign w:val="center"/>
            <w:hideMark/>
          </w:tcPr>
          <w:p w14:paraId="2AD0B6A6"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23FBBB00"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0B41A76D"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70C0AB7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47.0%</w:t>
            </w:r>
          </w:p>
        </w:tc>
        <w:tc>
          <w:tcPr>
            <w:tcW w:w="550" w:type="pct"/>
            <w:tcBorders>
              <w:top w:val="nil"/>
              <w:left w:val="nil"/>
              <w:bottom w:val="single" w:sz="4" w:space="0" w:color="auto"/>
              <w:right w:val="nil"/>
            </w:tcBorders>
            <w:shd w:val="clear" w:color="auto" w:fill="auto"/>
            <w:noWrap/>
            <w:vAlign w:val="center"/>
            <w:hideMark/>
          </w:tcPr>
          <w:p w14:paraId="2A7E7D73"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36.7% - 61.3%</w:t>
            </w:r>
          </w:p>
        </w:tc>
        <w:tc>
          <w:tcPr>
            <w:tcW w:w="550" w:type="pct"/>
            <w:tcBorders>
              <w:top w:val="nil"/>
              <w:left w:val="nil"/>
              <w:bottom w:val="single" w:sz="4" w:space="0" w:color="auto"/>
              <w:right w:val="nil"/>
            </w:tcBorders>
            <w:shd w:val="clear" w:color="auto" w:fill="auto"/>
            <w:noWrap/>
            <w:vAlign w:val="center"/>
            <w:hideMark/>
          </w:tcPr>
          <w:p w14:paraId="519F657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11.4%</w:t>
            </w:r>
          </w:p>
        </w:tc>
        <w:tc>
          <w:tcPr>
            <w:tcW w:w="550" w:type="pct"/>
            <w:tcBorders>
              <w:top w:val="nil"/>
              <w:left w:val="nil"/>
              <w:bottom w:val="single" w:sz="4" w:space="0" w:color="auto"/>
              <w:right w:val="nil"/>
            </w:tcBorders>
            <w:shd w:val="clear" w:color="auto" w:fill="auto"/>
            <w:noWrap/>
            <w:vAlign w:val="center"/>
            <w:hideMark/>
          </w:tcPr>
          <w:p w14:paraId="6B037085"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0.1% - 33.5%</w:t>
            </w:r>
          </w:p>
        </w:tc>
        <w:tc>
          <w:tcPr>
            <w:tcW w:w="550" w:type="pct"/>
            <w:tcBorders>
              <w:top w:val="nil"/>
              <w:left w:val="nil"/>
              <w:bottom w:val="single" w:sz="4" w:space="0" w:color="auto"/>
              <w:right w:val="nil"/>
            </w:tcBorders>
            <w:shd w:val="clear" w:color="auto" w:fill="auto"/>
            <w:noWrap/>
            <w:vAlign w:val="center"/>
            <w:hideMark/>
          </w:tcPr>
          <w:p w14:paraId="7E00A1AA"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22.2%</w:t>
            </w:r>
          </w:p>
        </w:tc>
        <w:tc>
          <w:tcPr>
            <w:tcW w:w="550" w:type="pct"/>
            <w:tcBorders>
              <w:top w:val="nil"/>
              <w:left w:val="nil"/>
              <w:bottom w:val="single" w:sz="4" w:space="0" w:color="auto"/>
              <w:right w:val="nil"/>
            </w:tcBorders>
            <w:shd w:val="clear" w:color="auto" w:fill="auto"/>
            <w:noWrap/>
            <w:vAlign w:val="center"/>
            <w:hideMark/>
          </w:tcPr>
          <w:p w14:paraId="7946E0A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 - 36%</w:t>
            </w:r>
          </w:p>
        </w:tc>
      </w:tr>
      <w:tr w:rsidR="00282B94" w:rsidRPr="005E2F89" w14:paraId="3617CDBC" w14:textId="77777777" w:rsidTr="00282B94">
        <w:trPr>
          <w:trHeight w:val="397"/>
        </w:trPr>
        <w:tc>
          <w:tcPr>
            <w:tcW w:w="588" w:type="pct"/>
            <w:vMerge/>
            <w:tcBorders>
              <w:top w:val="nil"/>
              <w:left w:val="nil"/>
              <w:bottom w:val="single" w:sz="4" w:space="0" w:color="000000"/>
              <w:right w:val="nil"/>
            </w:tcBorders>
            <w:vAlign w:val="center"/>
            <w:hideMark/>
          </w:tcPr>
          <w:p w14:paraId="2475AE8D" w14:textId="77777777" w:rsidR="005E2F89" w:rsidRPr="005E2F89" w:rsidRDefault="005E2F89" w:rsidP="005E2F89">
            <w:pPr>
              <w:rPr>
                <w:rFonts w:ascii="Arial" w:eastAsia="Times New Roman" w:hAnsi="Arial" w:cs="Arial"/>
                <w:color w:val="000000"/>
                <w:sz w:val="14"/>
                <w:szCs w:val="14"/>
              </w:rPr>
            </w:pPr>
          </w:p>
        </w:tc>
        <w:tc>
          <w:tcPr>
            <w:tcW w:w="625" w:type="pct"/>
            <w:vMerge w:val="restart"/>
            <w:tcBorders>
              <w:top w:val="nil"/>
              <w:left w:val="nil"/>
              <w:bottom w:val="single" w:sz="4" w:space="0" w:color="000000"/>
              <w:right w:val="nil"/>
            </w:tcBorders>
            <w:shd w:val="clear" w:color="auto" w:fill="auto"/>
            <w:noWrap/>
            <w:vAlign w:val="center"/>
            <w:hideMark/>
          </w:tcPr>
          <w:p w14:paraId="51B62BBE"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25-64y</w:t>
            </w:r>
          </w:p>
        </w:tc>
        <w:tc>
          <w:tcPr>
            <w:tcW w:w="488" w:type="pct"/>
            <w:tcBorders>
              <w:top w:val="nil"/>
              <w:left w:val="nil"/>
              <w:bottom w:val="nil"/>
              <w:right w:val="nil"/>
            </w:tcBorders>
            <w:shd w:val="clear" w:color="auto" w:fill="auto"/>
            <w:noWrap/>
            <w:vAlign w:val="center"/>
            <w:hideMark/>
          </w:tcPr>
          <w:p w14:paraId="54B8EDAA"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55828433"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49.1%</w:t>
            </w:r>
          </w:p>
        </w:tc>
        <w:tc>
          <w:tcPr>
            <w:tcW w:w="550" w:type="pct"/>
            <w:tcBorders>
              <w:top w:val="nil"/>
              <w:left w:val="nil"/>
              <w:bottom w:val="nil"/>
              <w:right w:val="nil"/>
            </w:tcBorders>
            <w:shd w:val="clear" w:color="auto" w:fill="auto"/>
            <w:noWrap/>
            <w:vAlign w:val="center"/>
            <w:hideMark/>
          </w:tcPr>
          <w:p w14:paraId="0B167285"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45.4% - 53.5%</w:t>
            </w:r>
          </w:p>
        </w:tc>
        <w:tc>
          <w:tcPr>
            <w:tcW w:w="550" w:type="pct"/>
            <w:tcBorders>
              <w:top w:val="nil"/>
              <w:left w:val="nil"/>
              <w:bottom w:val="nil"/>
              <w:right w:val="nil"/>
            </w:tcBorders>
            <w:shd w:val="clear" w:color="auto" w:fill="auto"/>
            <w:noWrap/>
            <w:vAlign w:val="center"/>
            <w:hideMark/>
          </w:tcPr>
          <w:p w14:paraId="7734118F"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14.8%</w:t>
            </w:r>
          </w:p>
        </w:tc>
        <w:tc>
          <w:tcPr>
            <w:tcW w:w="550" w:type="pct"/>
            <w:tcBorders>
              <w:top w:val="nil"/>
              <w:left w:val="nil"/>
              <w:bottom w:val="nil"/>
              <w:right w:val="nil"/>
            </w:tcBorders>
            <w:shd w:val="clear" w:color="auto" w:fill="auto"/>
            <w:noWrap/>
            <w:vAlign w:val="center"/>
            <w:hideMark/>
          </w:tcPr>
          <w:p w14:paraId="23929276"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10.1% - 28.7%</w:t>
            </w:r>
          </w:p>
        </w:tc>
        <w:tc>
          <w:tcPr>
            <w:tcW w:w="550" w:type="pct"/>
            <w:tcBorders>
              <w:top w:val="nil"/>
              <w:left w:val="nil"/>
              <w:bottom w:val="nil"/>
              <w:right w:val="nil"/>
            </w:tcBorders>
            <w:shd w:val="clear" w:color="auto" w:fill="auto"/>
            <w:noWrap/>
            <w:vAlign w:val="center"/>
            <w:hideMark/>
          </w:tcPr>
          <w:p w14:paraId="490987EB"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14.8%</w:t>
            </w:r>
          </w:p>
        </w:tc>
        <w:tc>
          <w:tcPr>
            <w:tcW w:w="550" w:type="pct"/>
            <w:tcBorders>
              <w:top w:val="nil"/>
              <w:left w:val="nil"/>
              <w:bottom w:val="nil"/>
              <w:right w:val="nil"/>
            </w:tcBorders>
            <w:shd w:val="clear" w:color="auto" w:fill="auto"/>
            <w:noWrap/>
            <w:vAlign w:val="center"/>
            <w:hideMark/>
          </w:tcPr>
          <w:p w14:paraId="0DB00E0D"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9.7% - 31.9%</w:t>
            </w:r>
          </w:p>
        </w:tc>
      </w:tr>
      <w:tr w:rsidR="00282B94" w:rsidRPr="005E2F89" w14:paraId="64A742D6" w14:textId="77777777" w:rsidTr="00282B94">
        <w:trPr>
          <w:trHeight w:val="397"/>
        </w:trPr>
        <w:tc>
          <w:tcPr>
            <w:tcW w:w="588" w:type="pct"/>
            <w:vMerge/>
            <w:tcBorders>
              <w:top w:val="nil"/>
              <w:left w:val="nil"/>
              <w:bottom w:val="single" w:sz="4" w:space="0" w:color="000000"/>
              <w:right w:val="nil"/>
            </w:tcBorders>
            <w:vAlign w:val="center"/>
            <w:hideMark/>
          </w:tcPr>
          <w:p w14:paraId="4A3C63F0"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09D2C256"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7576100A"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4D5255A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48.4%</w:t>
            </w:r>
          </w:p>
        </w:tc>
        <w:tc>
          <w:tcPr>
            <w:tcW w:w="550" w:type="pct"/>
            <w:tcBorders>
              <w:top w:val="nil"/>
              <w:left w:val="nil"/>
              <w:bottom w:val="nil"/>
              <w:right w:val="nil"/>
            </w:tcBorders>
            <w:shd w:val="clear" w:color="auto" w:fill="auto"/>
            <w:noWrap/>
            <w:vAlign w:val="center"/>
            <w:hideMark/>
          </w:tcPr>
          <w:p w14:paraId="6AADCC66"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45.0% - 52.2%</w:t>
            </w:r>
          </w:p>
        </w:tc>
        <w:tc>
          <w:tcPr>
            <w:tcW w:w="550" w:type="pct"/>
            <w:tcBorders>
              <w:top w:val="nil"/>
              <w:left w:val="nil"/>
              <w:bottom w:val="nil"/>
              <w:right w:val="nil"/>
            </w:tcBorders>
            <w:shd w:val="clear" w:color="auto" w:fill="auto"/>
            <w:noWrap/>
            <w:vAlign w:val="center"/>
            <w:hideMark/>
          </w:tcPr>
          <w:p w14:paraId="28875D3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14.2%</w:t>
            </w:r>
          </w:p>
        </w:tc>
        <w:tc>
          <w:tcPr>
            <w:tcW w:w="550" w:type="pct"/>
            <w:tcBorders>
              <w:top w:val="nil"/>
              <w:left w:val="nil"/>
              <w:bottom w:val="nil"/>
              <w:right w:val="nil"/>
            </w:tcBorders>
            <w:shd w:val="clear" w:color="auto" w:fill="auto"/>
            <w:noWrap/>
            <w:vAlign w:val="center"/>
            <w:hideMark/>
          </w:tcPr>
          <w:p w14:paraId="6C10D47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11.7% - 27.2%</w:t>
            </w:r>
          </w:p>
        </w:tc>
        <w:tc>
          <w:tcPr>
            <w:tcW w:w="550" w:type="pct"/>
            <w:tcBorders>
              <w:top w:val="nil"/>
              <w:left w:val="nil"/>
              <w:bottom w:val="nil"/>
              <w:right w:val="nil"/>
            </w:tcBorders>
            <w:shd w:val="clear" w:color="auto" w:fill="auto"/>
            <w:noWrap/>
            <w:vAlign w:val="center"/>
            <w:hideMark/>
          </w:tcPr>
          <w:p w14:paraId="5CB4856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14.5%</w:t>
            </w:r>
          </w:p>
        </w:tc>
        <w:tc>
          <w:tcPr>
            <w:tcW w:w="550" w:type="pct"/>
            <w:tcBorders>
              <w:top w:val="nil"/>
              <w:left w:val="nil"/>
              <w:bottom w:val="nil"/>
              <w:right w:val="nil"/>
            </w:tcBorders>
            <w:shd w:val="clear" w:color="auto" w:fill="auto"/>
            <w:noWrap/>
            <w:vAlign w:val="center"/>
            <w:hideMark/>
          </w:tcPr>
          <w:p w14:paraId="146E405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11% - 31.9%</w:t>
            </w:r>
          </w:p>
        </w:tc>
      </w:tr>
      <w:tr w:rsidR="00282B94" w:rsidRPr="005E2F89" w14:paraId="79A57852" w14:textId="77777777" w:rsidTr="00282B94">
        <w:trPr>
          <w:trHeight w:val="397"/>
        </w:trPr>
        <w:tc>
          <w:tcPr>
            <w:tcW w:w="588" w:type="pct"/>
            <w:vMerge/>
            <w:tcBorders>
              <w:top w:val="nil"/>
              <w:left w:val="nil"/>
              <w:bottom w:val="single" w:sz="4" w:space="0" w:color="000000"/>
              <w:right w:val="nil"/>
            </w:tcBorders>
            <w:vAlign w:val="center"/>
            <w:hideMark/>
          </w:tcPr>
          <w:p w14:paraId="7FBC07E5"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6B87DB91"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55FF41C9"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3C8B9C7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34.5%</w:t>
            </w:r>
          </w:p>
        </w:tc>
        <w:tc>
          <w:tcPr>
            <w:tcW w:w="550" w:type="pct"/>
            <w:tcBorders>
              <w:top w:val="nil"/>
              <w:left w:val="nil"/>
              <w:bottom w:val="nil"/>
              <w:right w:val="nil"/>
            </w:tcBorders>
            <w:shd w:val="clear" w:color="auto" w:fill="auto"/>
            <w:noWrap/>
            <w:vAlign w:val="center"/>
            <w:hideMark/>
          </w:tcPr>
          <w:p w14:paraId="52FDDF36"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25.2% - 38.4%</w:t>
            </w:r>
          </w:p>
        </w:tc>
        <w:tc>
          <w:tcPr>
            <w:tcW w:w="550" w:type="pct"/>
            <w:tcBorders>
              <w:top w:val="nil"/>
              <w:left w:val="nil"/>
              <w:bottom w:val="nil"/>
              <w:right w:val="nil"/>
            </w:tcBorders>
            <w:shd w:val="clear" w:color="auto" w:fill="auto"/>
            <w:noWrap/>
            <w:vAlign w:val="center"/>
            <w:hideMark/>
          </w:tcPr>
          <w:p w14:paraId="706908F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4.0%</w:t>
            </w:r>
          </w:p>
        </w:tc>
        <w:tc>
          <w:tcPr>
            <w:tcW w:w="550" w:type="pct"/>
            <w:tcBorders>
              <w:top w:val="nil"/>
              <w:left w:val="nil"/>
              <w:bottom w:val="nil"/>
              <w:right w:val="nil"/>
            </w:tcBorders>
            <w:shd w:val="clear" w:color="auto" w:fill="auto"/>
            <w:noWrap/>
            <w:vAlign w:val="center"/>
            <w:hideMark/>
          </w:tcPr>
          <w:p w14:paraId="088A9ABF"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2.2% - 11.1%</w:t>
            </w:r>
          </w:p>
        </w:tc>
        <w:tc>
          <w:tcPr>
            <w:tcW w:w="550" w:type="pct"/>
            <w:tcBorders>
              <w:top w:val="nil"/>
              <w:left w:val="nil"/>
              <w:bottom w:val="nil"/>
              <w:right w:val="nil"/>
            </w:tcBorders>
            <w:shd w:val="clear" w:color="auto" w:fill="auto"/>
            <w:noWrap/>
            <w:vAlign w:val="center"/>
            <w:hideMark/>
          </w:tcPr>
          <w:p w14:paraId="485F33C7"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8.7%</w:t>
            </w:r>
          </w:p>
        </w:tc>
        <w:tc>
          <w:tcPr>
            <w:tcW w:w="550" w:type="pct"/>
            <w:tcBorders>
              <w:top w:val="nil"/>
              <w:left w:val="nil"/>
              <w:bottom w:val="nil"/>
              <w:right w:val="nil"/>
            </w:tcBorders>
            <w:shd w:val="clear" w:color="auto" w:fill="auto"/>
            <w:noWrap/>
            <w:vAlign w:val="center"/>
            <w:hideMark/>
          </w:tcPr>
          <w:p w14:paraId="0752417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6.4% - 16.9%</w:t>
            </w:r>
          </w:p>
        </w:tc>
      </w:tr>
      <w:tr w:rsidR="00282B94" w:rsidRPr="005E2F89" w14:paraId="67EBE8CE" w14:textId="77777777" w:rsidTr="00282B94">
        <w:trPr>
          <w:trHeight w:val="397"/>
        </w:trPr>
        <w:tc>
          <w:tcPr>
            <w:tcW w:w="588" w:type="pct"/>
            <w:vMerge/>
            <w:tcBorders>
              <w:top w:val="nil"/>
              <w:left w:val="nil"/>
              <w:bottom w:val="single" w:sz="4" w:space="0" w:color="000000"/>
              <w:right w:val="nil"/>
            </w:tcBorders>
            <w:vAlign w:val="center"/>
            <w:hideMark/>
          </w:tcPr>
          <w:p w14:paraId="5C05CDAF"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65B0A1FE"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44436AEF"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696A2E9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45.9%</w:t>
            </w:r>
          </w:p>
        </w:tc>
        <w:tc>
          <w:tcPr>
            <w:tcW w:w="550" w:type="pct"/>
            <w:tcBorders>
              <w:top w:val="nil"/>
              <w:left w:val="nil"/>
              <w:bottom w:val="single" w:sz="4" w:space="0" w:color="auto"/>
              <w:right w:val="nil"/>
            </w:tcBorders>
            <w:shd w:val="clear" w:color="auto" w:fill="auto"/>
            <w:noWrap/>
            <w:vAlign w:val="center"/>
            <w:hideMark/>
          </w:tcPr>
          <w:p w14:paraId="298B041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25.3% - 54.7%</w:t>
            </w:r>
          </w:p>
        </w:tc>
        <w:tc>
          <w:tcPr>
            <w:tcW w:w="550" w:type="pct"/>
            <w:tcBorders>
              <w:top w:val="nil"/>
              <w:left w:val="nil"/>
              <w:bottom w:val="single" w:sz="4" w:space="0" w:color="auto"/>
              <w:right w:val="nil"/>
            </w:tcBorders>
            <w:shd w:val="clear" w:color="auto" w:fill="auto"/>
            <w:noWrap/>
            <w:vAlign w:val="center"/>
            <w:hideMark/>
          </w:tcPr>
          <w:p w14:paraId="5527E18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19.5%</w:t>
            </w:r>
          </w:p>
        </w:tc>
        <w:tc>
          <w:tcPr>
            <w:tcW w:w="550" w:type="pct"/>
            <w:tcBorders>
              <w:top w:val="nil"/>
              <w:left w:val="nil"/>
              <w:bottom w:val="single" w:sz="4" w:space="0" w:color="auto"/>
              <w:right w:val="nil"/>
            </w:tcBorders>
            <w:shd w:val="clear" w:color="auto" w:fill="auto"/>
            <w:noWrap/>
            <w:vAlign w:val="center"/>
            <w:hideMark/>
          </w:tcPr>
          <w:p w14:paraId="76031030"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 - 32.5%</w:t>
            </w:r>
          </w:p>
        </w:tc>
        <w:tc>
          <w:tcPr>
            <w:tcW w:w="550" w:type="pct"/>
            <w:tcBorders>
              <w:top w:val="nil"/>
              <w:left w:val="nil"/>
              <w:bottom w:val="single" w:sz="4" w:space="0" w:color="auto"/>
              <w:right w:val="nil"/>
            </w:tcBorders>
            <w:shd w:val="clear" w:color="auto" w:fill="auto"/>
            <w:noWrap/>
            <w:vAlign w:val="center"/>
            <w:hideMark/>
          </w:tcPr>
          <w:p w14:paraId="6E910B1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14.5%</w:t>
            </w:r>
          </w:p>
        </w:tc>
        <w:tc>
          <w:tcPr>
            <w:tcW w:w="550" w:type="pct"/>
            <w:tcBorders>
              <w:top w:val="nil"/>
              <w:left w:val="nil"/>
              <w:bottom w:val="single" w:sz="4" w:space="0" w:color="auto"/>
              <w:right w:val="nil"/>
            </w:tcBorders>
            <w:shd w:val="clear" w:color="auto" w:fill="auto"/>
            <w:noWrap/>
            <w:vAlign w:val="center"/>
            <w:hideMark/>
          </w:tcPr>
          <w:p w14:paraId="4D62F20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0.1% - 38.7%</w:t>
            </w:r>
          </w:p>
        </w:tc>
      </w:tr>
      <w:tr w:rsidR="00282B94" w:rsidRPr="005E2F89" w14:paraId="0D7AE98A" w14:textId="77777777" w:rsidTr="00282B94">
        <w:trPr>
          <w:trHeight w:val="397"/>
        </w:trPr>
        <w:tc>
          <w:tcPr>
            <w:tcW w:w="588" w:type="pct"/>
            <w:vMerge/>
            <w:tcBorders>
              <w:top w:val="nil"/>
              <w:left w:val="nil"/>
              <w:bottom w:val="single" w:sz="4" w:space="0" w:color="000000"/>
              <w:right w:val="nil"/>
            </w:tcBorders>
            <w:vAlign w:val="center"/>
            <w:hideMark/>
          </w:tcPr>
          <w:p w14:paraId="604F271D" w14:textId="77777777" w:rsidR="005E2F89" w:rsidRPr="005E2F89" w:rsidRDefault="005E2F89" w:rsidP="005E2F89">
            <w:pPr>
              <w:rPr>
                <w:rFonts w:ascii="Arial" w:eastAsia="Times New Roman" w:hAnsi="Arial" w:cs="Arial"/>
                <w:color w:val="000000"/>
                <w:sz w:val="14"/>
                <w:szCs w:val="14"/>
              </w:rPr>
            </w:pPr>
          </w:p>
        </w:tc>
        <w:tc>
          <w:tcPr>
            <w:tcW w:w="625" w:type="pct"/>
            <w:vMerge w:val="restart"/>
            <w:tcBorders>
              <w:top w:val="nil"/>
              <w:left w:val="nil"/>
              <w:bottom w:val="single" w:sz="4" w:space="0" w:color="000000"/>
              <w:right w:val="nil"/>
            </w:tcBorders>
            <w:shd w:val="clear" w:color="auto" w:fill="auto"/>
            <w:noWrap/>
            <w:vAlign w:val="center"/>
            <w:hideMark/>
          </w:tcPr>
          <w:p w14:paraId="579C5C2D"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&gt;64y</w:t>
            </w:r>
          </w:p>
        </w:tc>
        <w:tc>
          <w:tcPr>
            <w:tcW w:w="488" w:type="pct"/>
            <w:tcBorders>
              <w:top w:val="nil"/>
              <w:left w:val="nil"/>
              <w:bottom w:val="nil"/>
              <w:right w:val="nil"/>
            </w:tcBorders>
            <w:shd w:val="clear" w:color="auto" w:fill="auto"/>
            <w:noWrap/>
            <w:vAlign w:val="center"/>
            <w:hideMark/>
          </w:tcPr>
          <w:p w14:paraId="2488FF9E"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36C31F00"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4.8%</w:t>
            </w:r>
          </w:p>
        </w:tc>
        <w:tc>
          <w:tcPr>
            <w:tcW w:w="550" w:type="pct"/>
            <w:tcBorders>
              <w:top w:val="nil"/>
              <w:left w:val="nil"/>
              <w:bottom w:val="nil"/>
              <w:right w:val="nil"/>
            </w:tcBorders>
            <w:shd w:val="clear" w:color="auto" w:fill="auto"/>
            <w:noWrap/>
            <w:vAlign w:val="center"/>
            <w:hideMark/>
          </w:tcPr>
          <w:p w14:paraId="76890B3A"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3.9% - 5.7%</w:t>
            </w:r>
          </w:p>
        </w:tc>
        <w:tc>
          <w:tcPr>
            <w:tcW w:w="550" w:type="pct"/>
            <w:tcBorders>
              <w:top w:val="nil"/>
              <w:left w:val="nil"/>
              <w:bottom w:val="nil"/>
              <w:right w:val="nil"/>
            </w:tcBorders>
            <w:shd w:val="clear" w:color="auto" w:fill="auto"/>
            <w:noWrap/>
            <w:vAlign w:val="center"/>
            <w:hideMark/>
          </w:tcPr>
          <w:p w14:paraId="0280B42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1.6%</w:t>
            </w:r>
          </w:p>
        </w:tc>
        <w:tc>
          <w:tcPr>
            <w:tcW w:w="550" w:type="pct"/>
            <w:tcBorders>
              <w:top w:val="nil"/>
              <w:left w:val="nil"/>
              <w:bottom w:val="nil"/>
              <w:right w:val="nil"/>
            </w:tcBorders>
            <w:shd w:val="clear" w:color="auto" w:fill="auto"/>
            <w:noWrap/>
            <w:vAlign w:val="center"/>
            <w:hideMark/>
          </w:tcPr>
          <w:p w14:paraId="1E8CB87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1.1% - 2.7%</w:t>
            </w:r>
          </w:p>
        </w:tc>
        <w:tc>
          <w:tcPr>
            <w:tcW w:w="550" w:type="pct"/>
            <w:tcBorders>
              <w:top w:val="nil"/>
              <w:left w:val="nil"/>
              <w:bottom w:val="nil"/>
              <w:right w:val="nil"/>
            </w:tcBorders>
            <w:shd w:val="clear" w:color="auto" w:fill="auto"/>
            <w:noWrap/>
            <w:vAlign w:val="center"/>
            <w:hideMark/>
          </w:tcPr>
          <w:p w14:paraId="178D0406"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29.2%</w:t>
            </w:r>
          </w:p>
        </w:tc>
        <w:tc>
          <w:tcPr>
            <w:tcW w:w="550" w:type="pct"/>
            <w:tcBorders>
              <w:top w:val="nil"/>
              <w:left w:val="nil"/>
              <w:bottom w:val="nil"/>
              <w:right w:val="nil"/>
            </w:tcBorders>
            <w:shd w:val="clear" w:color="auto" w:fill="auto"/>
            <w:noWrap/>
            <w:vAlign w:val="center"/>
            <w:hideMark/>
          </w:tcPr>
          <w:p w14:paraId="17E0286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19.5% - 60.8%</w:t>
            </w:r>
          </w:p>
        </w:tc>
      </w:tr>
      <w:tr w:rsidR="00282B94" w:rsidRPr="005E2F89" w14:paraId="02D16AE7" w14:textId="77777777" w:rsidTr="00282B94">
        <w:trPr>
          <w:trHeight w:val="397"/>
        </w:trPr>
        <w:tc>
          <w:tcPr>
            <w:tcW w:w="588" w:type="pct"/>
            <w:vMerge/>
            <w:tcBorders>
              <w:top w:val="nil"/>
              <w:left w:val="nil"/>
              <w:bottom w:val="single" w:sz="4" w:space="0" w:color="000000"/>
              <w:right w:val="nil"/>
            </w:tcBorders>
            <w:vAlign w:val="center"/>
            <w:hideMark/>
          </w:tcPr>
          <w:p w14:paraId="3F5DF8BF"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131C9846"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4B0A6396"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689B472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4.5%</w:t>
            </w:r>
          </w:p>
        </w:tc>
        <w:tc>
          <w:tcPr>
            <w:tcW w:w="550" w:type="pct"/>
            <w:tcBorders>
              <w:top w:val="nil"/>
              <w:left w:val="nil"/>
              <w:bottom w:val="nil"/>
              <w:right w:val="nil"/>
            </w:tcBorders>
            <w:shd w:val="clear" w:color="auto" w:fill="auto"/>
            <w:noWrap/>
            <w:vAlign w:val="center"/>
            <w:hideMark/>
          </w:tcPr>
          <w:p w14:paraId="2804D4CB"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3.7% - 5.2%</w:t>
            </w:r>
          </w:p>
        </w:tc>
        <w:tc>
          <w:tcPr>
            <w:tcW w:w="550" w:type="pct"/>
            <w:tcBorders>
              <w:top w:val="nil"/>
              <w:left w:val="nil"/>
              <w:bottom w:val="nil"/>
              <w:right w:val="nil"/>
            </w:tcBorders>
            <w:shd w:val="clear" w:color="auto" w:fill="auto"/>
            <w:noWrap/>
            <w:vAlign w:val="center"/>
            <w:hideMark/>
          </w:tcPr>
          <w:p w14:paraId="5C6449B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1.5%</w:t>
            </w:r>
          </w:p>
        </w:tc>
        <w:tc>
          <w:tcPr>
            <w:tcW w:w="550" w:type="pct"/>
            <w:tcBorders>
              <w:top w:val="nil"/>
              <w:left w:val="nil"/>
              <w:bottom w:val="nil"/>
              <w:right w:val="nil"/>
            </w:tcBorders>
            <w:shd w:val="clear" w:color="auto" w:fill="auto"/>
            <w:noWrap/>
            <w:vAlign w:val="center"/>
            <w:hideMark/>
          </w:tcPr>
          <w:p w14:paraId="0E6D90E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1.2% - 2.5%</w:t>
            </w:r>
          </w:p>
        </w:tc>
        <w:tc>
          <w:tcPr>
            <w:tcW w:w="550" w:type="pct"/>
            <w:tcBorders>
              <w:top w:val="nil"/>
              <w:left w:val="nil"/>
              <w:bottom w:val="nil"/>
              <w:right w:val="nil"/>
            </w:tcBorders>
            <w:shd w:val="clear" w:color="auto" w:fill="auto"/>
            <w:noWrap/>
            <w:vAlign w:val="center"/>
            <w:hideMark/>
          </w:tcPr>
          <w:p w14:paraId="1C5CE56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28.1%</w:t>
            </w:r>
          </w:p>
        </w:tc>
        <w:tc>
          <w:tcPr>
            <w:tcW w:w="550" w:type="pct"/>
            <w:tcBorders>
              <w:top w:val="nil"/>
              <w:left w:val="nil"/>
              <w:bottom w:val="nil"/>
              <w:right w:val="nil"/>
            </w:tcBorders>
            <w:shd w:val="clear" w:color="auto" w:fill="auto"/>
            <w:noWrap/>
            <w:vAlign w:val="center"/>
            <w:hideMark/>
          </w:tcPr>
          <w:p w14:paraId="32DA7BF0"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23.3% - 59.5%</w:t>
            </w:r>
          </w:p>
        </w:tc>
      </w:tr>
      <w:tr w:rsidR="00282B94" w:rsidRPr="005E2F89" w14:paraId="3B7BC65E" w14:textId="77777777" w:rsidTr="00282B94">
        <w:trPr>
          <w:trHeight w:val="397"/>
        </w:trPr>
        <w:tc>
          <w:tcPr>
            <w:tcW w:w="588" w:type="pct"/>
            <w:vMerge/>
            <w:tcBorders>
              <w:top w:val="nil"/>
              <w:left w:val="nil"/>
              <w:bottom w:val="single" w:sz="4" w:space="0" w:color="000000"/>
              <w:right w:val="nil"/>
            </w:tcBorders>
            <w:vAlign w:val="center"/>
            <w:hideMark/>
          </w:tcPr>
          <w:p w14:paraId="36FEC2B0"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667F9834"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47FEF18F"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1A85DFA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1.2%</w:t>
            </w:r>
          </w:p>
        </w:tc>
        <w:tc>
          <w:tcPr>
            <w:tcW w:w="550" w:type="pct"/>
            <w:tcBorders>
              <w:top w:val="nil"/>
              <w:left w:val="nil"/>
              <w:bottom w:val="nil"/>
              <w:right w:val="nil"/>
            </w:tcBorders>
            <w:shd w:val="clear" w:color="auto" w:fill="auto"/>
            <w:noWrap/>
            <w:vAlign w:val="center"/>
            <w:hideMark/>
          </w:tcPr>
          <w:p w14:paraId="1CE1E84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0.6% - 2.2%</w:t>
            </w:r>
          </w:p>
        </w:tc>
        <w:tc>
          <w:tcPr>
            <w:tcW w:w="550" w:type="pct"/>
            <w:tcBorders>
              <w:top w:val="nil"/>
              <w:left w:val="nil"/>
              <w:bottom w:val="nil"/>
              <w:right w:val="nil"/>
            </w:tcBorders>
            <w:shd w:val="clear" w:color="auto" w:fill="auto"/>
            <w:noWrap/>
            <w:vAlign w:val="center"/>
            <w:hideMark/>
          </w:tcPr>
          <w:p w14:paraId="2199BBA0"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0.2%</w:t>
            </w:r>
          </w:p>
        </w:tc>
        <w:tc>
          <w:tcPr>
            <w:tcW w:w="550" w:type="pct"/>
            <w:tcBorders>
              <w:top w:val="nil"/>
              <w:left w:val="nil"/>
              <w:bottom w:val="nil"/>
              <w:right w:val="nil"/>
            </w:tcBorders>
            <w:shd w:val="clear" w:color="auto" w:fill="auto"/>
            <w:noWrap/>
            <w:vAlign w:val="center"/>
            <w:hideMark/>
          </w:tcPr>
          <w:p w14:paraId="21BFA0F3"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 - 0.7%</w:t>
            </w:r>
          </w:p>
        </w:tc>
        <w:tc>
          <w:tcPr>
            <w:tcW w:w="550" w:type="pct"/>
            <w:tcBorders>
              <w:top w:val="nil"/>
              <w:left w:val="nil"/>
              <w:bottom w:val="nil"/>
              <w:right w:val="nil"/>
            </w:tcBorders>
            <w:shd w:val="clear" w:color="auto" w:fill="auto"/>
            <w:noWrap/>
            <w:vAlign w:val="center"/>
            <w:hideMark/>
          </w:tcPr>
          <w:p w14:paraId="4F8E4A1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12.9%</w:t>
            </w:r>
          </w:p>
        </w:tc>
        <w:tc>
          <w:tcPr>
            <w:tcW w:w="550" w:type="pct"/>
            <w:tcBorders>
              <w:top w:val="nil"/>
              <w:left w:val="nil"/>
              <w:bottom w:val="nil"/>
              <w:right w:val="nil"/>
            </w:tcBorders>
            <w:shd w:val="clear" w:color="auto" w:fill="auto"/>
            <w:noWrap/>
            <w:vAlign w:val="center"/>
            <w:hideMark/>
          </w:tcPr>
          <w:p w14:paraId="20BE3173"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8.9% - 28.7%</w:t>
            </w:r>
          </w:p>
        </w:tc>
      </w:tr>
      <w:tr w:rsidR="00282B94" w:rsidRPr="005E2F89" w14:paraId="1FC12454" w14:textId="77777777" w:rsidTr="00282B94">
        <w:trPr>
          <w:trHeight w:val="397"/>
        </w:trPr>
        <w:tc>
          <w:tcPr>
            <w:tcW w:w="588" w:type="pct"/>
            <w:vMerge/>
            <w:tcBorders>
              <w:top w:val="nil"/>
              <w:left w:val="nil"/>
              <w:bottom w:val="single" w:sz="4" w:space="0" w:color="000000"/>
              <w:right w:val="nil"/>
            </w:tcBorders>
            <w:vAlign w:val="center"/>
            <w:hideMark/>
          </w:tcPr>
          <w:p w14:paraId="1675E9D4"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44983026"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1D7BFC3F"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3888B99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6.5%</w:t>
            </w:r>
          </w:p>
        </w:tc>
        <w:tc>
          <w:tcPr>
            <w:tcW w:w="550" w:type="pct"/>
            <w:tcBorders>
              <w:top w:val="nil"/>
              <w:left w:val="nil"/>
              <w:bottom w:val="single" w:sz="4" w:space="0" w:color="auto"/>
              <w:right w:val="nil"/>
            </w:tcBorders>
            <w:shd w:val="clear" w:color="auto" w:fill="auto"/>
            <w:noWrap/>
            <w:vAlign w:val="center"/>
            <w:hideMark/>
          </w:tcPr>
          <w:p w14:paraId="7044418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4.2% - 8.8%</w:t>
            </w:r>
          </w:p>
        </w:tc>
        <w:tc>
          <w:tcPr>
            <w:tcW w:w="550" w:type="pct"/>
            <w:tcBorders>
              <w:top w:val="nil"/>
              <w:left w:val="nil"/>
              <w:bottom w:val="single" w:sz="4" w:space="0" w:color="auto"/>
              <w:right w:val="nil"/>
            </w:tcBorders>
            <w:shd w:val="clear" w:color="auto" w:fill="auto"/>
            <w:noWrap/>
            <w:vAlign w:val="center"/>
            <w:hideMark/>
          </w:tcPr>
          <w:p w14:paraId="05938F73"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2.5%</w:t>
            </w:r>
          </w:p>
        </w:tc>
        <w:tc>
          <w:tcPr>
            <w:tcW w:w="550" w:type="pct"/>
            <w:tcBorders>
              <w:top w:val="nil"/>
              <w:left w:val="nil"/>
              <w:bottom w:val="single" w:sz="4" w:space="0" w:color="auto"/>
              <w:right w:val="nil"/>
            </w:tcBorders>
            <w:shd w:val="clear" w:color="auto" w:fill="auto"/>
            <w:noWrap/>
            <w:vAlign w:val="center"/>
            <w:hideMark/>
          </w:tcPr>
          <w:p w14:paraId="08F2DE5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 - 4%</w:t>
            </w:r>
          </w:p>
        </w:tc>
        <w:tc>
          <w:tcPr>
            <w:tcW w:w="550" w:type="pct"/>
            <w:tcBorders>
              <w:top w:val="nil"/>
              <w:left w:val="nil"/>
              <w:bottom w:val="single" w:sz="4" w:space="0" w:color="auto"/>
              <w:right w:val="nil"/>
            </w:tcBorders>
            <w:shd w:val="clear" w:color="auto" w:fill="auto"/>
            <w:noWrap/>
            <w:vAlign w:val="center"/>
            <w:hideMark/>
          </w:tcPr>
          <w:p w14:paraId="6849300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32.0%</w:t>
            </w:r>
          </w:p>
        </w:tc>
        <w:tc>
          <w:tcPr>
            <w:tcW w:w="550" w:type="pct"/>
            <w:tcBorders>
              <w:top w:val="nil"/>
              <w:left w:val="nil"/>
              <w:bottom w:val="single" w:sz="4" w:space="0" w:color="auto"/>
              <w:right w:val="nil"/>
            </w:tcBorders>
            <w:shd w:val="clear" w:color="auto" w:fill="auto"/>
            <w:noWrap/>
            <w:vAlign w:val="center"/>
            <w:hideMark/>
          </w:tcPr>
          <w:p w14:paraId="5AC3AC9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0.1% - 68.3%</w:t>
            </w:r>
          </w:p>
        </w:tc>
      </w:tr>
      <w:tr w:rsidR="00282B94" w:rsidRPr="005E2F89" w14:paraId="05CA2CAA" w14:textId="77777777" w:rsidTr="00282B94">
        <w:trPr>
          <w:trHeight w:val="397"/>
        </w:trPr>
        <w:tc>
          <w:tcPr>
            <w:tcW w:w="588" w:type="pct"/>
            <w:vMerge w:val="restart"/>
            <w:tcBorders>
              <w:top w:val="nil"/>
              <w:left w:val="nil"/>
              <w:bottom w:val="single" w:sz="4" w:space="0" w:color="000000"/>
              <w:right w:val="nil"/>
            </w:tcBorders>
            <w:shd w:val="clear" w:color="auto" w:fill="auto"/>
            <w:noWrap/>
            <w:vAlign w:val="center"/>
            <w:hideMark/>
          </w:tcPr>
          <w:p w14:paraId="4F9B6D93"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HIC</w:t>
            </w:r>
          </w:p>
        </w:tc>
        <w:tc>
          <w:tcPr>
            <w:tcW w:w="625" w:type="pct"/>
            <w:vMerge w:val="restart"/>
            <w:tcBorders>
              <w:top w:val="nil"/>
              <w:left w:val="nil"/>
              <w:bottom w:val="single" w:sz="4" w:space="0" w:color="000000"/>
              <w:right w:val="nil"/>
            </w:tcBorders>
            <w:shd w:val="clear" w:color="auto" w:fill="auto"/>
            <w:noWrap/>
            <w:vAlign w:val="center"/>
            <w:hideMark/>
          </w:tcPr>
          <w:p w14:paraId="18C7900C"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5-24y</w:t>
            </w:r>
          </w:p>
        </w:tc>
        <w:tc>
          <w:tcPr>
            <w:tcW w:w="488" w:type="pct"/>
            <w:tcBorders>
              <w:top w:val="nil"/>
              <w:left w:val="nil"/>
              <w:bottom w:val="nil"/>
              <w:right w:val="nil"/>
            </w:tcBorders>
            <w:shd w:val="clear" w:color="auto" w:fill="auto"/>
            <w:noWrap/>
            <w:vAlign w:val="center"/>
            <w:hideMark/>
          </w:tcPr>
          <w:p w14:paraId="3AEDE890"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53FFABB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37.7%</w:t>
            </w:r>
          </w:p>
        </w:tc>
        <w:tc>
          <w:tcPr>
            <w:tcW w:w="550" w:type="pct"/>
            <w:tcBorders>
              <w:top w:val="nil"/>
              <w:left w:val="nil"/>
              <w:bottom w:val="nil"/>
              <w:right w:val="nil"/>
            </w:tcBorders>
            <w:shd w:val="clear" w:color="auto" w:fill="auto"/>
            <w:noWrap/>
            <w:vAlign w:val="center"/>
            <w:hideMark/>
          </w:tcPr>
          <w:p w14:paraId="126C39D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31.9% - 41.3%</w:t>
            </w:r>
          </w:p>
        </w:tc>
        <w:tc>
          <w:tcPr>
            <w:tcW w:w="550" w:type="pct"/>
            <w:tcBorders>
              <w:top w:val="nil"/>
              <w:left w:val="nil"/>
              <w:bottom w:val="nil"/>
              <w:right w:val="nil"/>
            </w:tcBorders>
            <w:shd w:val="clear" w:color="auto" w:fill="auto"/>
            <w:noWrap/>
            <w:vAlign w:val="center"/>
            <w:hideMark/>
          </w:tcPr>
          <w:p w14:paraId="5CF2DDB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9.3%</w:t>
            </w:r>
          </w:p>
        </w:tc>
        <w:tc>
          <w:tcPr>
            <w:tcW w:w="550" w:type="pct"/>
            <w:tcBorders>
              <w:top w:val="nil"/>
              <w:left w:val="nil"/>
              <w:bottom w:val="nil"/>
              <w:right w:val="nil"/>
            </w:tcBorders>
            <w:shd w:val="clear" w:color="auto" w:fill="auto"/>
            <w:noWrap/>
            <w:vAlign w:val="center"/>
            <w:hideMark/>
          </w:tcPr>
          <w:p w14:paraId="6C2FB62D"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6.1% - 18.2%</w:t>
            </w:r>
          </w:p>
        </w:tc>
        <w:tc>
          <w:tcPr>
            <w:tcW w:w="550" w:type="pct"/>
            <w:tcBorders>
              <w:top w:val="nil"/>
              <w:left w:val="nil"/>
              <w:bottom w:val="nil"/>
              <w:right w:val="nil"/>
            </w:tcBorders>
            <w:shd w:val="clear" w:color="auto" w:fill="auto"/>
            <w:noWrap/>
            <w:vAlign w:val="center"/>
            <w:hideMark/>
          </w:tcPr>
          <w:p w14:paraId="7D6CC53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17.3%</w:t>
            </w:r>
          </w:p>
        </w:tc>
        <w:tc>
          <w:tcPr>
            <w:tcW w:w="550" w:type="pct"/>
            <w:tcBorders>
              <w:top w:val="nil"/>
              <w:left w:val="nil"/>
              <w:bottom w:val="nil"/>
              <w:right w:val="nil"/>
            </w:tcBorders>
            <w:shd w:val="clear" w:color="auto" w:fill="auto"/>
            <w:noWrap/>
            <w:vAlign w:val="center"/>
            <w:hideMark/>
          </w:tcPr>
          <w:p w14:paraId="50D7E71D"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12.1% - 26.1%</w:t>
            </w:r>
          </w:p>
        </w:tc>
      </w:tr>
      <w:tr w:rsidR="00282B94" w:rsidRPr="005E2F89" w14:paraId="64566476" w14:textId="77777777" w:rsidTr="00282B94">
        <w:trPr>
          <w:trHeight w:val="397"/>
        </w:trPr>
        <w:tc>
          <w:tcPr>
            <w:tcW w:w="588" w:type="pct"/>
            <w:vMerge/>
            <w:tcBorders>
              <w:top w:val="nil"/>
              <w:left w:val="nil"/>
              <w:bottom w:val="single" w:sz="4" w:space="0" w:color="000000"/>
              <w:right w:val="nil"/>
            </w:tcBorders>
            <w:vAlign w:val="center"/>
            <w:hideMark/>
          </w:tcPr>
          <w:p w14:paraId="3820232A"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43F1DEF2"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3102B7D7"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5053895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39.5%</w:t>
            </w:r>
          </w:p>
        </w:tc>
        <w:tc>
          <w:tcPr>
            <w:tcW w:w="550" w:type="pct"/>
            <w:tcBorders>
              <w:top w:val="nil"/>
              <w:left w:val="nil"/>
              <w:bottom w:val="nil"/>
              <w:right w:val="nil"/>
            </w:tcBorders>
            <w:shd w:val="clear" w:color="auto" w:fill="auto"/>
            <w:noWrap/>
            <w:vAlign w:val="center"/>
            <w:hideMark/>
          </w:tcPr>
          <w:p w14:paraId="2FC8F7CB"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34.6% - 43.1%</w:t>
            </w:r>
          </w:p>
        </w:tc>
        <w:tc>
          <w:tcPr>
            <w:tcW w:w="550" w:type="pct"/>
            <w:tcBorders>
              <w:top w:val="nil"/>
              <w:left w:val="nil"/>
              <w:bottom w:val="nil"/>
              <w:right w:val="nil"/>
            </w:tcBorders>
            <w:shd w:val="clear" w:color="auto" w:fill="auto"/>
            <w:noWrap/>
            <w:vAlign w:val="center"/>
            <w:hideMark/>
          </w:tcPr>
          <w:p w14:paraId="4BD7062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10.0%</w:t>
            </w:r>
          </w:p>
        </w:tc>
        <w:tc>
          <w:tcPr>
            <w:tcW w:w="550" w:type="pct"/>
            <w:tcBorders>
              <w:top w:val="nil"/>
              <w:left w:val="nil"/>
              <w:bottom w:val="nil"/>
              <w:right w:val="nil"/>
            </w:tcBorders>
            <w:shd w:val="clear" w:color="auto" w:fill="auto"/>
            <w:noWrap/>
            <w:vAlign w:val="center"/>
            <w:hideMark/>
          </w:tcPr>
          <w:p w14:paraId="1313029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7.3% - 17.4%</w:t>
            </w:r>
          </w:p>
        </w:tc>
        <w:tc>
          <w:tcPr>
            <w:tcW w:w="550" w:type="pct"/>
            <w:tcBorders>
              <w:top w:val="nil"/>
              <w:left w:val="nil"/>
              <w:bottom w:val="nil"/>
              <w:right w:val="nil"/>
            </w:tcBorders>
            <w:shd w:val="clear" w:color="auto" w:fill="auto"/>
            <w:noWrap/>
            <w:vAlign w:val="center"/>
            <w:hideMark/>
          </w:tcPr>
          <w:p w14:paraId="5B575C8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16.3%</w:t>
            </w:r>
          </w:p>
        </w:tc>
        <w:tc>
          <w:tcPr>
            <w:tcW w:w="550" w:type="pct"/>
            <w:tcBorders>
              <w:top w:val="nil"/>
              <w:left w:val="nil"/>
              <w:bottom w:val="nil"/>
              <w:right w:val="nil"/>
            </w:tcBorders>
            <w:shd w:val="clear" w:color="auto" w:fill="auto"/>
            <w:noWrap/>
            <w:vAlign w:val="center"/>
            <w:hideMark/>
          </w:tcPr>
          <w:p w14:paraId="41869D8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12.9% - 24%</w:t>
            </w:r>
          </w:p>
        </w:tc>
      </w:tr>
      <w:tr w:rsidR="00282B94" w:rsidRPr="005E2F89" w14:paraId="1C7E9077" w14:textId="77777777" w:rsidTr="00282B94">
        <w:trPr>
          <w:trHeight w:val="397"/>
        </w:trPr>
        <w:tc>
          <w:tcPr>
            <w:tcW w:w="588" w:type="pct"/>
            <w:vMerge/>
            <w:tcBorders>
              <w:top w:val="nil"/>
              <w:left w:val="nil"/>
              <w:bottom w:val="single" w:sz="4" w:space="0" w:color="000000"/>
              <w:right w:val="nil"/>
            </w:tcBorders>
            <w:vAlign w:val="center"/>
            <w:hideMark/>
          </w:tcPr>
          <w:p w14:paraId="6158FEF2"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2E398253"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6F498005"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71C11FC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66.5%</w:t>
            </w:r>
          </w:p>
        </w:tc>
        <w:tc>
          <w:tcPr>
            <w:tcW w:w="550" w:type="pct"/>
            <w:tcBorders>
              <w:top w:val="nil"/>
              <w:left w:val="nil"/>
              <w:bottom w:val="nil"/>
              <w:right w:val="nil"/>
            </w:tcBorders>
            <w:shd w:val="clear" w:color="auto" w:fill="auto"/>
            <w:noWrap/>
            <w:vAlign w:val="center"/>
            <w:hideMark/>
          </w:tcPr>
          <w:p w14:paraId="18EDC92D"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61.2% - 77.5%</w:t>
            </w:r>
          </w:p>
        </w:tc>
        <w:tc>
          <w:tcPr>
            <w:tcW w:w="550" w:type="pct"/>
            <w:tcBorders>
              <w:top w:val="nil"/>
              <w:left w:val="nil"/>
              <w:bottom w:val="nil"/>
              <w:right w:val="nil"/>
            </w:tcBorders>
            <w:shd w:val="clear" w:color="auto" w:fill="auto"/>
            <w:noWrap/>
            <w:vAlign w:val="center"/>
            <w:hideMark/>
          </w:tcPr>
          <w:p w14:paraId="754B84C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5.0%</w:t>
            </w:r>
          </w:p>
        </w:tc>
        <w:tc>
          <w:tcPr>
            <w:tcW w:w="550" w:type="pct"/>
            <w:tcBorders>
              <w:top w:val="nil"/>
              <w:left w:val="nil"/>
              <w:bottom w:val="nil"/>
              <w:right w:val="nil"/>
            </w:tcBorders>
            <w:shd w:val="clear" w:color="auto" w:fill="auto"/>
            <w:noWrap/>
            <w:vAlign w:val="center"/>
            <w:hideMark/>
          </w:tcPr>
          <w:p w14:paraId="6D30F64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3.6% - 6.8%</w:t>
            </w:r>
          </w:p>
        </w:tc>
        <w:tc>
          <w:tcPr>
            <w:tcW w:w="550" w:type="pct"/>
            <w:tcBorders>
              <w:top w:val="nil"/>
              <w:left w:val="nil"/>
              <w:bottom w:val="nil"/>
              <w:right w:val="nil"/>
            </w:tcBorders>
            <w:shd w:val="clear" w:color="auto" w:fill="auto"/>
            <w:noWrap/>
            <w:vAlign w:val="center"/>
            <w:hideMark/>
          </w:tcPr>
          <w:p w14:paraId="0A648F35"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2.4%</w:t>
            </w:r>
          </w:p>
        </w:tc>
        <w:tc>
          <w:tcPr>
            <w:tcW w:w="550" w:type="pct"/>
            <w:tcBorders>
              <w:top w:val="nil"/>
              <w:left w:val="nil"/>
              <w:bottom w:val="nil"/>
              <w:right w:val="nil"/>
            </w:tcBorders>
            <w:shd w:val="clear" w:color="auto" w:fill="auto"/>
            <w:noWrap/>
            <w:vAlign w:val="center"/>
            <w:hideMark/>
          </w:tcPr>
          <w:p w14:paraId="4ED6AB83"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1.1% - 4.2%</w:t>
            </w:r>
          </w:p>
        </w:tc>
      </w:tr>
      <w:tr w:rsidR="00282B94" w:rsidRPr="005E2F89" w14:paraId="2EC9CE23" w14:textId="77777777" w:rsidTr="00282B94">
        <w:trPr>
          <w:trHeight w:val="397"/>
        </w:trPr>
        <w:tc>
          <w:tcPr>
            <w:tcW w:w="588" w:type="pct"/>
            <w:vMerge/>
            <w:tcBorders>
              <w:top w:val="nil"/>
              <w:left w:val="nil"/>
              <w:bottom w:val="single" w:sz="4" w:space="0" w:color="000000"/>
              <w:right w:val="nil"/>
            </w:tcBorders>
            <w:vAlign w:val="center"/>
            <w:hideMark/>
          </w:tcPr>
          <w:p w14:paraId="3E78F0D5"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40BBFFC8"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075084C9"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3702C06D"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33.8%</w:t>
            </w:r>
          </w:p>
        </w:tc>
        <w:tc>
          <w:tcPr>
            <w:tcW w:w="550" w:type="pct"/>
            <w:tcBorders>
              <w:top w:val="nil"/>
              <w:left w:val="nil"/>
              <w:bottom w:val="single" w:sz="4" w:space="0" w:color="auto"/>
              <w:right w:val="nil"/>
            </w:tcBorders>
            <w:shd w:val="clear" w:color="auto" w:fill="auto"/>
            <w:noWrap/>
            <w:vAlign w:val="center"/>
            <w:hideMark/>
          </w:tcPr>
          <w:p w14:paraId="7F9CF24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25.6% - 40.7%</w:t>
            </w:r>
          </w:p>
        </w:tc>
        <w:tc>
          <w:tcPr>
            <w:tcW w:w="550" w:type="pct"/>
            <w:tcBorders>
              <w:top w:val="nil"/>
              <w:left w:val="nil"/>
              <w:bottom w:val="single" w:sz="4" w:space="0" w:color="auto"/>
              <w:right w:val="nil"/>
            </w:tcBorders>
            <w:shd w:val="clear" w:color="auto" w:fill="auto"/>
            <w:noWrap/>
            <w:vAlign w:val="center"/>
            <w:hideMark/>
          </w:tcPr>
          <w:p w14:paraId="4307A87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8.5%</w:t>
            </w:r>
          </w:p>
        </w:tc>
        <w:tc>
          <w:tcPr>
            <w:tcW w:w="550" w:type="pct"/>
            <w:tcBorders>
              <w:top w:val="nil"/>
              <w:left w:val="nil"/>
              <w:bottom w:val="single" w:sz="4" w:space="0" w:color="auto"/>
              <w:right w:val="nil"/>
            </w:tcBorders>
            <w:shd w:val="clear" w:color="auto" w:fill="auto"/>
            <w:noWrap/>
            <w:vAlign w:val="center"/>
            <w:hideMark/>
          </w:tcPr>
          <w:p w14:paraId="17D5F3A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 - 21.2%</w:t>
            </w:r>
          </w:p>
        </w:tc>
        <w:tc>
          <w:tcPr>
            <w:tcW w:w="550" w:type="pct"/>
            <w:tcBorders>
              <w:top w:val="nil"/>
              <w:left w:val="nil"/>
              <w:bottom w:val="single" w:sz="4" w:space="0" w:color="auto"/>
              <w:right w:val="nil"/>
            </w:tcBorders>
            <w:shd w:val="clear" w:color="auto" w:fill="auto"/>
            <w:noWrap/>
            <w:vAlign w:val="center"/>
            <w:hideMark/>
          </w:tcPr>
          <w:p w14:paraId="05F1507F"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25.0%</w:t>
            </w:r>
          </w:p>
        </w:tc>
        <w:tc>
          <w:tcPr>
            <w:tcW w:w="550" w:type="pct"/>
            <w:tcBorders>
              <w:top w:val="nil"/>
              <w:left w:val="nil"/>
              <w:bottom w:val="single" w:sz="4" w:space="0" w:color="auto"/>
              <w:right w:val="nil"/>
            </w:tcBorders>
            <w:shd w:val="clear" w:color="auto" w:fill="auto"/>
            <w:noWrap/>
            <w:vAlign w:val="center"/>
            <w:hideMark/>
          </w:tcPr>
          <w:p w14:paraId="15A9D12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0.1% - 35.2%</w:t>
            </w:r>
          </w:p>
        </w:tc>
      </w:tr>
      <w:tr w:rsidR="00282B94" w:rsidRPr="005E2F89" w14:paraId="179E1986" w14:textId="77777777" w:rsidTr="00282B94">
        <w:trPr>
          <w:trHeight w:val="397"/>
        </w:trPr>
        <w:tc>
          <w:tcPr>
            <w:tcW w:w="588" w:type="pct"/>
            <w:vMerge/>
            <w:tcBorders>
              <w:top w:val="nil"/>
              <w:left w:val="nil"/>
              <w:bottom w:val="single" w:sz="4" w:space="0" w:color="000000"/>
              <w:right w:val="nil"/>
            </w:tcBorders>
            <w:vAlign w:val="center"/>
            <w:hideMark/>
          </w:tcPr>
          <w:p w14:paraId="0EF5F00E" w14:textId="77777777" w:rsidR="005E2F89" w:rsidRPr="005E2F89" w:rsidRDefault="005E2F89" w:rsidP="005E2F89">
            <w:pPr>
              <w:rPr>
                <w:rFonts w:ascii="Arial" w:eastAsia="Times New Roman" w:hAnsi="Arial" w:cs="Arial"/>
                <w:color w:val="000000"/>
                <w:sz w:val="14"/>
                <w:szCs w:val="14"/>
              </w:rPr>
            </w:pPr>
          </w:p>
        </w:tc>
        <w:tc>
          <w:tcPr>
            <w:tcW w:w="625" w:type="pct"/>
            <w:vMerge w:val="restart"/>
            <w:tcBorders>
              <w:top w:val="nil"/>
              <w:left w:val="nil"/>
              <w:bottom w:val="single" w:sz="4" w:space="0" w:color="000000"/>
              <w:right w:val="nil"/>
            </w:tcBorders>
            <w:shd w:val="clear" w:color="auto" w:fill="auto"/>
            <w:noWrap/>
            <w:vAlign w:val="center"/>
            <w:hideMark/>
          </w:tcPr>
          <w:p w14:paraId="0C070CAD"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25-64y</w:t>
            </w:r>
          </w:p>
        </w:tc>
        <w:tc>
          <w:tcPr>
            <w:tcW w:w="488" w:type="pct"/>
            <w:tcBorders>
              <w:top w:val="nil"/>
              <w:left w:val="nil"/>
              <w:bottom w:val="nil"/>
              <w:right w:val="nil"/>
            </w:tcBorders>
            <w:shd w:val="clear" w:color="auto" w:fill="auto"/>
            <w:noWrap/>
            <w:vAlign w:val="center"/>
            <w:hideMark/>
          </w:tcPr>
          <w:p w14:paraId="057DF62F"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4C5A186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55.6%</w:t>
            </w:r>
          </w:p>
        </w:tc>
        <w:tc>
          <w:tcPr>
            <w:tcW w:w="550" w:type="pct"/>
            <w:tcBorders>
              <w:top w:val="nil"/>
              <w:left w:val="nil"/>
              <w:bottom w:val="nil"/>
              <w:right w:val="nil"/>
            </w:tcBorders>
            <w:shd w:val="clear" w:color="auto" w:fill="auto"/>
            <w:noWrap/>
            <w:vAlign w:val="center"/>
            <w:hideMark/>
          </w:tcPr>
          <w:p w14:paraId="3768060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52.2% - 59.3%</w:t>
            </w:r>
          </w:p>
        </w:tc>
        <w:tc>
          <w:tcPr>
            <w:tcW w:w="550" w:type="pct"/>
            <w:tcBorders>
              <w:top w:val="nil"/>
              <w:left w:val="nil"/>
              <w:bottom w:val="nil"/>
              <w:right w:val="nil"/>
            </w:tcBorders>
            <w:shd w:val="clear" w:color="auto" w:fill="auto"/>
            <w:noWrap/>
            <w:vAlign w:val="center"/>
            <w:hideMark/>
          </w:tcPr>
          <w:p w14:paraId="2CBB509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14.6%</w:t>
            </w:r>
          </w:p>
        </w:tc>
        <w:tc>
          <w:tcPr>
            <w:tcW w:w="550" w:type="pct"/>
            <w:tcBorders>
              <w:top w:val="nil"/>
              <w:left w:val="nil"/>
              <w:bottom w:val="nil"/>
              <w:right w:val="nil"/>
            </w:tcBorders>
            <w:shd w:val="clear" w:color="auto" w:fill="auto"/>
            <w:noWrap/>
            <w:vAlign w:val="center"/>
            <w:hideMark/>
          </w:tcPr>
          <w:p w14:paraId="290FB73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10.3% - 22.4%</w:t>
            </w:r>
          </w:p>
        </w:tc>
        <w:tc>
          <w:tcPr>
            <w:tcW w:w="550" w:type="pct"/>
            <w:tcBorders>
              <w:top w:val="nil"/>
              <w:left w:val="nil"/>
              <w:bottom w:val="nil"/>
              <w:right w:val="nil"/>
            </w:tcBorders>
            <w:shd w:val="clear" w:color="auto" w:fill="auto"/>
            <w:noWrap/>
            <w:vAlign w:val="center"/>
            <w:hideMark/>
          </w:tcPr>
          <w:p w14:paraId="5AF4138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10.9%</w:t>
            </w:r>
          </w:p>
        </w:tc>
        <w:tc>
          <w:tcPr>
            <w:tcW w:w="550" w:type="pct"/>
            <w:tcBorders>
              <w:top w:val="nil"/>
              <w:left w:val="nil"/>
              <w:bottom w:val="nil"/>
              <w:right w:val="nil"/>
            </w:tcBorders>
            <w:shd w:val="clear" w:color="auto" w:fill="auto"/>
            <w:noWrap/>
            <w:vAlign w:val="center"/>
            <w:hideMark/>
          </w:tcPr>
          <w:p w14:paraId="609D8FAF"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7.4% - 20.2%</w:t>
            </w:r>
          </w:p>
        </w:tc>
      </w:tr>
      <w:tr w:rsidR="00282B94" w:rsidRPr="005E2F89" w14:paraId="2DA03E7F" w14:textId="77777777" w:rsidTr="00282B94">
        <w:trPr>
          <w:trHeight w:val="397"/>
        </w:trPr>
        <w:tc>
          <w:tcPr>
            <w:tcW w:w="588" w:type="pct"/>
            <w:vMerge/>
            <w:tcBorders>
              <w:top w:val="nil"/>
              <w:left w:val="nil"/>
              <w:bottom w:val="single" w:sz="4" w:space="0" w:color="000000"/>
              <w:right w:val="nil"/>
            </w:tcBorders>
            <w:vAlign w:val="center"/>
            <w:hideMark/>
          </w:tcPr>
          <w:p w14:paraId="2745E134"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3EDD5238"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4BA80F60"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0962B856"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53.9%</w:t>
            </w:r>
          </w:p>
        </w:tc>
        <w:tc>
          <w:tcPr>
            <w:tcW w:w="550" w:type="pct"/>
            <w:tcBorders>
              <w:top w:val="nil"/>
              <w:left w:val="nil"/>
              <w:bottom w:val="nil"/>
              <w:right w:val="nil"/>
            </w:tcBorders>
            <w:shd w:val="clear" w:color="auto" w:fill="auto"/>
            <w:noWrap/>
            <w:vAlign w:val="center"/>
            <w:hideMark/>
          </w:tcPr>
          <w:p w14:paraId="2B46624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51.1% - 57.2%</w:t>
            </w:r>
          </w:p>
        </w:tc>
        <w:tc>
          <w:tcPr>
            <w:tcW w:w="550" w:type="pct"/>
            <w:tcBorders>
              <w:top w:val="nil"/>
              <w:left w:val="nil"/>
              <w:bottom w:val="nil"/>
              <w:right w:val="nil"/>
            </w:tcBorders>
            <w:shd w:val="clear" w:color="auto" w:fill="auto"/>
            <w:noWrap/>
            <w:vAlign w:val="center"/>
            <w:hideMark/>
          </w:tcPr>
          <w:p w14:paraId="46352FF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13.9%</w:t>
            </w:r>
          </w:p>
        </w:tc>
        <w:tc>
          <w:tcPr>
            <w:tcW w:w="550" w:type="pct"/>
            <w:tcBorders>
              <w:top w:val="nil"/>
              <w:left w:val="nil"/>
              <w:bottom w:val="nil"/>
              <w:right w:val="nil"/>
            </w:tcBorders>
            <w:shd w:val="clear" w:color="auto" w:fill="auto"/>
            <w:noWrap/>
            <w:vAlign w:val="center"/>
            <w:hideMark/>
          </w:tcPr>
          <w:p w14:paraId="017EA97F"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11% - 20.5%</w:t>
            </w:r>
          </w:p>
        </w:tc>
        <w:tc>
          <w:tcPr>
            <w:tcW w:w="550" w:type="pct"/>
            <w:tcBorders>
              <w:top w:val="nil"/>
              <w:left w:val="nil"/>
              <w:bottom w:val="nil"/>
              <w:right w:val="nil"/>
            </w:tcBorders>
            <w:shd w:val="clear" w:color="auto" w:fill="auto"/>
            <w:noWrap/>
            <w:vAlign w:val="center"/>
            <w:hideMark/>
          </w:tcPr>
          <w:p w14:paraId="7339238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11.2%</w:t>
            </w:r>
          </w:p>
        </w:tc>
        <w:tc>
          <w:tcPr>
            <w:tcW w:w="550" w:type="pct"/>
            <w:tcBorders>
              <w:top w:val="nil"/>
              <w:left w:val="nil"/>
              <w:bottom w:val="nil"/>
              <w:right w:val="nil"/>
            </w:tcBorders>
            <w:shd w:val="clear" w:color="auto" w:fill="auto"/>
            <w:noWrap/>
            <w:vAlign w:val="center"/>
            <w:hideMark/>
          </w:tcPr>
          <w:p w14:paraId="721513A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8.4% - 19%</w:t>
            </w:r>
          </w:p>
        </w:tc>
      </w:tr>
      <w:tr w:rsidR="00282B94" w:rsidRPr="005E2F89" w14:paraId="045198CF" w14:textId="77777777" w:rsidTr="00282B94">
        <w:trPr>
          <w:trHeight w:val="397"/>
        </w:trPr>
        <w:tc>
          <w:tcPr>
            <w:tcW w:w="588" w:type="pct"/>
            <w:vMerge/>
            <w:tcBorders>
              <w:top w:val="nil"/>
              <w:left w:val="nil"/>
              <w:bottom w:val="single" w:sz="4" w:space="0" w:color="000000"/>
              <w:right w:val="nil"/>
            </w:tcBorders>
            <w:vAlign w:val="center"/>
            <w:hideMark/>
          </w:tcPr>
          <w:p w14:paraId="778A4A9A"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0F5CE631"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79F79D2B"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2B5583B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32.4%</w:t>
            </w:r>
          </w:p>
        </w:tc>
        <w:tc>
          <w:tcPr>
            <w:tcW w:w="550" w:type="pct"/>
            <w:tcBorders>
              <w:top w:val="nil"/>
              <w:left w:val="nil"/>
              <w:bottom w:val="nil"/>
              <w:right w:val="nil"/>
            </w:tcBorders>
            <w:shd w:val="clear" w:color="auto" w:fill="auto"/>
            <w:noWrap/>
            <w:vAlign w:val="center"/>
            <w:hideMark/>
          </w:tcPr>
          <w:p w14:paraId="0AABD316"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21.8% - 37.1%</w:t>
            </w:r>
          </w:p>
        </w:tc>
        <w:tc>
          <w:tcPr>
            <w:tcW w:w="550" w:type="pct"/>
            <w:tcBorders>
              <w:top w:val="nil"/>
              <w:left w:val="nil"/>
              <w:bottom w:val="nil"/>
              <w:right w:val="nil"/>
            </w:tcBorders>
            <w:shd w:val="clear" w:color="auto" w:fill="auto"/>
            <w:noWrap/>
            <w:vAlign w:val="center"/>
            <w:hideMark/>
          </w:tcPr>
          <w:p w14:paraId="7CCDBC45"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2.5%</w:t>
            </w:r>
          </w:p>
        </w:tc>
        <w:tc>
          <w:tcPr>
            <w:tcW w:w="550" w:type="pct"/>
            <w:tcBorders>
              <w:top w:val="nil"/>
              <w:left w:val="nil"/>
              <w:bottom w:val="nil"/>
              <w:right w:val="nil"/>
            </w:tcBorders>
            <w:shd w:val="clear" w:color="auto" w:fill="auto"/>
            <w:noWrap/>
            <w:vAlign w:val="center"/>
            <w:hideMark/>
          </w:tcPr>
          <w:p w14:paraId="7BBC95A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1.2% - 4.2%</w:t>
            </w:r>
          </w:p>
        </w:tc>
        <w:tc>
          <w:tcPr>
            <w:tcW w:w="550" w:type="pct"/>
            <w:tcBorders>
              <w:top w:val="nil"/>
              <w:left w:val="nil"/>
              <w:bottom w:val="nil"/>
              <w:right w:val="nil"/>
            </w:tcBorders>
            <w:shd w:val="clear" w:color="auto" w:fill="auto"/>
            <w:noWrap/>
            <w:vAlign w:val="center"/>
            <w:hideMark/>
          </w:tcPr>
          <w:p w14:paraId="0CC5375B"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5.5%</w:t>
            </w:r>
          </w:p>
        </w:tc>
        <w:tc>
          <w:tcPr>
            <w:tcW w:w="550" w:type="pct"/>
            <w:tcBorders>
              <w:top w:val="nil"/>
              <w:left w:val="nil"/>
              <w:bottom w:val="nil"/>
              <w:right w:val="nil"/>
            </w:tcBorders>
            <w:shd w:val="clear" w:color="auto" w:fill="auto"/>
            <w:noWrap/>
            <w:vAlign w:val="center"/>
            <w:hideMark/>
          </w:tcPr>
          <w:p w14:paraId="04E946E6"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 - 7.4%</w:t>
            </w:r>
          </w:p>
        </w:tc>
      </w:tr>
      <w:tr w:rsidR="00282B94" w:rsidRPr="005E2F89" w14:paraId="0B722895" w14:textId="77777777" w:rsidTr="00282B94">
        <w:trPr>
          <w:trHeight w:val="397"/>
        </w:trPr>
        <w:tc>
          <w:tcPr>
            <w:tcW w:w="588" w:type="pct"/>
            <w:vMerge/>
            <w:tcBorders>
              <w:top w:val="nil"/>
              <w:left w:val="nil"/>
              <w:bottom w:val="single" w:sz="4" w:space="0" w:color="000000"/>
              <w:right w:val="nil"/>
            </w:tcBorders>
            <w:vAlign w:val="center"/>
            <w:hideMark/>
          </w:tcPr>
          <w:p w14:paraId="495FF9F7"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02055E7D"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23068826"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4CA1F020"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51.1%</w:t>
            </w:r>
          </w:p>
        </w:tc>
        <w:tc>
          <w:tcPr>
            <w:tcW w:w="550" w:type="pct"/>
            <w:tcBorders>
              <w:top w:val="nil"/>
              <w:left w:val="nil"/>
              <w:bottom w:val="single" w:sz="4" w:space="0" w:color="auto"/>
              <w:right w:val="nil"/>
            </w:tcBorders>
            <w:shd w:val="clear" w:color="auto" w:fill="auto"/>
            <w:noWrap/>
            <w:vAlign w:val="center"/>
            <w:hideMark/>
          </w:tcPr>
          <w:p w14:paraId="7B85CFB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33.3% - 58.8%</w:t>
            </w:r>
          </w:p>
        </w:tc>
        <w:tc>
          <w:tcPr>
            <w:tcW w:w="550" w:type="pct"/>
            <w:tcBorders>
              <w:top w:val="nil"/>
              <w:left w:val="nil"/>
              <w:bottom w:val="single" w:sz="4" w:space="0" w:color="auto"/>
              <w:right w:val="nil"/>
            </w:tcBorders>
            <w:shd w:val="clear" w:color="auto" w:fill="auto"/>
            <w:noWrap/>
            <w:vAlign w:val="center"/>
            <w:hideMark/>
          </w:tcPr>
          <w:p w14:paraId="577DB1D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19.9%</w:t>
            </w:r>
          </w:p>
        </w:tc>
        <w:tc>
          <w:tcPr>
            <w:tcW w:w="550" w:type="pct"/>
            <w:tcBorders>
              <w:top w:val="nil"/>
              <w:left w:val="nil"/>
              <w:bottom w:val="single" w:sz="4" w:space="0" w:color="auto"/>
              <w:right w:val="nil"/>
            </w:tcBorders>
            <w:shd w:val="clear" w:color="auto" w:fill="auto"/>
            <w:noWrap/>
            <w:vAlign w:val="center"/>
            <w:hideMark/>
          </w:tcPr>
          <w:p w14:paraId="0C1D28C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 - 29.2%</w:t>
            </w:r>
          </w:p>
        </w:tc>
        <w:tc>
          <w:tcPr>
            <w:tcW w:w="550" w:type="pct"/>
            <w:tcBorders>
              <w:top w:val="nil"/>
              <w:left w:val="nil"/>
              <w:bottom w:val="single" w:sz="4" w:space="0" w:color="auto"/>
              <w:right w:val="nil"/>
            </w:tcBorders>
            <w:shd w:val="clear" w:color="auto" w:fill="auto"/>
            <w:noWrap/>
            <w:vAlign w:val="center"/>
            <w:hideMark/>
          </w:tcPr>
          <w:p w14:paraId="55B31F2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13.2%</w:t>
            </w:r>
          </w:p>
        </w:tc>
        <w:tc>
          <w:tcPr>
            <w:tcW w:w="550" w:type="pct"/>
            <w:tcBorders>
              <w:top w:val="nil"/>
              <w:left w:val="nil"/>
              <w:bottom w:val="single" w:sz="4" w:space="0" w:color="auto"/>
              <w:right w:val="nil"/>
            </w:tcBorders>
            <w:shd w:val="clear" w:color="auto" w:fill="auto"/>
            <w:noWrap/>
            <w:vAlign w:val="center"/>
            <w:hideMark/>
          </w:tcPr>
          <w:p w14:paraId="53C0185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0.1% - 27.1%</w:t>
            </w:r>
          </w:p>
        </w:tc>
      </w:tr>
      <w:tr w:rsidR="00282B94" w:rsidRPr="005E2F89" w14:paraId="51ACAE12" w14:textId="77777777" w:rsidTr="00282B94">
        <w:trPr>
          <w:trHeight w:val="397"/>
        </w:trPr>
        <w:tc>
          <w:tcPr>
            <w:tcW w:w="588" w:type="pct"/>
            <w:vMerge/>
            <w:tcBorders>
              <w:top w:val="nil"/>
              <w:left w:val="nil"/>
              <w:bottom w:val="single" w:sz="4" w:space="0" w:color="000000"/>
              <w:right w:val="nil"/>
            </w:tcBorders>
            <w:vAlign w:val="center"/>
            <w:hideMark/>
          </w:tcPr>
          <w:p w14:paraId="358B9C58" w14:textId="77777777" w:rsidR="005E2F89" w:rsidRPr="005E2F89" w:rsidRDefault="005E2F89" w:rsidP="005E2F89">
            <w:pPr>
              <w:rPr>
                <w:rFonts w:ascii="Arial" w:eastAsia="Times New Roman" w:hAnsi="Arial" w:cs="Arial"/>
                <w:color w:val="000000"/>
                <w:sz w:val="14"/>
                <w:szCs w:val="14"/>
              </w:rPr>
            </w:pPr>
          </w:p>
        </w:tc>
        <w:tc>
          <w:tcPr>
            <w:tcW w:w="625" w:type="pct"/>
            <w:vMerge w:val="restart"/>
            <w:tcBorders>
              <w:top w:val="nil"/>
              <w:left w:val="nil"/>
              <w:bottom w:val="single" w:sz="4" w:space="0" w:color="000000"/>
              <w:right w:val="nil"/>
            </w:tcBorders>
            <w:shd w:val="clear" w:color="auto" w:fill="auto"/>
            <w:noWrap/>
            <w:vAlign w:val="center"/>
            <w:hideMark/>
          </w:tcPr>
          <w:p w14:paraId="47F9A8FF"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&gt;64y</w:t>
            </w:r>
          </w:p>
        </w:tc>
        <w:tc>
          <w:tcPr>
            <w:tcW w:w="488" w:type="pct"/>
            <w:tcBorders>
              <w:top w:val="nil"/>
              <w:left w:val="nil"/>
              <w:bottom w:val="nil"/>
              <w:right w:val="nil"/>
            </w:tcBorders>
            <w:shd w:val="clear" w:color="auto" w:fill="auto"/>
            <w:noWrap/>
            <w:vAlign w:val="center"/>
            <w:hideMark/>
          </w:tcPr>
          <w:p w14:paraId="4FD50DFC"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3B86641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6.6%</w:t>
            </w:r>
          </w:p>
        </w:tc>
        <w:tc>
          <w:tcPr>
            <w:tcW w:w="550" w:type="pct"/>
            <w:tcBorders>
              <w:top w:val="nil"/>
              <w:left w:val="nil"/>
              <w:bottom w:val="nil"/>
              <w:right w:val="nil"/>
            </w:tcBorders>
            <w:shd w:val="clear" w:color="auto" w:fill="auto"/>
            <w:noWrap/>
            <w:vAlign w:val="center"/>
            <w:hideMark/>
          </w:tcPr>
          <w:p w14:paraId="2DBAEDF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5.3% - 8.2%</w:t>
            </w:r>
          </w:p>
        </w:tc>
        <w:tc>
          <w:tcPr>
            <w:tcW w:w="550" w:type="pct"/>
            <w:tcBorders>
              <w:top w:val="nil"/>
              <w:left w:val="nil"/>
              <w:bottom w:val="nil"/>
              <w:right w:val="nil"/>
            </w:tcBorders>
            <w:shd w:val="clear" w:color="auto" w:fill="auto"/>
            <w:noWrap/>
            <w:vAlign w:val="center"/>
            <w:hideMark/>
          </w:tcPr>
          <w:p w14:paraId="7748299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1.8%</w:t>
            </w:r>
          </w:p>
        </w:tc>
        <w:tc>
          <w:tcPr>
            <w:tcW w:w="550" w:type="pct"/>
            <w:tcBorders>
              <w:top w:val="nil"/>
              <w:left w:val="nil"/>
              <w:bottom w:val="nil"/>
              <w:right w:val="nil"/>
            </w:tcBorders>
            <w:shd w:val="clear" w:color="auto" w:fill="auto"/>
            <w:noWrap/>
            <w:vAlign w:val="center"/>
            <w:hideMark/>
          </w:tcPr>
          <w:p w14:paraId="267098A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1.2% - 2.7%</w:t>
            </w:r>
          </w:p>
        </w:tc>
        <w:tc>
          <w:tcPr>
            <w:tcW w:w="550" w:type="pct"/>
            <w:tcBorders>
              <w:top w:val="nil"/>
              <w:left w:val="nil"/>
              <w:bottom w:val="nil"/>
              <w:right w:val="nil"/>
            </w:tcBorders>
            <w:shd w:val="clear" w:color="auto" w:fill="auto"/>
            <w:noWrap/>
            <w:vAlign w:val="center"/>
            <w:hideMark/>
          </w:tcPr>
          <w:p w14:paraId="489C9F1F"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25.2%</w:t>
            </w:r>
          </w:p>
        </w:tc>
        <w:tc>
          <w:tcPr>
            <w:tcW w:w="550" w:type="pct"/>
            <w:tcBorders>
              <w:top w:val="nil"/>
              <w:left w:val="nil"/>
              <w:bottom w:val="nil"/>
              <w:right w:val="nil"/>
            </w:tcBorders>
            <w:shd w:val="clear" w:color="auto" w:fill="auto"/>
            <w:noWrap/>
            <w:vAlign w:val="center"/>
            <w:hideMark/>
          </w:tcPr>
          <w:p w14:paraId="3B91566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17.1% - 41.5%</w:t>
            </w:r>
          </w:p>
        </w:tc>
      </w:tr>
      <w:tr w:rsidR="00282B94" w:rsidRPr="005E2F89" w14:paraId="3846C6FF" w14:textId="77777777" w:rsidTr="00282B94">
        <w:trPr>
          <w:trHeight w:val="397"/>
        </w:trPr>
        <w:tc>
          <w:tcPr>
            <w:tcW w:w="588" w:type="pct"/>
            <w:vMerge/>
            <w:tcBorders>
              <w:top w:val="nil"/>
              <w:left w:val="nil"/>
              <w:bottom w:val="single" w:sz="4" w:space="0" w:color="000000"/>
              <w:right w:val="nil"/>
            </w:tcBorders>
            <w:vAlign w:val="center"/>
            <w:hideMark/>
          </w:tcPr>
          <w:p w14:paraId="689EBDA8"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2CDEBD0F"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7807B8EB"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5B4E12B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5.9%</w:t>
            </w:r>
          </w:p>
        </w:tc>
        <w:tc>
          <w:tcPr>
            <w:tcW w:w="550" w:type="pct"/>
            <w:tcBorders>
              <w:top w:val="nil"/>
              <w:left w:val="nil"/>
              <w:bottom w:val="nil"/>
              <w:right w:val="nil"/>
            </w:tcBorders>
            <w:shd w:val="clear" w:color="auto" w:fill="auto"/>
            <w:noWrap/>
            <w:vAlign w:val="center"/>
            <w:hideMark/>
          </w:tcPr>
          <w:p w14:paraId="5D3106B7"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4.7% - 6.7%</w:t>
            </w:r>
          </w:p>
        </w:tc>
        <w:tc>
          <w:tcPr>
            <w:tcW w:w="550" w:type="pct"/>
            <w:tcBorders>
              <w:top w:val="nil"/>
              <w:left w:val="nil"/>
              <w:bottom w:val="nil"/>
              <w:right w:val="nil"/>
            </w:tcBorders>
            <w:shd w:val="clear" w:color="auto" w:fill="auto"/>
            <w:noWrap/>
            <w:vAlign w:val="center"/>
            <w:hideMark/>
          </w:tcPr>
          <w:p w14:paraId="3CDB8D9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1.5%</w:t>
            </w:r>
          </w:p>
        </w:tc>
        <w:tc>
          <w:tcPr>
            <w:tcW w:w="550" w:type="pct"/>
            <w:tcBorders>
              <w:top w:val="nil"/>
              <w:left w:val="nil"/>
              <w:bottom w:val="nil"/>
              <w:right w:val="nil"/>
            </w:tcBorders>
            <w:shd w:val="clear" w:color="auto" w:fill="auto"/>
            <w:noWrap/>
            <w:vAlign w:val="center"/>
            <w:hideMark/>
          </w:tcPr>
          <w:p w14:paraId="4DD2F3E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1.1% - 2.4%</w:t>
            </w:r>
          </w:p>
        </w:tc>
        <w:tc>
          <w:tcPr>
            <w:tcW w:w="550" w:type="pct"/>
            <w:tcBorders>
              <w:top w:val="nil"/>
              <w:left w:val="nil"/>
              <w:bottom w:val="nil"/>
              <w:right w:val="nil"/>
            </w:tcBorders>
            <w:shd w:val="clear" w:color="auto" w:fill="auto"/>
            <w:noWrap/>
            <w:vAlign w:val="center"/>
            <w:hideMark/>
          </w:tcPr>
          <w:p w14:paraId="30E2D06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25.2%</w:t>
            </w:r>
          </w:p>
        </w:tc>
        <w:tc>
          <w:tcPr>
            <w:tcW w:w="550" w:type="pct"/>
            <w:tcBorders>
              <w:top w:val="nil"/>
              <w:left w:val="nil"/>
              <w:bottom w:val="nil"/>
              <w:right w:val="nil"/>
            </w:tcBorders>
            <w:shd w:val="clear" w:color="auto" w:fill="auto"/>
            <w:noWrap/>
            <w:vAlign w:val="center"/>
            <w:hideMark/>
          </w:tcPr>
          <w:p w14:paraId="0862258A"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19.8% - 39.5%</w:t>
            </w:r>
          </w:p>
        </w:tc>
      </w:tr>
      <w:tr w:rsidR="00282B94" w:rsidRPr="005E2F89" w14:paraId="6E6946C2" w14:textId="77777777" w:rsidTr="00282B94">
        <w:trPr>
          <w:trHeight w:val="397"/>
        </w:trPr>
        <w:tc>
          <w:tcPr>
            <w:tcW w:w="588" w:type="pct"/>
            <w:vMerge/>
            <w:tcBorders>
              <w:top w:val="nil"/>
              <w:left w:val="nil"/>
              <w:bottom w:val="single" w:sz="4" w:space="0" w:color="000000"/>
              <w:right w:val="nil"/>
            </w:tcBorders>
            <w:vAlign w:val="center"/>
            <w:hideMark/>
          </w:tcPr>
          <w:p w14:paraId="0E4CF065"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38AEF84E"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2B78A938"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4F009DDD"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0.5%</w:t>
            </w:r>
          </w:p>
        </w:tc>
        <w:tc>
          <w:tcPr>
            <w:tcW w:w="550" w:type="pct"/>
            <w:tcBorders>
              <w:top w:val="nil"/>
              <w:left w:val="nil"/>
              <w:bottom w:val="nil"/>
              <w:right w:val="nil"/>
            </w:tcBorders>
            <w:shd w:val="clear" w:color="auto" w:fill="auto"/>
            <w:noWrap/>
            <w:vAlign w:val="center"/>
            <w:hideMark/>
          </w:tcPr>
          <w:p w14:paraId="65B4FCED"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0.3% - 1.5%</w:t>
            </w:r>
          </w:p>
        </w:tc>
        <w:tc>
          <w:tcPr>
            <w:tcW w:w="550" w:type="pct"/>
            <w:tcBorders>
              <w:top w:val="nil"/>
              <w:left w:val="nil"/>
              <w:bottom w:val="nil"/>
              <w:right w:val="nil"/>
            </w:tcBorders>
            <w:shd w:val="clear" w:color="auto" w:fill="auto"/>
            <w:noWrap/>
            <w:vAlign w:val="center"/>
            <w:hideMark/>
          </w:tcPr>
          <w:p w14:paraId="6B58018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0.0%</w:t>
            </w:r>
          </w:p>
        </w:tc>
        <w:tc>
          <w:tcPr>
            <w:tcW w:w="550" w:type="pct"/>
            <w:tcBorders>
              <w:top w:val="nil"/>
              <w:left w:val="nil"/>
              <w:bottom w:val="nil"/>
              <w:right w:val="nil"/>
            </w:tcBorders>
            <w:shd w:val="clear" w:color="auto" w:fill="auto"/>
            <w:noWrap/>
            <w:vAlign w:val="center"/>
            <w:hideMark/>
          </w:tcPr>
          <w:p w14:paraId="2A3FE520"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 - 0.2%</w:t>
            </w:r>
          </w:p>
        </w:tc>
        <w:tc>
          <w:tcPr>
            <w:tcW w:w="550" w:type="pct"/>
            <w:tcBorders>
              <w:top w:val="nil"/>
              <w:left w:val="nil"/>
              <w:bottom w:val="nil"/>
              <w:right w:val="nil"/>
            </w:tcBorders>
            <w:shd w:val="clear" w:color="auto" w:fill="auto"/>
            <w:noWrap/>
            <w:vAlign w:val="center"/>
            <w:hideMark/>
          </w:tcPr>
          <w:p w14:paraId="7045B5F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8.5%</w:t>
            </w:r>
          </w:p>
        </w:tc>
        <w:tc>
          <w:tcPr>
            <w:tcW w:w="550" w:type="pct"/>
            <w:tcBorders>
              <w:top w:val="nil"/>
              <w:left w:val="nil"/>
              <w:bottom w:val="nil"/>
              <w:right w:val="nil"/>
            </w:tcBorders>
            <w:shd w:val="clear" w:color="auto" w:fill="auto"/>
            <w:noWrap/>
            <w:vAlign w:val="center"/>
            <w:hideMark/>
          </w:tcPr>
          <w:p w14:paraId="3D61DD0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5.5% - 11.9%</w:t>
            </w:r>
          </w:p>
        </w:tc>
      </w:tr>
      <w:tr w:rsidR="00282B94" w:rsidRPr="005E2F89" w14:paraId="2540058C" w14:textId="77777777" w:rsidTr="00282B94">
        <w:trPr>
          <w:trHeight w:val="397"/>
        </w:trPr>
        <w:tc>
          <w:tcPr>
            <w:tcW w:w="588" w:type="pct"/>
            <w:vMerge/>
            <w:tcBorders>
              <w:top w:val="nil"/>
              <w:left w:val="nil"/>
              <w:bottom w:val="single" w:sz="4" w:space="0" w:color="000000"/>
              <w:right w:val="nil"/>
            </w:tcBorders>
            <w:vAlign w:val="center"/>
            <w:hideMark/>
          </w:tcPr>
          <w:p w14:paraId="57CC6BEC"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585528DB"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560D3785"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5417BA9D"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12.3%</w:t>
            </w:r>
          </w:p>
        </w:tc>
        <w:tc>
          <w:tcPr>
            <w:tcW w:w="550" w:type="pct"/>
            <w:tcBorders>
              <w:top w:val="nil"/>
              <w:left w:val="nil"/>
              <w:bottom w:val="single" w:sz="4" w:space="0" w:color="auto"/>
              <w:right w:val="nil"/>
            </w:tcBorders>
            <w:shd w:val="clear" w:color="auto" w:fill="auto"/>
            <w:noWrap/>
            <w:vAlign w:val="center"/>
            <w:hideMark/>
          </w:tcPr>
          <w:p w14:paraId="2D5EF5F3"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8.3% - 17.4%</w:t>
            </w:r>
          </w:p>
        </w:tc>
        <w:tc>
          <w:tcPr>
            <w:tcW w:w="550" w:type="pct"/>
            <w:tcBorders>
              <w:top w:val="nil"/>
              <w:left w:val="nil"/>
              <w:bottom w:val="single" w:sz="4" w:space="0" w:color="auto"/>
              <w:right w:val="nil"/>
            </w:tcBorders>
            <w:shd w:val="clear" w:color="auto" w:fill="auto"/>
            <w:noWrap/>
            <w:vAlign w:val="center"/>
            <w:hideMark/>
          </w:tcPr>
          <w:p w14:paraId="2F0E27BF"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3.7%</w:t>
            </w:r>
          </w:p>
        </w:tc>
        <w:tc>
          <w:tcPr>
            <w:tcW w:w="550" w:type="pct"/>
            <w:tcBorders>
              <w:top w:val="nil"/>
              <w:left w:val="nil"/>
              <w:bottom w:val="single" w:sz="4" w:space="0" w:color="auto"/>
              <w:right w:val="nil"/>
            </w:tcBorders>
            <w:shd w:val="clear" w:color="auto" w:fill="auto"/>
            <w:noWrap/>
            <w:vAlign w:val="center"/>
            <w:hideMark/>
          </w:tcPr>
          <w:p w14:paraId="4D17944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 - 5.7%</w:t>
            </w:r>
          </w:p>
        </w:tc>
        <w:tc>
          <w:tcPr>
            <w:tcW w:w="550" w:type="pct"/>
            <w:tcBorders>
              <w:top w:val="nil"/>
              <w:left w:val="nil"/>
              <w:bottom w:val="single" w:sz="4" w:space="0" w:color="auto"/>
              <w:right w:val="nil"/>
            </w:tcBorders>
            <w:shd w:val="clear" w:color="auto" w:fill="auto"/>
            <w:noWrap/>
            <w:vAlign w:val="center"/>
            <w:hideMark/>
          </w:tcPr>
          <w:p w14:paraId="1C9FD24B"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29.3%</w:t>
            </w:r>
          </w:p>
        </w:tc>
        <w:tc>
          <w:tcPr>
            <w:tcW w:w="550" w:type="pct"/>
            <w:tcBorders>
              <w:top w:val="nil"/>
              <w:left w:val="nil"/>
              <w:bottom w:val="single" w:sz="4" w:space="0" w:color="auto"/>
              <w:right w:val="nil"/>
            </w:tcBorders>
            <w:shd w:val="clear" w:color="auto" w:fill="auto"/>
            <w:noWrap/>
            <w:vAlign w:val="center"/>
            <w:hideMark/>
          </w:tcPr>
          <w:p w14:paraId="3A5335B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0.1% - 49.5%</w:t>
            </w:r>
          </w:p>
        </w:tc>
      </w:tr>
    </w:tbl>
    <w:p w14:paraId="06253B2C" w14:textId="77777777" w:rsidR="005E2F89" w:rsidRDefault="005E2F89"/>
    <w:p w14:paraId="3E0D846B" w14:textId="4DAAD41D" w:rsidR="005B5593" w:rsidRPr="00F04787" w:rsidRDefault="004A43D9">
      <w:r w:rsidRPr="00F04787">
        <w:br w:type="page"/>
      </w:r>
    </w:p>
    <w:p w14:paraId="7F05D335" w14:textId="6C24AAA5" w:rsidR="00B06761" w:rsidRPr="00F04787" w:rsidRDefault="00B06761" w:rsidP="006B213D">
      <w:pPr>
        <w:pStyle w:val="Heading1"/>
        <w:spacing w:line="240" w:lineRule="auto"/>
        <w:rPr>
          <w:rFonts w:eastAsiaTheme="minorEastAsia"/>
        </w:rPr>
      </w:pPr>
      <w:bookmarkStart w:id="8" w:name="_Toc192246980"/>
      <w:r w:rsidRPr="00F04787">
        <w:lastRenderedPageBreak/>
        <w:t>References</w:t>
      </w:r>
      <w:bookmarkEnd w:id="8"/>
    </w:p>
    <w:p w14:paraId="26392A9E" w14:textId="77777777" w:rsidR="000B5579" w:rsidRPr="000B5579" w:rsidRDefault="0051044D" w:rsidP="006B213D">
      <w:pPr>
        <w:pStyle w:val="Bibliography"/>
        <w:spacing w:line="240" w:lineRule="auto"/>
        <w:rPr>
          <w:sz w:val="20"/>
          <w:lang w:val="en-US"/>
        </w:rPr>
      </w:pPr>
      <w:r w:rsidRPr="00F04787">
        <w:rPr>
          <w:lang w:val="en-US"/>
        </w:rPr>
        <w:t xml:space="preserve"> </w:t>
      </w:r>
      <w:r w:rsidR="00F04E1F" w:rsidRPr="00F04787">
        <w:rPr>
          <w:lang w:val="en-US"/>
        </w:rPr>
        <w:fldChar w:fldCharType="begin"/>
      </w:r>
      <w:r w:rsidR="000B5579">
        <w:rPr>
          <w:lang w:val="en-US"/>
        </w:rPr>
        <w:instrText xml:space="preserve"> ADDIN ZOTERO_BIBL {"uncited":[],"omitted":[],"custom":[]} CSL_BIBLIOGRAPHY </w:instrText>
      </w:r>
      <w:r w:rsidR="00F04E1F" w:rsidRPr="00F04787">
        <w:rPr>
          <w:lang w:val="en-US"/>
        </w:rPr>
        <w:fldChar w:fldCharType="separate"/>
      </w:r>
      <w:r w:rsidR="000B5579" w:rsidRPr="000B5579">
        <w:rPr>
          <w:sz w:val="20"/>
          <w:lang w:val="en-US"/>
        </w:rPr>
        <w:t>1.</w:t>
      </w:r>
      <w:r w:rsidR="000B5579" w:rsidRPr="000B5579">
        <w:rPr>
          <w:sz w:val="20"/>
          <w:lang w:val="en-US"/>
        </w:rPr>
        <w:tab/>
        <w:t xml:space="preserve">Uehara, T. </w:t>
      </w:r>
      <w:r w:rsidR="000B5579" w:rsidRPr="000B5579">
        <w:rPr>
          <w:i/>
          <w:iCs/>
          <w:sz w:val="20"/>
          <w:lang w:val="en-US"/>
        </w:rPr>
        <w:t>et al.</w:t>
      </w:r>
      <w:r w:rsidR="000B5579" w:rsidRPr="000B5579">
        <w:rPr>
          <w:sz w:val="20"/>
          <w:lang w:val="en-US"/>
        </w:rPr>
        <w:t xml:space="preserve"> Treatment-Emergent Influenza Variant Viruses With Reduced Baloxavir Susceptibility: Impact on Clinical and Virologic Outcomes in Uncomplicated Influenza. </w:t>
      </w:r>
      <w:r w:rsidR="000B5579" w:rsidRPr="000B5579">
        <w:rPr>
          <w:i/>
          <w:iCs/>
          <w:sz w:val="20"/>
          <w:lang w:val="en-US"/>
        </w:rPr>
        <w:t>J. Infect. Dis.</w:t>
      </w:r>
      <w:r w:rsidR="000B5579" w:rsidRPr="000B5579">
        <w:rPr>
          <w:sz w:val="20"/>
          <w:lang w:val="en-US"/>
        </w:rPr>
        <w:t xml:space="preserve"> </w:t>
      </w:r>
      <w:r w:rsidR="000B5579" w:rsidRPr="000B5579">
        <w:rPr>
          <w:b/>
          <w:bCs/>
          <w:sz w:val="20"/>
          <w:lang w:val="en-US"/>
        </w:rPr>
        <w:t>221</w:t>
      </w:r>
      <w:r w:rsidR="000B5579" w:rsidRPr="000B5579">
        <w:rPr>
          <w:sz w:val="20"/>
          <w:lang w:val="en-US"/>
        </w:rPr>
        <w:t>, 346–355 (2020).</w:t>
      </w:r>
    </w:p>
    <w:p w14:paraId="7A24A857" w14:textId="77777777" w:rsidR="000B5579" w:rsidRPr="000B5579" w:rsidRDefault="000B5579" w:rsidP="006B213D">
      <w:pPr>
        <w:pStyle w:val="Bibliography"/>
        <w:spacing w:line="240" w:lineRule="auto"/>
        <w:rPr>
          <w:sz w:val="20"/>
          <w:lang w:val="en-US"/>
        </w:rPr>
      </w:pPr>
      <w:r w:rsidRPr="000B5579">
        <w:rPr>
          <w:sz w:val="20"/>
          <w:lang w:val="en-US"/>
        </w:rPr>
        <w:t>2.</w:t>
      </w:r>
      <w:r w:rsidRPr="000B5579">
        <w:rPr>
          <w:sz w:val="20"/>
          <w:lang w:val="en-US"/>
        </w:rPr>
        <w:tab/>
        <w:t xml:space="preserve">Hayden Frederick G. </w:t>
      </w:r>
      <w:r w:rsidRPr="000B5579">
        <w:rPr>
          <w:i/>
          <w:iCs/>
          <w:sz w:val="20"/>
          <w:lang w:val="en-US"/>
        </w:rPr>
        <w:t>et al.</w:t>
      </w:r>
      <w:r w:rsidRPr="000B5579">
        <w:rPr>
          <w:sz w:val="20"/>
          <w:lang w:val="en-US"/>
        </w:rPr>
        <w:t xml:space="preserve"> Baloxavir Marboxil for Uncomplicated Influenza in Adults and Adolescents. </w:t>
      </w:r>
      <w:r w:rsidRPr="000B5579">
        <w:rPr>
          <w:i/>
          <w:iCs/>
          <w:sz w:val="20"/>
          <w:lang w:val="en-US"/>
        </w:rPr>
        <w:t>N. Engl. J. Med.</w:t>
      </w:r>
      <w:r w:rsidRPr="000B5579">
        <w:rPr>
          <w:sz w:val="20"/>
          <w:lang w:val="en-US"/>
        </w:rPr>
        <w:t xml:space="preserve"> </w:t>
      </w:r>
      <w:r w:rsidRPr="000B5579">
        <w:rPr>
          <w:b/>
          <w:bCs/>
          <w:sz w:val="20"/>
          <w:lang w:val="en-US"/>
        </w:rPr>
        <w:t>379</w:t>
      </w:r>
      <w:r w:rsidRPr="000B5579">
        <w:rPr>
          <w:sz w:val="20"/>
          <w:lang w:val="en-US"/>
        </w:rPr>
        <w:t>, 913–923 (2018).</w:t>
      </w:r>
    </w:p>
    <w:p w14:paraId="6B5B139B" w14:textId="77777777" w:rsidR="000B5579" w:rsidRPr="000B5579" w:rsidRDefault="000B5579" w:rsidP="006B213D">
      <w:pPr>
        <w:pStyle w:val="Bibliography"/>
        <w:spacing w:line="240" w:lineRule="auto"/>
        <w:rPr>
          <w:sz w:val="20"/>
          <w:lang w:val="en-US"/>
        </w:rPr>
      </w:pPr>
      <w:r w:rsidRPr="000B5579">
        <w:rPr>
          <w:sz w:val="20"/>
          <w:lang w:val="en-US"/>
        </w:rPr>
        <w:t>3.</w:t>
      </w:r>
      <w:r w:rsidRPr="000B5579">
        <w:rPr>
          <w:sz w:val="20"/>
          <w:lang w:val="en-US"/>
        </w:rPr>
        <w:tab/>
        <w:t xml:space="preserve">Lessler, J. </w:t>
      </w:r>
      <w:r w:rsidRPr="000B5579">
        <w:rPr>
          <w:i/>
          <w:iCs/>
          <w:sz w:val="20"/>
          <w:lang w:val="en-US"/>
        </w:rPr>
        <w:t>et al.</w:t>
      </w:r>
      <w:r w:rsidRPr="000B5579">
        <w:rPr>
          <w:sz w:val="20"/>
          <w:lang w:val="en-US"/>
        </w:rPr>
        <w:t xml:space="preserve"> Incubation periods of acute respiratory viral infections: a systematic review. </w:t>
      </w:r>
      <w:r w:rsidRPr="000B5579">
        <w:rPr>
          <w:i/>
          <w:iCs/>
          <w:sz w:val="20"/>
          <w:lang w:val="en-US"/>
        </w:rPr>
        <w:t>Lancet Infect. Dis.</w:t>
      </w:r>
      <w:r w:rsidRPr="000B5579">
        <w:rPr>
          <w:sz w:val="20"/>
          <w:lang w:val="en-US"/>
        </w:rPr>
        <w:t xml:space="preserve"> </w:t>
      </w:r>
      <w:r w:rsidRPr="000B5579">
        <w:rPr>
          <w:b/>
          <w:bCs/>
          <w:sz w:val="20"/>
          <w:lang w:val="en-US"/>
        </w:rPr>
        <w:t>9</w:t>
      </w:r>
      <w:r w:rsidRPr="000B5579">
        <w:rPr>
          <w:sz w:val="20"/>
          <w:lang w:val="en-US"/>
        </w:rPr>
        <w:t>, 291–300 (2009).</w:t>
      </w:r>
    </w:p>
    <w:p w14:paraId="200C00D8" w14:textId="77777777" w:rsidR="000B5579" w:rsidRPr="000B5579" w:rsidRDefault="000B5579" w:rsidP="006B213D">
      <w:pPr>
        <w:pStyle w:val="Bibliography"/>
        <w:spacing w:line="240" w:lineRule="auto"/>
        <w:rPr>
          <w:sz w:val="20"/>
          <w:lang w:val="en-US"/>
        </w:rPr>
      </w:pPr>
      <w:r w:rsidRPr="000B5579">
        <w:rPr>
          <w:sz w:val="20"/>
          <w:lang w:val="en-US"/>
        </w:rPr>
        <w:t>4.</w:t>
      </w:r>
      <w:r w:rsidRPr="000B5579">
        <w:rPr>
          <w:sz w:val="20"/>
          <w:lang w:val="en-US"/>
        </w:rPr>
        <w:tab/>
        <w:t xml:space="preserve">Handel, A., Longini, I. M., Jr. &amp; Antia, R. Neuraminidase Inhibitor Resistance in Influenza: Assessing the Danger of Its Generation and Spread. </w:t>
      </w:r>
      <w:r w:rsidRPr="000B5579">
        <w:rPr>
          <w:i/>
          <w:iCs/>
          <w:sz w:val="20"/>
          <w:lang w:val="en-US"/>
        </w:rPr>
        <w:t>PLOS Comput. Biol.</w:t>
      </w:r>
      <w:r w:rsidRPr="000B5579">
        <w:rPr>
          <w:sz w:val="20"/>
          <w:lang w:val="en-US"/>
        </w:rPr>
        <w:t xml:space="preserve"> </w:t>
      </w:r>
      <w:r w:rsidRPr="000B5579">
        <w:rPr>
          <w:b/>
          <w:bCs/>
          <w:sz w:val="20"/>
          <w:lang w:val="en-US"/>
        </w:rPr>
        <w:t>3</w:t>
      </w:r>
      <w:r w:rsidRPr="000B5579">
        <w:rPr>
          <w:sz w:val="20"/>
          <w:lang w:val="en-US"/>
        </w:rPr>
        <w:t>, e240 (2007).</w:t>
      </w:r>
    </w:p>
    <w:p w14:paraId="078928BA" w14:textId="77777777" w:rsidR="000B5579" w:rsidRPr="000B5579" w:rsidRDefault="000B5579" w:rsidP="006B213D">
      <w:pPr>
        <w:pStyle w:val="Bibliography"/>
        <w:spacing w:line="240" w:lineRule="auto"/>
        <w:rPr>
          <w:sz w:val="20"/>
          <w:lang w:val="en-US"/>
        </w:rPr>
      </w:pPr>
      <w:r w:rsidRPr="000B5579">
        <w:rPr>
          <w:sz w:val="20"/>
          <w:lang w:val="en-US"/>
        </w:rPr>
        <w:t>5.</w:t>
      </w:r>
      <w:r w:rsidRPr="000B5579">
        <w:rPr>
          <w:sz w:val="20"/>
          <w:lang w:val="en-US"/>
        </w:rPr>
        <w:tab/>
        <w:t xml:space="preserve">Handel, A. &amp; Rohani, P. Crossing the scale from within-host infection dynamics to between-host transmission fitness: a discussion of current assumptions and knowledge. </w:t>
      </w:r>
      <w:r w:rsidRPr="000B5579">
        <w:rPr>
          <w:i/>
          <w:iCs/>
          <w:sz w:val="20"/>
          <w:lang w:val="en-US"/>
        </w:rPr>
        <w:t>Philos. Trans. R. Soc. B Biol. Sci.</w:t>
      </w:r>
      <w:r w:rsidRPr="000B5579">
        <w:rPr>
          <w:sz w:val="20"/>
          <w:lang w:val="en-US"/>
        </w:rPr>
        <w:t xml:space="preserve"> </w:t>
      </w:r>
      <w:r w:rsidRPr="000B5579">
        <w:rPr>
          <w:b/>
          <w:bCs/>
          <w:sz w:val="20"/>
          <w:lang w:val="en-US"/>
        </w:rPr>
        <w:t>370</w:t>
      </w:r>
      <w:r w:rsidRPr="000B5579">
        <w:rPr>
          <w:sz w:val="20"/>
          <w:lang w:val="en-US"/>
        </w:rPr>
        <w:t>, 20140302 (2015).</w:t>
      </w:r>
    </w:p>
    <w:p w14:paraId="33EC1B46" w14:textId="77777777" w:rsidR="000B5579" w:rsidRPr="000B5579" w:rsidRDefault="000B5579" w:rsidP="006B213D">
      <w:pPr>
        <w:pStyle w:val="Bibliography"/>
        <w:spacing w:line="240" w:lineRule="auto"/>
        <w:rPr>
          <w:sz w:val="20"/>
          <w:lang w:val="en-US"/>
        </w:rPr>
      </w:pPr>
      <w:r w:rsidRPr="000B5579">
        <w:rPr>
          <w:sz w:val="20"/>
          <w:lang w:val="en-US"/>
        </w:rPr>
        <w:t>6.</w:t>
      </w:r>
      <w:r w:rsidRPr="000B5579">
        <w:rPr>
          <w:sz w:val="20"/>
          <w:lang w:val="en-US"/>
        </w:rPr>
        <w:tab/>
        <w:t xml:space="preserve">Goyal, A., Reeves, D. B., Cardozo-Ojeda, E. F., Schiffer, J. T. &amp; Mayer, B. T. Viral load and contact heterogeneity predict SARS-CoV-2 transmission and super-spreading events. </w:t>
      </w:r>
      <w:r w:rsidRPr="000B5579">
        <w:rPr>
          <w:i/>
          <w:iCs/>
          <w:sz w:val="20"/>
          <w:lang w:val="en-US"/>
        </w:rPr>
        <w:t>eLife</w:t>
      </w:r>
      <w:r w:rsidRPr="000B5579">
        <w:rPr>
          <w:sz w:val="20"/>
          <w:lang w:val="en-US"/>
        </w:rPr>
        <w:t xml:space="preserve"> </w:t>
      </w:r>
      <w:r w:rsidRPr="000B5579">
        <w:rPr>
          <w:b/>
          <w:bCs/>
          <w:sz w:val="20"/>
          <w:lang w:val="en-US"/>
        </w:rPr>
        <w:t>10</w:t>
      </w:r>
      <w:r w:rsidRPr="000B5579">
        <w:rPr>
          <w:sz w:val="20"/>
          <w:lang w:val="en-US"/>
        </w:rPr>
        <w:t>, e63537 (2021).</w:t>
      </w:r>
    </w:p>
    <w:p w14:paraId="03DF0CA6" w14:textId="77777777" w:rsidR="000B5579" w:rsidRPr="000B5579" w:rsidRDefault="000B5579" w:rsidP="006B213D">
      <w:pPr>
        <w:pStyle w:val="Bibliography"/>
        <w:spacing w:line="240" w:lineRule="auto"/>
        <w:rPr>
          <w:sz w:val="20"/>
          <w:lang w:val="en-US"/>
        </w:rPr>
      </w:pPr>
      <w:r w:rsidRPr="000B5579">
        <w:rPr>
          <w:sz w:val="20"/>
          <w:lang w:val="en-US"/>
        </w:rPr>
        <w:t>7.</w:t>
      </w:r>
      <w:r w:rsidRPr="000B5579">
        <w:rPr>
          <w:sz w:val="20"/>
          <w:lang w:val="en-US"/>
        </w:rPr>
        <w:tab/>
        <w:t xml:space="preserve">Marc, A. </w:t>
      </w:r>
      <w:r w:rsidRPr="000B5579">
        <w:rPr>
          <w:i/>
          <w:iCs/>
          <w:sz w:val="20"/>
          <w:lang w:val="en-US"/>
        </w:rPr>
        <w:t>et al.</w:t>
      </w:r>
      <w:r w:rsidRPr="000B5579">
        <w:rPr>
          <w:sz w:val="20"/>
          <w:lang w:val="en-US"/>
        </w:rPr>
        <w:t xml:space="preserve"> Quantifying the relationship between SARS-CoV-2 viral load and infectiousness. </w:t>
      </w:r>
      <w:r w:rsidRPr="000B5579">
        <w:rPr>
          <w:i/>
          <w:iCs/>
          <w:sz w:val="20"/>
          <w:lang w:val="en-US"/>
        </w:rPr>
        <w:t>eLife</w:t>
      </w:r>
      <w:r w:rsidRPr="000B5579">
        <w:rPr>
          <w:sz w:val="20"/>
          <w:lang w:val="en-US"/>
        </w:rPr>
        <w:t xml:space="preserve"> </w:t>
      </w:r>
      <w:r w:rsidRPr="000B5579">
        <w:rPr>
          <w:b/>
          <w:bCs/>
          <w:sz w:val="20"/>
          <w:lang w:val="en-US"/>
        </w:rPr>
        <w:t>10</w:t>
      </w:r>
      <w:r w:rsidRPr="000B5579">
        <w:rPr>
          <w:sz w:val="20"/>
          <w:lang w:val="en-US"/>
        </w:rPr>
        <w:t>, e69302 (2021).</w:t>
      </w:r>
    </w:p>
    <w:p w14:paraId="1EF4E2F8" w14:textId="77777777" w:rsidR="000B5579" w:rsidRPr="000B5579" w:rsidRDefault="000B5579" w:rsidP="006B213D">
      <w:pPr>
        <w:pStyle w:val="Bibliography"/>
        <w:spacing w:line="240" w:lineRule="auto"/>
        <w:rPr>
          <w:sz w:val="20"/>
          <w:lang w:val="en-US"/>
        </w:rPr>
      </w:pPr>
      <w:r w:rsidRPr="000B5579">
        <w:rPr>
          <w:sz w:val="20"/>
          <w:lang w:val="en-US"/>
        </w:rPr>
        <w:t>8.</w:t>
      </w:r>
      <w:r w:rsidRPr="000B5579">
        <w:rPr>
          <w:sz w:val="20"/>
          <w:lang w:val="en-US"/>
        </w:rPr>
        <w:tab/>
        <w:t xml:space="preserve">Lange, A. &amp; Ferguson, N. M. Antigenic Diversity, Transmission Mechanisms, and the Evolution of Pathogens. </w:t>
      </w:r>
      <w:r w:rsidRPr="000B5579">
        <w:rPr>
          <w:i/>
          <w:iCs/>
          <w:sz w:val="20"/>
          <w:lang w:val="en-US"/>
        </w:rPr>
        <w:t>PLOS Comput. Biol.</w:t>
      </w:r>
      <w:r w:rsidRPr="000B5579">
        <w:rPr>
          <w:sz w:val="20"/>
          <w:lang w:val="en-US"/>
        </w:rPr>
        <w:t xml:space="preserve"> </w:t>
      </w:r>
      <w:r w:rsidRPr="000B5579">
        <w:rPr>
          <w:b/>
          <w:bCs/>
          <w:sz w:val="20"/>
          <w:lang w:val="en-US"/>
        </w:rPr>
        <w:t>5</w:t>
      </w:r>
      <w:r w:rsidRPr="000B5579">
        <w:rPr>
          <w:sz w:val="20"/>
          <w:lang w:val="en-US"/>
        </w:rPr>
        <w:t>, e1000536 (2009).</w:t>
      </w:r>
    </w:p>
    <w:p w14:paraId="33B41372" w14:textId="77777777" w:rsidR="000B5579" w:rsidRPr="000B5579" w:rsidRDefault="000B5579" w:rsidP="006B213D">
      <w:pPr>
        <w:pStyle w:val="Bibliography"/>
        <w:spacing w:line="240" w:lineRule="auto"/>
        <w:rPr>
          <w:sz w:val="20"/>
          <w:lang w:val="en-US"/>
        </w:rPr>
      </w:pPr>
      <w:r w:rsidRPr="000B5579">
        <w:rPr>
          <w:sz w:val="20"/>
          <w:lang w:val="en-US"/>
        </w:rPr>
        <w:t>9.</w:t>
      </w:r>
      <w:r w:rsidRPr="000B5579">
        <w:rPr>
          <w:sz w:val="20"/>
          <w:lang w:val="en-US"/>
        </w:rPr>
        <w:tab/>
        <w:t>Cowling, B. J. Phase III CENTERSTONE trial of single-dose baloxavir marboxil for the reduction of transmission of influenza in households. (2024).</w:t>
      </w:r>
    </w:p>
    <w:p w14:paraId="1E5ABD9B" w14:textId="77777777" w:rsidR="000B5579" w:rsidRPr="000B5579" w:rsidRDefault="000B5579" w:rsidP="006B213D">
      <w:pPr>
        <w:pStyle w:val="Bibliography"/>
        <w:spacing w:line="240" w:lineRule="auto"/>
        <w:rPr>
          <w:sz w:val="20"/>
          <w:lang w:val="en-US"/>
        </w:rPr>
      </w:pPr>
      <w:r w:rsidRPr="000B5579">
        <w:rPr>
          <w:sz w:val="20"/>
          <w:lang w:val="en-US"/>
        </w:rPr>
        <w:t>10.</w:t>
      </w:r>
      <w:r w:rsidRPr="000B5579">
        <w:rPr>
          <w:sz w:val="20"/>
          <w:lang w:val="en-US"/>
        </w:rPr>
        <w:tab/>
        <w:t xml:space="preserve">Checkmahomed, L. </w:t>
      </w:r>
      <w:r w:rsidRPr="000B5579">
        <w:rPr>
          <w:i/>
          <w:iCs/>
          <w:sz w:val="20"/>
          <w:lang w:val="en-US"/>
        </w:rPr>
        <w:t>et al.</w:t>
      </w:r>
      <w:r w:rsidRPr="000B5579">
        <w:rPr>
          <w:sz w:val="20"/>
          <w:lang w:val="en-US"/>
        </w:rPr>
        <w:t xml:space="preserve"> Impact of the Baloxavir-Resistant Polymerase Acid I38T Substitution on the Fitness of Contemporary Influenza A(H1N1)pdm09 and A(H3N2) Strains. </w:t>
      </w:r>
      <w:r w:rsidRPr="000B5579">
        <w:rPr>
          <w:i/>
          <w:iCs/>
          <w:sz w:val="20"/>
          <w:lang w:val="en-US"/>
        </w:rPr>
        <w:t>J. Infect. Dis.</w:t>
      </w:r>
      <w:r w:rsidRPr="000B5579">
        <w:rPr>
          <w:sz w:val="20"/>
          <w:lang w:val="en-US"/>
        </w:rPr>
        <w:t xml:space="preserve"> </w:t>
      </w:r>
      <w:r w:rsidRPr="000B5579">
        <w:rPr>
          <w:b/>
          <w:bCs/>
          <w:sz w:val="20"/>
          <w:lang w:val="en-US"/>
        </w:rPr>
        <w:t>221</w:t>
      </w:r>
      <w:r w:rsidRPr="000B5579">
        <w:rPr>
          <w:sz w:val="20"/>
          <w:lang w:val="en-US"/>
        </w:rPr>
        <w:t>, 63–70 (2020).</w:t>
      </w:r>
    </w:p>
    <w:p w14:paraId="1A2897D6" w14:textId="77777777" w:rsidR="000B5579" w:rsidRPr="000B5579" w:rsidRDefault="000B5579" w:rsidP="006B213D">
      <w:pPr>
        <w:pStyle w:val="Bibliography"/>
        <w:spacing w:line="240" w:lineRule="auto"/>
        <w:rPr>
          <w:sz w:val="20"/>
          <w:lang w:val="en-US"/>
        </w:rPr>
      </w:pPr>
      <w:r w:rsidRPr="000B5579">
        <w:rPr>
          <w:sz w:val="20"/>
          <w:lang w:val="en-US"/>
        </w:rPr>
        <w:t>11.</w:t>
      </w:r>
      <w:r w:rsidRPr="000B5579">
        <w:rPr>
          <w:sz w:val="20"/>
          <w:lang w:val="en-US"/>
        </w:rPr>
        <w:tab/>
        <w:t xml:space="preserve">Jones, J. C. </w:t>
      </w:r>
      <w:r w:rsidRPr="000B5579">
        <w:rPr>
          <w:i/>
          <w:iCs/>
          <w:sz w:val="20"/>
          <w:lang w:val="en-US"/>
        </w:rPr>
        <w:t>et al.</w:t>
      </w:r>
      <w:r w:rsidRPr="000B5579">
        <w:rPr>
          <w:sz w:val="20"/>
          <w:lang w:val="en-US"/>
        </w:rPr>
        <w:t xml:space="preserve"> Influenza A virus polymerase acidic protein E23G/K substitutions weaken key baloxavir drug-binding contacts with minimal impact on replication and transmission. </w:t>
      </w:r>
      <w:r w:rsidRPr="000B5579">
        <w:rPr>
          <w:i/>
          <w:iCs/>
          <w:sz w:val="20"/>
          <w:lang w:val="en-US"/>
        </w:rPr>
        <w:t>PLOS Pathog.</w:t>
      </w:r>
      <w:r w:rsidRPr="000B5579">
        <w:rPr>
          <w:sz w:val="20"/>
          <w:lang w:val="en-US"/>
        </w:rPr>
        <w:t xml:space="preserve"> </w:t>
      </w:r>
      <w:r w:rsidRPr="000B5579">
        <w:rPr>
          <w:b/>
          <w:bCs/>
          <w:sz w:val="20"/>
          <w:lang w:val="en-US"/>
        </w:rPr>
        <w:t>18</w:t>
      </w:r>
      <w:r w:rsidRPr="000B5579">
        <w:rPr>
          <w:sz w:val="20"/>
          <w:lang w:val="en-US"/>
        </w:rPr>
        <w:t>, e1010698 (2022).</w:t>
      </w:r>
    </w:p>
    <w:p w14:paraId="2255ACE2" w14:textId="77777777" w:rsidR="000B5579" w:rsidRPr="000B5579" w:rsidRDefault="000B5579" w:rsidP="006B213D">
      <w:pPr>
        <w:pStyle w:val="Bibliography"/>
        <w:spacing w:line="240" w:lineRule="auto"/>
        <w:rPr>
          <w:sz w:val="20"/>
          <w:lang w:val="en-US"/>
        </w:rPr>
      </w:pPr>
      <w:r w:rsidRPr="000B5579">
        <w:rPr>
          <w:sz w:val="20"/>
          <w:lang w:val="en-US"/>
        </w:rPr>
        <w:t>12.</w:t>
      </w:r>
      <w:r w:rsidRPr="000B5579">
        <w:rPr>
          <w:sz w:val="20"/>
          <w:lang w:val="en-US"/>
        </w:rPr>
        <w:tab/>
        <w:t xml:space="preserve">Hickerson Brady T. </w:t>
      </w:r>
      <w:r w:rsidRPr="000B5579">
        <w:rPr>
          <w:i/>
          <w:iCs/>
          <w:sz w:val="20"/>
          <w:lang w:val="en-US"/>
        </w:rPr>
        <w:t>et al.</w:t>
      </w:r>
      <w:r w:rsidRPr="000B5579">
        <w:rPr>
          <w:sz w:val="20"/>
          <w:lang w:val="en-US"/>
        </w:rPr>
        <w:t xml:space="preserve"> Impact of Baloxavir Resistance-Associated Substitutions on Influenza Virus Growth and Drug Susceptibility. </w:t>
      </w:r>
      <w:r w:rsidRPr="000B5579">
        <w:rPr>
          <w:i/>
          <w:iCs/>
          <w:sz w:val="20"/>
          <w:lang w:val="en-US"/>
        </w:rPr>
        <w:t>J. Virol.</w:t>
      </w:r>
      <w:r w:rsidRPr="000B5579">
        <w:rPr>
          <w:sz w:val="20"/>
          <w:lang w:val="en-US"/>
        </w:rPr>
        <w:t xml:space="preserve"> </w:t>
      </w:r>
      <w:r w:rsidRPr="000B5579">
        <w:rPr>
          <w:b/>
          <w:bCs/>
          <w:sz w:val="20"/>
          <w:lang w:val="en-US"/>
        </w:rPr>
        <w:t>97</w:t>
      </w:r>
      <w:r w:rsidRPr="000B5579">
        <w:rPr>
          <w:sz w:val="20"/>
          <w:lang w:val="en-US"/>
        </w:rPr>
        <w:t>, e00154-23 (2023).</w:t>
      </w:r>
    </w:p>
    <w:p w14:paraId="4BD62029" w14:textId="77777777" w:rsidR="000B5579" w:rsidRPr="000B5579" w:rsidRDefault="000B5579" w:rsidP="006B213D">
      <w:pPr>
        <w:pStyle w:val="Bibliography"/>
        <w:spacing w:line="240" w:lineRule="auto"/>
        <w:rPr>
          <w:sz w:val="20"/>
          <w:lang w:val="en-US"/>
        </w:rPr>
      </w:pPr>
      <w:r w:rsidRPr="000B5579">
        <w:rPr>
          <w:sz w:val="20"/>
          <w:lang w:val="en-US"/>
        </w:rPr>
        <w:t>13.</w:t>
      </w:r>
      <w:r w:rsidRPr="000B5579">
        <w:rPr>
          <w:sz w:val="20"/>
          <w:lang w:val="en-US"/>
        </w:rPr>
        <w:tab/>
        <w:t xml:space="preserve">Morris, D. H. </w:t>
      </w:r>
      <w:r w:rsidRPr="000B5579">
        <w:rPr>
          <w:i/>
          <w:iCs/>
          <w:sz w:val="20"/>
          <w:lang w:val="en-US"/>
        </w:rPr>
        <w:t>et al.</w:t>
      </w:r>
      <w:r w:rsidRPr="000B5579">
        <w:rPr>
          <w:sz w:val="20"/>
          <w:lang w:val="en-US"/>
        </w:rPr>
        <w:t xml:space="preserve"> Asynchrony between virus diversity and antibody selection limits influenza virus evolution. </w:t>
      </w:r>
      <w:r w:rsidRPr="000B5579">
        <w:rPr>
          <w:i/>
          <w:iCs/>
          <w:sz w:val="20"/>
          <w:lang w:val="en-US"/>
        </w:rPr>
        <w:t>eLife</w:t>
      </w:r>
      <w:r w:rsidRPr="000B5579">
        <w:rPr>
          <w:sz w:val="20"/>
          <w:lang w:val="en-US"/>
        </w:rPr>
        <w:t xml:space="preserve"> </w:t>
      </w:r>
      <w:r w:rsidRPr="000B5579">
        <w:rPr>
          <w:b/>
          <w:bCs/>
          <w:sz w:val="20"/>
          <w:lang w:val="en-US"/>
        </w:rPr>
        <w:t>9</w:t>
      </w:r>
      <w:r w:rsidRPr="000B5579">
        <w:rPr>
          <w:sz w:val="20"/>
          <w:lang w:val="en-US"/>
        </w:rPr>
        <w:t>, e62105 (2020).</w:t>
      </w:r>
    </w:p>
    <w:p w14:paraId="709C985D" w14:textId="77777777" w:rsidR="000B5579" w:rsidRPr="000B5579" w:rsidRDefault="000B5579" w:rsidP="006B213D">
      <w:pPr>
        <w:pStyle w:val="Bibliography"/>
        <w:spacing w:line="240" w:lineRule="auto"/>
        <w:rPr>
          <w:sz w:val="20"/>
          <w:lang w:val="en-US"/>
        </w:rPr>
      </w:pPr>
      <w:r w:rsidRPr="000B5579">
        <w:rPr>
          <w:sz w:val="20"/>
          <w:lang w:val="en-US"/>
        </w:rPr>
        <w:t>14.</w:t>
      </w:r>
      <w:r w:rsidRPr="000B5579">
        <w:rPr>
          <w:sz w:val="20"/>
          <w:lang w:val="en-US"/>
        </w:rPr>
        <w:tab/>
        <w:t xml:space="preserve">Prem, K., Cook, A. R. &amp; Jit, M. Projecting social contact matrices in 152 countries using contact surveys and demographic data. </w:t>
      </w:r>
      <w:r w:rsidRPr="000B5579">
        <w:rPr>
          <w:i/>
          <w:iCs/>
          <w:sz w:val="20"/>
          <w:lang w:val="en-US"/>
        </w:rPr>
        <w:t>PLOS Comput. Biol.</w:t>
      </w:r>
      <w:r w:rsidRPr="000B5579">
        <w:rPr>
          <w:sz w:val="20"/>
          <w:lang w:val="en-US"/>
        </w:rPr>
        <w:t xml:space="preserve"> </w:t>
      </w:r>
      <w:r w:rsidRPr="000B5579">
        <w:rPr>
          <w:b/>
          <w:bCs/>
          <w:sz w:val="20"/>
          <w:lang w:val="en-US"/>
        </w:rPr>
        <w:t>13</w:t>
      </w:r>
      <w:r w:rsidRPr="000B5579">
        <w:rPr>
          <w:sz w:val="20"/>
          <w:lang w:val="en-US"/>
        </w:rPr>
        <w:t>, e1005697 (2017).</w:t>
      </w:r>
    </w:p>
    <w:p w14:paraId="428E0EF6" w14:textId="77777777" w:rsidR="000B5579" w:rsidRPr="000B5579" w:rsidRDefault="000B5579" w:rsidP="006B213D">
      <w:pPr>
        <w:pStyle w:val="Bibliography"/>
        <w:spacing w:line="240" w:lineRule="auto"/>
        <w:rPr>
          <w:sz w:val="20"/>
          <w:lang w:val="en-US"/>
        </w:rPr>
      </w:pPr>
      <w:r w:rsidRPr="000B5579">
        <w:rPr>
          <w:sz w:val="20"/>
          <w:lang w:val="en-US"/>
        </w:rPr>
        <w:t>15.</w:t>
      </w:r>
      <w:r w:rsidRPr="000B5579">
        <w:rPr>
          <w:sz w:val="20"/>
          <w:lang w:val="en-US"/>
        </w:rPr>
        <w:tab/>
        <w:t xml:space="preserve">Prem, K. </w:t>
      </w:r>
      <w:r w:rsidRPr="000B5579">
        <w:rPr>
          <w:i/>
          <w:iCs/>
          <w:sz w:val="20"/>
          <w:lang w:val="en-US"/>
        </w:rPr>
        <w:t>et al.</w:t>
      </w:r>
      <w:r w:rsidRPr="000B5579">
        <w:rPr>
          <w:sz w:val="20"/>
          <w:lang w:val="en-US"/>
        </w:rPr>
        <w:t xml:space="preserve"> Projecting contact matrices in 177 geographical regions: An update and comparison with empirical data for the COVID-19 era. </w:t>
      </w:r>
      <w:r w:rsidRPr="000B5579">
        <w:rPr>
          <w:i/>
          <w:iCs/>
          <w:sz w:val="20"/>
          <w:lang w:val="en-US"/>
        </w:rPr>
        <w:t>PLOS Comput. Biol.</w:t>
      </w:r>
      <w:r w:rsidRPr="000B5579">
        <w:rPr>
          <w:sz w:val="20"/>
          <w:lang w:val="en-US"/>
        </w:rPr>
        <w:t xml:space="preserve"> </w:t>
      </w:r>
      <w:r w:rsidRPr="000B5579">
        <w:rPr>
          <w:b/>
          <w:bCs/>
          <w:sz w:val="20"/>
          <w:lang w:val="en-US"/>
        </w:rPr>
        <w:t>17</w:t>
      </w:r>
      <w:r w:rsidRPr="000B5579">
        <w:rPr>
          <w:sz w:val="20"/>
          <w:lang w:val="en-US"/>
        </w:rPr>
        <w:t>, e1009098 (2021).</w:t>
      </w:r>
    </w:p>
    <w:p w14:paraId="5EE0D1DA" w14:textId="77777777" w:rsidR="000B5579" w:rsidRPr="000B5579" w:rsidRDefault="000B5579" w:rsidP="006B213D">
      <w:pPr>
        <w:pStyle w:val="Bibliography"/>
        <w:spacing w:line="240" w:lineRule="auto"/>
        <w:rPr>
          <w:sz w:val="20"/>
          <w:lang w:val="en-US"/>
        </w:rPr>
      </w:pPr>
      <w:r w:rsidRPr="000B5579">
        <w:rPr>
          <w:sz w:val="20"/>
          <w:lang w:val="en-US"/>
        </w:rPr>
        <w:t>16.</w:t>
      </w:r>
      <w:r w:rsidRPr="000B5579">
        <w:rPr>
          <w:sz w:val="20"/>
          <w:lang w:val="en-US"/>
        </w:rPr>
        <w:tab/>
        <w:t xml:space="preserve">Brugger, J. &amp; Althaus, C. L. Transmission of and susceptibility to seasonal influenza in Switzerland from 2003 to 2015. </w:t>
      </w:r>
      <w:r w:rsidRPr="000B5579">
        <w:rPr>
          <w:i/>
          <w:iCs/>
          <w:sz w:val="20"/>
          <w:lang w:val="en-US"/>
        </w:rPr>
        <w:t>Epidemics</w:t>
      </w:r>
      <w:r w:rsidRPr="000B5579">
        <w:rPr>
          <w:sz w:val="20"/>
          <w:lang w:val="en-US"/>
        </w:rPr>
        <w:t xml:space="preserve"> </w:t>
      </w:r>
      <w:r w:rsidRPr="000B5579">
        <w:rPr>
          <w:b/>
          <w:bCs/>
          <w:sz w:val="20"/>
          <w:lang w:val="en-US"/>
        </w:rPr>
        <w:t>30</w:t>
      </w:r>
      <w:r w:rsidRPr="000B5579">
        <w:rPr>
          <w:sz w:val="20"/>
          <w:lang w:val="en-US"/>
        </w:rPr>
        <w:t>, 100373 (2020).</w:t>
      </w:r>
    </w:p>
    <w:p w14:paraId="71DF73E8" w14:textId="77777777" w:rsidR="000B5579" w:rsidRPr="000B5579" w:rsidRDefault="000B5579" w:rsidP="006B213D">
      <w:pPr>
        <w:pStyle w:val="Bibliography"/>
        <w:spacing w:line="240" w:lineRule="auto"/>
        <w:rPr>
          <w:sz w:val="20"/>
          <w:lang w:val="en-US"/>
        </w:rPr>
      </w:pPr>
      <w:r w:rsidRPr="000B5579">
        <w:rPr>
          <w:sz w:val="20"/>
          <w:lang w:val="en-US"/>
        </w:rPr>
        <w:t>17.</w:t>
      </w:r>
      <w:r w:rsidRPr="000B5579">
        <w:rPr>
          <w:sz w:val="20"/>
          <w:lang w:val="en-US"/>
        </w:rPr>
        <w:tab/>
        <w:t xml:space="preserve">Cauchemez Simon </w:t>
      </w:r>
      <w:r w:rsidRPr="000B5579">
        <w:rPr>
          <w:i/>
          <w:iCs/>
          <w:sz w:val="20"/>
          <w:lang w:val="en-US"/>
        </w:rPr>
        <w:t>et al.</w:t>
      </w:r>
      <w:r w:rsidRPr="000B5579">
        <w:rPr>
          <w:sz w:val="20"/>
          <w:lang w:val="en-US"/>
        </w:rPr>
        <w:t xml:space="preserve"> Household Transmission of 2009 Pandemic Influenza A (H1N1) Virus in the United States. </w:t>
      </w:r>
      <w:r w:rsidRPr="000B5579">
        <w:rPr>
          <w:i/>
          <w:iCs/>
          <w:sz w:val="20"/>
          <w:lang w:val="en-US"/>
        </w:rPr>
        <w:t>N. Engl. J. Med.</w:t>
      </w:r>
      <w:r w:rsidRPr="000B5579">
        <w:rPr>
          <w:sz w:val="20"/>
          <w:lang w:val="en-US"/>
        </w:rPr>
        <w:t xml:space="preserve"> </w:t>
      </w:r>
      <w:r w:rsidRPr="000B5579">
        <w:rPr>
          <w:b/>
          <w:bCs/>
          <w:sz w:val="20"/>
          <w:lang w:val="en-US"/>
        </w:rPr>
        <w:t>361</w:t>
      </w:r>
      <w:r w:rsidRPr="000B5579">
        <w:rPr>
          <w:sz w:val="20"/>
          <w:lang w:val="en-US"/>
        </w:rPr>
        <w:t>, 2619–2627 (2009).</w:t>
      </w:r>
    </w:p>
    <w:p w14:paraId="246E71B6" w14:textId="77777777" w:rsidR="000B5579" w:rsidRPr="000B5579" w:rsidRDefault="000B5579" w:rsidP="006B213D">
      <w:pPr>
        <w:pStyle w:val="Bibliography"/>
        <w:spacing w:line="240" w:lineRule="auto"/>
        <w:rPr>
          <w:sz w:val="20"/>
          <w:lang w:val="en-US"/>
        </w:rPr>
      </w:pPr>
      <w:r w:rsidRPr="000B5579">
        <w:rPr>
          <w:sz w:val="20"/>
          <w:lang w:val="en-US"/>
        </w:rPr>
        <w:t>18.</w:t>
      </w:r>
      <w:r w:rsidRPr="000B5579">
        <w:rPr>
          <w:sz w:val="20"/>
          <w:lang w:val="en-US"/>
        </w:rPr>
        <w:tab/>
        <w:t xml:space="preserve">Zhang, J. </w:t>
      </w:r>
      <w:r w:rsidRPr="000B5579">
        <w:rPr>
          <w:i/>
          <w:iCs/>
          <w:sz w:val="20"/>
          <w:lang w:val="en-US"/>
        </w:rPr>
        <w:t>et al.</w:t>
      </w:r>
      <w:r w:rsidRPr="000B5579">
        <w:rPr>
          <w:sz w:val="20"/>
          <w:lang w:val="en-US"/>
        </w:rPr>
        <w:t xml:space="preserve"> Changes in contact patterns shape the dynamics of the COVID-19 outbreak in China. </w:t>
      </w:r>
      <w:r w:rsidRPr="000B5579">
        <w:rPr>
          <w:i/>
          <w:iCs/>
          <w:sz w:val="20"/>
          <w:lang w:val="en-US"/>
        </w:rPr>
        <w:t>Science</w:t>
      </w:r>
      <w:r w:rsidRPr="000B5579">
        <w:rPr>
          <w:sz w:val="20"/>
          <w:lang w:val="en-US"/>
        </w:rPr>
        <w:t xml:space="preserve"> </w:t>
      </w:r>
      <w:r w:rsidRPr="000B5579">
        <w:rPr>
          <w:b/>
          <w:bCs/>
          <w:sz w:val="20"/>
          <w:lang w:val="en-US"/>
        </w:rPr>
        <w:t>368</w:t>
      </w:r>
      <w:r w:rsidRPr="000B5579">
        <w:rPr>
          <w:sz w:val="20"/>
          <w:lang w:val="en-US"/>
        </w:rPr>
        <w:t>, 1481–1486 (2020).</w:t>
      </w:r>
    </w:p>
    <w:p w14:paraId="3C0D1248" w14:textId="77777777" w:rsidR="000B5579" w:rsidRPr="000B5579" w:rsidRDefault="000B5579" w:rsidP="006B213D">
      <w:pPr>
        <w:pStyle w:val="Bibliography"/>
        <w:spacing w:line="240" w:lineRule="auto"/>
        <w:rPr>
          <w:sz w:val="20"/>
          <w:lang w:val="en-US"/>
        </w:rPr>
      </w:pPr>
      <w:r w:rsidRPr="000B5579">
        <w:rPr>
          <w:sz w:val="20"/>
          <w:lang w:val="en-US"/>
        </w:rPr>
        <w:t>19.</w:t>
      </w:r>
      <w:r w:rsidRPr="000B5579">
        <w:rPr>
          <w:sz w:val="20"/>
          <w:lang w:val="en-US"/>
        </w:rPr>
        <w:tab/>
        <w:t xml:space="preserve">Oliver Eales, James M. McCaw, &amp; Freya M. Shearer. Challenges in the case-based surveillance of infectious diseases. </w:t>
      </w:r>
      <w:r w:rsidRPr="000B5579">
        <w:rPr>
          <w:i/>
          <w:iCs/>
          <w:sz w:val="20"/>
          <w:lang w:val="en-US"/>
        </w:rPr>
        <w:t>medRxiv</w:t>
      </w:r>
      <w:r w:rsidRPr="000B5579">
        <w:rPr>
          <w:sz w:val="20"/>
          <w:lang w:val="en-US"/>
        </w:rPr>
        <w:t xml:space="preserve"> 2023.12.19.23300224 (2023) doi:10.1101/2023.12.19.23300224.</w:t>
      </w:r>
    </w:p>
    <w:p w14:paraId="5C8332B7" w14:textId="77777777" w:rsidR="000B5579" w:rsidRPr="000B5579" w:rsidRDefault="000B5579" w:rsidP="006B213D">
      <w:pPr>
        <w:pStyle w:val="Bibliography"/>
        <w:spacing w:line="240" w:lineRule="auto"/>
        <w:rPr>
          <w:sz w:val="20"/>
          <w:lang w:val="en-US"/>
        </w:rPr>
      </w:pPr>
      <w:r w:rsidRPr="000B5579">
        <w:rPr>
          <w:sz w:val="20"/>
          <w:lang w:val="en-US"/>
        </w:rPr>
        <w:t>20.</w:t>
      </w:r>
      <w:r w:rsidRPr="000B5579">
        <w:rPr>
          <w:sz w:val="20"/>
          <w:lang w:val="en-US"/>
        </w:rPr>
        <w:tab/>
        <w:t xml:space="preserve">Leung, N. H. L., Xu, C., Ip, D. K. M. &amp; Cowling, B. J. Review Article: The Fraction of Influenza Virus Infections That Are Asymptomatic: A Systematic Review and Meta-analysis. </w:t>
      </w:r>
      <w:r w:rsidRPr="000B5579">
        <w:rPr>
          <w:i/>
          <w:iCs/>
          <w:sz w:val="20"/>
          <w:lang w:val="en-US"/>
        </w:rPr>
        <w:t>Epidemiology</w:t>
      </w:r>
      <w:r w:rsidRPr="000B5579">
        <w:rPr>
          <w:sz w:val="20"/>
          <w:lang w:val="en-US"/>
        </w:rPr>
        <w:t xml:space="preserve"> </w:t>
      </w:r>
      <w:r w:rsidRPr="000B5579">
        <w:rPr>
          <w:b/>
          <w:bCs/>
          <w:sz w:val="20"/>
          <w:lang w:val="en-US"/>
        </w:rPr>
        <w:t>26</w:t>
      </w:r>
      <w:r w:rsidRPr="000B5579">
        <w:rPr>
          <w:sz w:val="20"/>
          <w:lang w:val="en-US"/>
        </w:rPr>
        <w:t>, (2015).</w:t>
      </w:r>
    </w:p>
    <w:p w14:paraId="303D792A" w14:textId="77777777" w:rsidR="000B5579" w:rsidRPr="000B5579" w:rsidRDefault="000B5579" w:rsidP="006B213D">
      <w:pPr>
        <w:pStyle w:val="Bibliography"/>
        <w:spacing w:line="240" w:lineRule="auto"/>
        <w:rPr>
          <w:sz w:val="20"/>
          <w:lang w:val="en-US"/>
        </w:rPr>
      </w:pPr>
      <w:r w:rsidRPr="000B5579">
        <w:rPr>
          <w:sz w:val="20"/>
          <w:lang w:val="en-US"/>
        </w:rPr>
        <w:t>21.</w:t>
      </w:r>
      <w:r w:rsidRPr="000B5579">
        <w:rPr>
          <w:sz w:val="20"/>
          <w:lang w:val="en-US"/>
        </w:rPr>
        <w:tab/>
        <w:t xml:space="preserve">Ikematsu Hideyuki </w:t>
      </w:r>
      <w:r w:rsidRPr="000B5579">
        <w:rPr>
          <w:i/>
          <w:iCs/>
          <w:sz w:val="20"/>
          <w:lang w:val="en-US"/>
        </w:rPr>
        <w:t>et al.</w:t>
      </w:r>
      <w:r w:rsidRPr="000B5579">
        <w:rPr>
          <w:sz w:val="20"/>
          <w:lang w:val="en-US"/>
        </w:rPr>
        <w:t xml:space="preserve"> Baloxavir Marboxil for Prophylaxis against Influenza in Household Contacts. </w:t>
      </w:r>
      <w:r w:rsidRPr="000B5579">
        <w:rPr>
          <w:i/>
          <w:iCs/>
          <w:sz w:val="20"/>
          <w:lang w:val="en-US"/>
        </w:rPr>
        <w:t>N. Engl. J. Med.</w:t>
      </w:r>
      <w:r w:rsidRPr="000B5579">
        <w:rPr>
          <w:sz w:val="20"/>
          <w:lang w:val="en-US"/>
        </w:rPr>
        <w:t xml:space="preserve"> </w:t>
      </w:r>
      <w:r w:rsidRPr="000B5579">
        <w:rPr>
          <w:b/>
          <w:bCs/>
          <w:sz w:val="20"/>
          <w:lang w:val="en-US"/>
        </w:rPr>
        <w:t>383</w:t>
      </w:r>
      <w:r w:rsidRPr="000B5579">
        <w:rPr>
          <w:sz w:val="20"/>
          <w:lang w:val="en-US"/>
        </w:rPr>
        <w:t>, 309–320 (2020).</w:t>
      </w:r>
    </w:p>
    <w:p w14:paraId="415DFC33" w14:textId="77777777" w:rsidR="000B5579" w:rsidRPr="000B5579" w:rsidRDefault="000B5579" w:rsidP="006B213D">
      <w:pPr>
        <w:pStyle w:val="Bibliography"/>
        <w:spacing w:line="240" w:lineRule="auto"/>
        <w:rPr>
          <w:sz w:val="20"/>
          <w:lang w:val="en-US"/>
        </w:rPr>
      </w:pPr>
      <w:r w:rsidRPr="000B5579">
        <w:rPr>
          <w:sz w:val="20"/>
          <w:lang w:val="en-US"/>
        </w:rPr>
        <w:t>22.</w:t>
      </w:r>
      <w:r w:rsidRPr="000B5579">
        <w:rPr>
          <w:sz w:val="20"/>
          <w:lang w:val="en-US"/>
        </w:rPr>
        <w:tab/>
        <w:t xml:space="preserve">Zhao, Y. </w:t>
      </w:r>
      <w:r w:rsidRPr="000B5579">
        <w:rPr>
          <w:i/>
          <w:iCs/>
          <w:sz w:val="20"/>
          <w:lang w:val="en-US"/>
        </w:rPr>
        <w:t>et al.</w:t>
      </w:r>
      <w:r w:rsidRPr="000B5579">
        <w:rPr>
          <w:sz w:val="20"/>
          <w:lang w:val="en-US"/>
        </w:rPr>
        <w:t xml:space="preserve"> Antivirals for post-exposure prophylaxis of influenza: a systematic review and network meta-analysis. </w:t>
      </w:r>
      <w:r w:rsidRPr="000B5579">
        <w:rPr>
          <w:i/>
          <w:iCs/>
          <w:sz w:val="20"/>
          <w:lang w:val="en-US"/>
        </w:rPr>
        <w:t>The Lancet</w:t>
      </w:r>
      <w:r w:rsidRPr="000B5579">
        <w:rPr>
          <w:sz w:val="20"/>
          <w:lang w:val="en-US"/>
        </w:rPr>
        <w:t xml:space="preserve"> </w:t>
      </w:r>
      <w:r w:rsidRPr="000B5579">
        <w:rPr>
          <w:b/>
          <w:bCs/>
          <w:sz w:val="20"/>
          <w:lang w:val="en-US"/>
        </w:rPr>
        <w:t>404</w:t>
      </w:r>
      <w:r w:rsidRPr="000B5579">
        <w:rPr>
          <w:sz w:val="20"/>
          <w:lang w:val="en-US"/>
        </w:rPr>
        <w:t>, 764–772 (2024).</w:t>
      </w:r>
    </w:p>
    <w:p w14:paraId="4DA1165B" w14:textId="77777777" w:rsidR="000B5579" w:rsidRPr="000B5579" w:rsidRDefault="000B5579" w:rsidP="006B213D">
      <w:pPr>
        <w:pStyle w:val="Bibliography"/>
        <w:spacing w:line="240" w:lineRule="auto"/>
        <w:rPr>
          <w:sz w:val="20"/>
          <w:lang w:val="en-US"/>
        </w:rPr>
      </w:pPr>
      <w:r w:rsidRPr="000B5579">
        <w:rPr>
          <w:sz w:val="20"/>
          <w:lang w:val="en-US"/>
        </w:rPr>
        <w:t>23.</w:t>
      </w:r>
      <w:r w:rsidRPr="000B5579">
        <w:rPr>
          <w:sz w:val="20"/>
          <w:lang w:val="en-US"/>
        </w:rPr>
        <w:tab/>
        <w:t xml:space="preserve">Scarabel, F., Pellis, L., Ogden, N. H. &amp; Wu, J. A renewal equation model to assess roles and limitations of contact tracing for disease outbreak control. </w:t>
      </w:r>
      <w:r w:rsidRPr="000B5579">
        <w:rPr>
          <w:i/>
          <w:iCs/>
          <w:sz w:val="20"/>
          <w:lang w:val="en-US"/>
        </w:rPr>
        <w:t>R. Soc. Open Sci.</w:t>
      </w:r>
      <w:r w:rsidRPr="000B5579">
        <w:rPr>
          <w:sz w:val="20"/>
          <w:lang w:val="en-US"/>
        </w:rPr>
        <w:t xml:space="preserve"> </w:t>
      </w:r>
      <w:r w:rsidRPr="000B5579">
        <w:rPr>
          <w:b/>
          <w:bCs/>
          <w:sz w:val="20"/>
          <w:lang w:val="en-US"/>
        </w:rPr>
        <w:t>8</w:t>
      </w:r>
      <w:r w:rsidRPr="000B5579">
        <w:rPr>
          <w:sz w:val="20"/>
          <w:lang w:val="en-US"/>
        </w:rPr>
        <w:t>, 202091 (2021).</w:t>
      </w:r>
    </w:p>
    <w:p w14:paraId="37E37521" w14:textId="77777777" w:rsidR="000B5579" w:rsidRPr="000B5579" w:rsidRDefault="000B5579" w:rsidP="006B213D">
      <w:pPr>
        <w:pStyle w:val="Bibliography"/>
        <w:spacing w:line="240" w:lineRule="auto"/>
        <w:rPr>
          <w:sz w:val="20"/>
          <w:lang w:val="en-US"/>
        </w:rPr>
      </w:pPr>
      <w:r w:rsidRPr="000B5579">
        <w:rPr>
          <w:sz w:val="20"/>
          <w:lang w:val="en-US"/>
        </w:rPr>
        <w:t>24.</w:t>
      </w:r>
      <w:r w:rsidRPr="000B5579">
        <w:rPr>
          <w:sz w:val="20"/>
          <w:lang w:val="en-US"/>
        </w:rPr>
        <w:tab/>
        <w:t>United Nations. World Population Prospects. https://population.un.org/wpp/ (2024).</w:t>
      </w:r>
    </w:p>
    <w:p w14:paraId="2C114530" w14:textId="77777777" w:rsidR="000B5579" w:rsidRPr="000B5579" w:rsidRDefault="000B5579" w:rsidP="006B213D">
      <w:pPr>
        <w:pStyle w:val="Bibliography"/>
        <w:spacing w:line="240" w:lineRule="auto"/>
        <w:rPr>
          <w:sz w:val="20"/>
          <w:lang w:val="en-US"/>
        </w:rPr>
      </w:pPr>
      <w:r w:rsidRPr="000B5579">
        <w:rPr>
          <w:sz w:val="20"/>
          <w:lang w:val="en-US"/>
        </w:rPr>
        <w:t>25.</w:t>
      </w:r>
      <w:r w:rsidRPr="000B5579">
        <w:rPr>
          <w:sz w:val="20"/>
          <w:lang w:val="en-US"/>
        </w:rPr>
        <w:tab/>
        <w:t xml:space="preserve">Andrew Gelman, Aleks Jakulin, Maria Grazia Pittau, &amp; Yu-Sung Su. A weakly informative default prior distribution for logistic and other regression models. </w:t>
      </w:r>
      <w:r w:rsidRPr="000B5579">
        <w:rPr>
          <w:i/>
          <w:iCs/>
          <w:sz w:val="20"/>
          <w:lang w:val="en-US"/>
        </w:rPr>
        <w:t>Ann. Appl. Stat.</w:t>
      </w:r>
      <w:r w:rsidRPr="000B5579">
        <w:rPr>
          <w:sz w:val="20"/>
          <w:lang w:val="en-US"/>
        </w:rPr>
        <w:t xml:space="preserve"> </w:t>
      </w:r>
      <w:r w:rsidRPr="000B5579">
        <w:rPr>
          <w:b/>
          <w:bCs/>
          <w:sz w:val="20"/>
          <w:lang w:val="en-US"/>
        </w:rPr>
        <w:t>2</w:t>
      </w:r>
      <w:r w:rsidRPr="000B5579">
        <w:rPr>
          <w:sz w:val="20"/>
          <w:lang w:val="en-US"/>
        </w:rPr>
        <w:t>, 1360–1383 (2008).</w:t>
      </w:r>
    </w:p>
    <w:p w14:paraId="2D97FFE1" w14:textId="77777777" w:rsidR="000B5579" w:rsidRPr="000B5579" w:rsidRDefault="000B5579" w:rsidP="006B213D">
      <w:pPr>
        <w:pStyle w:val="Bibliography"/>
        <w:spacing w:line="240" w:lineRule="auto"/>
        <w:rPr>
          <w:sz w:val="20"/>
          <w:lang w:val="en-US"/>
        </w:rPr>
      </w:pPr>
      <w:r w:rsidRPr="000B5579">
        <w:rPr>
          <w:sz w:val="20"/>
          <w:lang w:val="en-US"/>
        </w:rPr>
        <w:t>26.</w:t>
      </w:r>
      <w:r w:rsidRPr="000B5579">
        <w:rPr>
          <w:sz w:val="20"/>
          <w:lang w:val="en-US"/>
        </w:rPr>
        <w:tab/>
        <w:t xml:space="preserve">Bürkner, P.-C. brms: An R Package for Bayesian Multilevel Models Using Stan. </w:t>
      </w:r>
      <w:r w:rsidRPr="000B5579">
        <w:rPr>
          <w:i/>
          <w:iCs/>
          <w:sz w:val="20"/>
          <w:lang w:val="en-US"/>
        </w:rPr>
        <w:t>J. Stat. Softw.</w:t>
      </w:r>
      <w:r w:rsidRPr="000B5579">
        <w:rPr>
          <w:sz w:val="20"/>
          <w:lang w:val="en-US"/>
        </w:rPr>
        <w:t xml:space="preserve"> </w:t>
      </w:r>
      <w:r w:rsidRPr="000B5579">
        <w:rPr>
          <w:b/>
          <w:bCs/>
          <w:sz w:val="20"/>
          <w:lang w:val="en-US"/>
        </w:rPr>
        <w:t>80</w:t>
      </w:r>
      <w:r w:rsidRPr="000B5579">
        <w:rPr>
          <w:sz w:val="20"/>
          <w:lang w:val="en-US"/>
        </w:rPr>
        <w:t>, 1–28 (2017).</w:t>
      </w:r>
    </w:p>
    <w:p w14:paraId="3B40327B" w14:textId="77777777" w:rsidR="000B5579" w:rsidRPr="000B5579" w:rsidRDefault="000B5579" w:rsidP="006B213D">
      <w:pPr>
        <w:pStyle w:val="Bibliography"/>
        <w:spacing w:line="240" w:lineRule="auto"/>
        <w:rPr>
          <w:sz w:val="20"/>
          <w:lang w:val="en-US"/>
        </w:rPr>
      </w:pPr>
      <w:r w:rsidRPr="000B5579">
        <w:rPr>
          <w:sz w:val="20"/>
          <w:lang w:val="en-US"/>
        </w:rPr>
        <w:t>27.</w:t>
      </w:r>
      <w:r w:rsidRPr="000B5579">
        <w:rPr>
          <w:sz w:val="20"/>
          <w:lang w:val="en-US"/>
        </w:rPr>
        <w:tab/>
        <w:t>Core Team, R. R: A Language and Environment for Statistical Computing. CRAN (2024).</w:t>
      </w:r>
    </w:p>
    <w:p w14:paraId="28DD670F" w14:textId="77777777" w:rsidR="000B5579" w:rsidRPr="000B5579" w:rsidRDefault="000B5579" w:rsidP="006B213D">
      <w:pPr>
        <w:pStyle w:val="Bibliography"/>
        <w:spacing w:line="240" w:lineRule="auto"/>
        <w:rPr>
          <w:sz w:val="20"/>
          <w:lang w:val="en-US"/>
        </w:rPr>
      </w:pPr>
      <w:r w:rsidRPr="000B5579">
        <w:rPr>
          <w:sz w:val="20"/>
          <w:lang w:val="en-US"/>
        </w:rPr>
        <w:t>28.</w:t>
      </w:r>
      <w:r w:rsidRPr="000B5579">
        <w:rPr>
          <w:sz w:val="20"/>
          <w:lang w:val="en-US"/>
        </w:rPr>
        <w:tab/>
        <w:t xml:space="preserve">Du, Z., Nugent, C., Galvani, A. P., Krug, R. M. &amp; Meyers, L. A. Modeling mitigation of influenza epidemics by baloxavir. </w:t>
      </w:r>
      <w:r w:rsidRPr="000B5579">
        <w:rPr>
          <w:i/>
          <w:iCs/>
          <w:sz w:val="20"/>
          <w:lang w:val="en-US"/>
        </w:rPr>
        <w:t>Nat. Commun.</w:t>
      </w:r>
      <w:r w:rsidRPr="000B5579">
        <w:rPr>
          <w:sz w:val="20"/>
          <w:lang w:val="en-US"/>
        </w:rPr>
        <w:t xml:space="preserve"> </w:t>
      </w:r>
      <w:r w:rsidRPr="000B5579">
        <w:rPr>
          <w:b/>
          <w:bCs/>
          <w:sz w:val="20"/>
          <w:lang w:val="en-US"/>
        </w:rPr>
        <w:t>11</w:t>
      </w:r>
      <w:r w:rsidRPr="000B5579">
        <w:rPr>
          <w:sz w:val="20"/>
          <w:lang w:val="en-US"/>
        </w:rPr>
        <w:t>, 2750 (2020).</w:t>
      </w:r>
    </w:p>
    <w:p w14:paraId="50C78423" w14:textId="77777777" w:rsidR="000B5579" w:rsidRPr="000B5579" w:rsidRDefault="000B5579" w:rsidP="006B213D">
      <w:pPr>
        <w:pStyle w:val="Bibliography"/>
        <w:spacing w:line="240" w:lineRule="auto"/>
        <w:rPr>
          <w:sz w:val="20"/>
          <w:lang w:val="en-US"/>
        </w:rPr>
      </w:pPr>
      <w:r w:rsidRPr="000B5579">
        <w:rPr>
          <w:sz w:val="20"/>
          <w:lang w:val="en-US"/>
        </w:rPr>
        <w:lastRenderedPageBreak/>
        <w:t>29.</w:t>
      </w:r>
      <w:r w:rsidRPr="000B5579">
        <w:rPr>
          <w:sz w:val="20"/>
          <w:lang w:val="en-US"/>
        </w:rPr>
        <w:tab/>
        <w:t xml:space="preserve">Luk, J., Gross, P. &amp; Thompson, W. W. Observations on Mortality during the 1918 Influenza Pandemic. </w:t>
      </w:r>
      <w:r w:rsidRPr="000B5579">
        <w:rPr>
          <w:i/>
          <w:iCs/>
          <w:sz w:val="20"/>
          <w:lang w:val="en-US"/>
        </w:rPr>
        <w:t>Clin. Infect. Dis.</w:t>
      </w:r>
      <w:r w:rsidRPr="000B5579">
        <w:rPr>
          <w:sz w:val="20"/>
          <w:lang w:val="en-US"/>
        </w:rPr>
        <w:t xml:space="preserve"> </w:t>
      </w:r>
      <w:r w:rsidRPr="000B5579">
        <w:rPr>
          <w:b/>
          <w:bCs/>
          <w:sz w:val="20"/>
          <w:lang w:val="en-US"/>
        </w:rPr>
        <w:t>33</w:t>
      </w:r>
      <w:r w:rsidRPr="000B5579">
        <w:rPr>
          <w:sz w:val="20"/>
          <w:lang w:val="en-US"/>
        </w:rPr>
        <w:t>, 1375–1378 (2001).</w:t>
      </w:r>
    </w:p>
    <w:p w14:paraId="11251CD1" w14:textId="77777777" w:rsidR="000B5579" w:rsidRPr="000B5579" w:rsidRDefault="000B5579" w:rsidP="006B213D">
      <w:pPr>
        <w:pStyle w:val="Bibliography"/>
        <w:spacing w:line="240" w:lineRule="auto"/>
        <w:rPr>
          <w:sz w:val="20"/>
          <w:lang w:val="en-US"/>
        </w:rPr>
      </w:pPr>
      <w:r w:rsidRPr="000B5579">
        <w:rPr>
          <w:sz w:val="20"/>
          <w:lang w:val="en-US"/>
        </w:rPr>
        <w:t>30.</w:t>
      </w:r>
      <w:r w:rsidRPr="000B5579">
        <w:rPr>
          <w:sz w:val="20"/>
          <w:lang w:val="en-US"/>
        </w:rPr>
        <w:tab/>
        <w:t xml:space="preserve">Taubenberger, J. &amp; Morens, D. 1918 Influenza: the Mother of All Pandemics. </w:t>
      </w:r>
      <w:r w:rsidRPr="000B5579">
        <w:rPr>
          <w:i/>
          <w:iCs/>
          <w:sz w:val="20"/>
          <w:lang w:val="en-US"/>
        </w:rPr>
        <w:t>Emerg. Infect. Dis. J.</w:t>
      </w:r>
      <w:r w:rsidRPr="000B5579">
        <w:rPr>
          <w:sz w:val="20"/>
          <w:lang w:val="en-US"/>
        </w:rPr>
        <w:t xml:space="preserve"> </w:t>
      </w:r>
      <w:r w:rsidRPr="000B5579">
        <w:rPr>
          <w:b/>
          <w:bCs/>
          <w:sz w:val="20"/>
          <w:lang w:val="en-US"/>
        </w:rPr>
        <w:t>12</w:t>
      </w:r>
      <w:r w:rsidRPr="000B5579">
        <w:rPr>
          <w:sz w:val="20"/>
          <w:lang w:val="en-US"/>
        </w:rPr>
        <w:t>, 15 (2006).</w:t>
      </w:r>
    </w:p>
    <w:p w14:paraId="57CF3931" w14:textId="77777777" w:rsidR="000B5579" w:rsidRPr="000B5579" w:rsidRDefault="000B5579" w:rsidP="006B213D">
      <w:pPr>
        <w:pStyle w:val="Bibliography"/>
        <w:spacing w:line="240" w:lineRule="auto"/>
        <w:rPr>
          <w:sz w:val="20"/>
          <w:lang w:val="en-US"/>
        </w:rPr>
      </w:pPr>
      <w:r w:rsidRPr="000B5579">
        <w:rPr>
          <w:sz w:val="20"/>
          <w:lang w:val="en-US"/>
        </w:rPr>
        <w:t>31.</w:t>
      </w:r>
      <w:r w:rsidRPr="000B5579">
        <w:rPr>
          <w:sz w:val="20"/>
          <w:lang w:val="en-US"/>
        </w:rPr>
        <w:tab/>
        <w:t xml:space="preserve">Dawood, F. S. </w:t>
      </w:r>
      <w:r w:rsidRPr="000B5579">
        <w:rPr>
          <w:i/>
          <w:iCs/>
          <w:sz w:val="20"/>
          <w:lang w:val="en-US"/>
        </w:rPr>
        <w:t>et al.</w:t>
      </w:r>
      <w:r w:rsidRPr="000B5579">
        <w:rPr>
          <w:sz w:val="20"/>
          <w:lang w:val="en-US"/>
        </w:rPr>
        <w:t xml:space="preserve"> Estimated global mortality associated with the first 12 months of 2009 pandemic influenza A H1N1 virus circulation: a modelling study. </w:t>
      </w:r>
      <w:r w:rsidRPr="000B5579">
        <w:rPr>
          <w:i/>
          <w:iCs/>
          <w:sz w:val="20"/>
          <w:lang w:val="en-US"/>
        </w:rPr>
        <w:t>Lancet Infect. Dis.</w:t>
      </w:r>
      <w:r w:rsidRPr="000B5579">
        <w:rPr>
          <w:sz w:val="20"/>
          <w:lang w:val="en-US"/>
        </w:rPr>
        <w:t xml:space="preserve"> </w:t>
      </w:r>
      <w:r w:rsidRPr="000B5579">
        <w:rPr>
          <w:b/>
          <w:bCs/>
          <w:sz w:val="20"/>
          <w:lang w:val="en-US"/>
        </w:rPr>
        <w:t>12</w:t>
      </w:r>
      <w:r w:rsidRPr="000B5579">
        <w:rPr>
          <w:sz w:val="20"/>
          <w:lang w:val="en-US"/>
        </w:rPr>
        <w:t>, 687–695 (2012).</w:t>
      </w:r>
    </w:p>
    <w:p w14:paraId="43D200A4" w14:textId="77777777" w:rsidR="000B5579" w:rsidRPr="000B5579" w:rsidRDefault="000B5579" w:rsidP="006B213D">
      <w:pPr>
        <w:pStyle w:val="Bibliography"/>
        <w:spacing w:line="240" w:lineRule="auto"/>
        <w:rPr>
          <w:sz w:val="20"/>
          <w:lang w:val="en-US"/>
        </w:rPr>
      </w:pPr>
      <w:r w:rsidRPr="000B5579">
        <w:rPr>
          <w:sz w:val="20"/>
          <w:lang w:val="en-US"/>
        </w:rPr>
        <w:t>32.</w:t>
      </w:r>
      <w:r w:rsidRPr="000B5579">
        <w:rPr>
          <w:sz w:val="20"/>
          <w:lang w:val="en-US"/>
        </w:rPr>
        <w:tab/>
        <w:t xml:space="preserve">Verity, R. </w:t>
      </w:r>
      <w:r w:rsidRPr="000B5579">
        <w:rPr>
          <w:i/>
          <w:iCs/>
          <w:sz w:val="20"/>
          <w:lang w:val="en-US"/>
        </w:rPr>
        <w:t>et al.</w:t>
      </w:r>
      <w:r w:rsidRPr="000B5579">
        <w:rPr>
          <w:sz w:val="20"/>
          <w:lang w:val="en-US"/>
        </w:rPr>
        <w:t xml:space="preserve"> Estimates of the severity of coronavirus disease 2019: a model-based analysis. </w:t>
      </w:r>
      <w:r w:rsidRPr="000B5579">
        <w:rPr>
          <w:i/>
          <w:iCs/>
          <w:sz w:val="20"/>
          <w:lang w:val="en-US"/>
        </w:rPr>
        <w:t>Lancet Infect. Dis.</w:t>
      </w:r>
      <w:r w:rsidRPr="000B5579">
        <w:rPr>
          <w:sz w:val="20"/>
          <w:lang w:val="en-US"/>
        </w:rPr>
        <w:t xml:space="preserve"> </w:t>
      </w:r>
      <w:r w:rsidRPr="000B5579">
        <w:rPr>
          <w:b/>
          <w:bCs/>
          <w:sz w:val="20"/>
          <w:lang w:val="en-US"/>
        </w:rPr>
        <w:t>20</w:t>
      </w:r>
      <w:r w:rsidRPr="000B5579">
        <w:rPr>
          <w:sz w:val="20"/>
          <w:lang w:val="en-US"/>
        </w:rPr>
        <w:t>, 669–677 (2020).</w:t>
      </w:r>
    </w:p>
    <w:p w14:paraId="6A6F665F" w14:textId="77777777" w:rsidR="000B5579" w:rsidRPr="000B5579" w:rsidRDefault="000B5579" w:rsidP="006B213D">
      <w:pPr>
        <w:pStyle w:val="Bibliography"/>
        <w:spacing w:line="240" w:lineRule="auto"/>
        <w:rPr>
          <w:sz w:val="20"/>
          <w:lang w:val="en-US"/>
        </w:rPr>
      </w:pPr>
      <w:r w:rsidRPr="000B5579">
        <w:rPr>
          <w:sz w:val="20"/>
          <w:lang w:val="en-US"/>
        </w:rPr>
        <w:t>33.</w:t>
      </w:r>
      <w:r w:rsidRPr="000B5579">
        <w:rPr>
          <w:sz w:val="20"/>
          <w:lang w:val="en-US"/>
        </w:rPr>
        <w:tab/>
        <w:t xml:space="preserve">Biggerstaff, M., Cauchemez, S., Reed, C., Gambhir, M. &amp; Finelli, L. Estimates of the reproduction number for seasonal, pandemic, and zoonotic influenza: a systematic review of the literature. </w:t>
      </w:r>
      <w:r w:rsidRPr="000B5579">
        <w:rPr>
          <w:i/>
          <w:iCs/>
          <w:sz w:val="20"/>
          <w:lang w:val="en-US"/>
        </w:rPr>
        <w:t>BMC Infect. Dis.</w:t>
      </w:r>
      <w:r w:rsidRPr="000B5579">
        <w:rPr>
          <w:sz w:val="20"/>
          <w:lang w:val="en-US"/>
        </w:rPr>
        <w:t xml:space="preserve"> </w:t>
      </w:r>
      <w:r w:rsidRPr="000B5579">
        <w:rPr>
          <w:b/>
          <w:bCs/>
          <w:sz w:val="20"/>
          <w:lang w:val="en-US"/>
        </w:rPr>
        <w:t>14</w:t>
      </w:r>
      <w:r w:rsidRPr="000B5579">
        <w:rPr>
          <w:sz w:val="20"/>
          <w:lang w:val="en-US"/>
        </w:rPr>
        <w:t>, 480 (2014).</w:t>
      </w:r>
    </w:p>
    <w:p w14:paraId="4EB73FB3" w14:textId="77777777" w:rsidR="000B5579" w:rsidRPr="000B5579" w:rsidRDefault="000B5579" w:rsidP="006B213D">
      <w:pPr>
        <w:pStyle w:val="Bibliography"/>
        <w:spacing w:line="240" w:lineRule="auto"/>
        <w:rPr>
          <w:sz w:val="20"/>
          <w:lang w:val="en-US"/>
        </w:rPr>
      </w:pPr>
      <w:r w:rsidRPr="000B5579">
        <w:rPr>
          <w:sz w:val="20"/>
          <w:lang w:val="en-US"/>
        </w:rPr>
        <w:t>34.</w:t>
      </w:r>
      <w:r w:rsidRPr="000B5579">
        <w:rPr>
          <w:sz w:val="20"/>
          <w:lang w:val="en-US"/>
        </w:rPr>
        <w:tab/>
        <w:t xml:space="preserve">Zhao, S. </w:t>
      </w:r>
      <w:r w:rsidRPr="000B5579">
        <w:rPr>
          <w:i/>
          <w:iCs/>
          <w:sz w:val="20"/>
          <w:lang w:val="en-US"/>
        </w:rPr>
        <w:t>et al.</w:t>
      </w:r>
      <w:r w:rsidRPr="000B5579">
        <w:rPr>
          <w:sz w:val="20"/>
          <w:lang w:val="en-US"/>
        </w:rPr>
        <w:t xml:space="preserve"> Preliminary estimation of the basic reproduction number of novel coronavirus (2019-nCoV) in China, from 2019 to 2020: A data-driven analysis in the early phase of the outbreak. </w:t>
      </w:r>
      <w:r w:rsidRPr="000B5579">
        <w:rPr>
          <w:i/>
          <w:iCs/>
          <w:sz w:val="20"/>
          <w:lang w:val="en-US"/>
        </w:rPr>
        <w:t>Int. J. Infect. Dis.</w:t>
      </w:r>
      <w:r w:rsidRPr="000B5579">
        <w:rPr>
          <w:sz w:val="20"/>
          <w:lang w:val="en-US"/>
        </w:rPr>
        <w:t xml:space="preserve"> </w:t>
      </w:r>
      <w:r w:rsidRPr="000B5579">
        <w:rPr>
          <w:b/>
          <w:bCs/>
          <w:sz w:val="20"/>
          <w:lang w:val="en-US"/>
        </w:rPr>
        <w:t>92</w:t>
      </w:r>
      <w:r w:rsidRPr="000B5579">
        <w:rPr>
          <w:sz w:val="20"/>
          <w:lang w:val="en-US"/>
        </w:rPr>
        <w:t>, 214–217 (2020).</w:t>
      </w:r>
    </w:p>
    <w:p w14:paraId="67139329" w14:textId="77777777" w:rsidR="000B5579" w:rsidRPr="000B5579" w:rsidRDefault="000B5579" w:rsidP="006B213D">
      <w:pPr>
        <w:pStyle w:val="Bibliography"/>
        <w:spacing w:line="240" w:lineRule="auto"/>
        <w:rPr>
          <w:sz w:val="20"/>
          <w:lang w:val="en-US"/>
        </w:rPr>
      </w:pPr>
      <w:r w:rsidRPr="000B5579">
        <w:rPr>
          <w:sz w:val="20"/>
          <w:lang w:val="en-US"/>
        </w:rPr>
        <w:t>35.</w:t>
      </w:r>
      <w:r w:rsidRPr="000B5579">
        <w:rPr>
          <w:sz w:val="20"/>
          <w:lang w:val="en-US"/>
        </w:rPr>
        <w:tab/>
        <w:t xml:space="preserve">Merckx, J. </w:t>
      </w:r>
      <w:r w:rsidRPr="000B5579">
        <w:rPr>
          <w:i/>
          <w:iCs/>
          <w:sz w:val="20"/>
          <w:lang w:val="en-US"/>
        </w:rPr>
        <w:t>et al.</w:t>
      </w:r>
      <w:r w:rsidRPr="000B5579">
        <w:rPr>
          <w:sz w:val="20"/>
          <w:lang w:val="en-US"/>
        </w:rPr>
        <w:t xml:space="preserve"> Diagnostic Accuracy of Novel and Traditional Rapid Tests for Influenza Infection Compared With Reverse Transcriptase Polymerase Chain Reaction. </w:t>
      </w:r>
      <w:r w:rsidRPr="000B5579">
        <w:rPr>
          <w:i/>
          <w:iCs/>
          <w:sz w:val="20"/>
          <w:lang w:val="en-US"/>
        </w:rPr>
        <w:t>Ann. Intern. Med.</w:t>
      </w:r>
      <w:r w:rsidRPr="000B5579">
        <w:rPr>
          <w:sz w:val="20"/>
          <w:lang w:val="en-US"/>
        </w:rPr>
        <w:t xml:space="preserve"> </w:t>
      </w:r>
      <w:r w:rsidRPr="000B5579">
        <w:rPr>
          <w:b/>
          <w:bCs/>
          <w:sz w:val="20"/>
          <w:lang w:val="en-US"/>
        </w:rPr>
        <w:t>167</w:t>
      </w:r>
      <w:r w:rsidRPr="000B5579">
        <w:rPr>
          <w:sz w:val="20"/>
          <w:lang w:val="en-US"/>
        </w:rPr>
        <w:t>, 394–409 (2017).</w:t>
      </w:r>
    </w:p>
    <w:p w14:paraId="750183A1" w14:textId="77777777" w:rsidR="000B5579" w:rsidRPr="000B5579" w:rsidRDefault="000B5579" w:rsidP="006B213D">
      <w:pPr>
        <w:pStyle w:val="Bibliography"/>
        <w:spacing w:line="240" w:lineRule="auto"/>
        <w:rPr>
          <w:sz w:val="20"/>
          <w:lang w:val="en-US"/>
        </w:rPr>
      </w:pPr>
      <w:r w:rsidRPr="000B5579">
        <w:rPr>
          <w:sz w:val="20"/>
          <w:lang w:val="en-US"/>
        </w:rPr>
        <w:t>36.</w:t>
      </w:r>
      <w:r w:rsidRPr="000B5579">
        <w:rPr>
          <w:sz w:val="20"/>
          <w:lang w:val="en-US"/>
        </w:rPr>
        <w:tab/>
        <w:t xml:space="preserve">Smith, L. E. </w:t>
      </w:r>
      <w:r w:rsidRPr="000B5579">
        <w:rPr>
          <w:i/>
          <w:iCs/>
          <w:sz w:val="20"/>
          <w:lang w:val="en-US"/>
        </w:rPr>
        <w:t>et al.</w:t>
      </w:r>
      <w:r w:rsidRPr="000B5579">
        <w:rPr>
          <w:sz w:val="20"/>
          <w:lang w:val="en-US"/>
        </w:rPr>
        <w:t xml:space="preserve"> A systematic review of factors affecting intended and actual adherence with antiviral medication as treatment or prophylaxis in seasonal and pandemic flu. </w:t>
      </w:r>
      <w:r w:rsidRPr="000B5579">
        <w:rPr>
          <w:i/>
          <w:iCs/>
          <w:sz w:val="20"/>
          <w:lang w:val="en-US"/>
        </w:rPr>
        <w:t>Influenza Other Respir. Viruses</w:t>
      </w:r>
      <w:r w:rsidRPr="000B5579">
        <w:rPr>
          <w:sz w:val="20"/>
          <w:lang w:val="en-US"/>
        </w:rPr>
        <w:t xml:space="preserve"> </w:t>
      </w:r>
      <w:r w:rsidRPr="000B5579">
        <w:rPr>
          <w:b/>
          <w:bCs/>
          <w:sz w:val="20"/>
          <w:lang w:val="en-US"/>
        </w:rPr>
        <w:t>10</w:t>
      </w:r>
      <w:r w:rsidRPr="000B5579">
        <w:rPr>
          <w:sz w:val="20"/>
          <w:lang w:val="en-US"/>
        </w:rPr>
        <w:t>, 462–478 (2016).</w:t>
      </w:r>
    </w:p>
    <w:p w14:paraId="56239B5E" w14:textId="77777777" w:rsidR="000B5579" w:rsidRPr="000B5579" w:rsidRDefault="000B5579" w:rsidP="006B213D">
      <w:pPr>
        <w:pStyle w:val="Bibliography"/>
        <w:spacing w:line="240" w:lineRule="auto"/>
        <w:rPr>
          <w:sz w:val="20"/>
          <w:lang w:val="en-US"/>
        </w:rPr>
      </w:pPr>
      <w:r w:rsidRPr="000B5579">
        <w:rPr>
          <w:sz w:val="20"/>
          <w:lang w:val="en-US"/>
        </w:rPr>
        <w:t>37.</w:t>
      </w:r>
      <w:r w:rsidRPr="000B5579">
        <w:rPr>
          <w:sz w:val="20"/>
          <w:lang w:val="en-US"/>
        </w:rPr>
        <w:tab/>
        <w:t xml:space="preserve">Han, A. X. </w:t>
      </w:r>
      <w:r w:rsidRPr="000B5579">
        <w:rPr>
          <w:i/>
          <w:iCs/>
          <w:sz w:val="20"/>
          <w:lang w:val="en-US"/>
        </w:rPr>
        <w:t>et al.</w:t>
      </w:r>
      <w:r w:rsidRPr="000B5579">
        <w:rPr>
          <w:sz w:val="20"/>
          <w:lang w:val="en-US"/>
        </w:rPr>
        <w:t xml:space="preserve"> Estimating the potential impact and diagnostic requirements for SARS-CoV-2 test-and-treat programs. </w:t>
      </w:r>
      <w:r w:rsidRPr="000B5579">
        <w:rPr>
          <w:i/>
          <w:iCs/>
          <w:sz w:val="20"/>
          <w:lang w:val="en-US"/>
        </w:rPr>
        <w:t>Nat. Commun.</w:t>
      </w:r>
      <w:r w:rsidRPr="000B5579">
        <w:rPr>
          <w:sz w:val="20"/>
          <w:lang w:val="en-US"/>
        </w:rPr>
        <w:t xml:space="preserve"> </w:t>
      </w:r>
      <w:r w:rsidRPr="000B5579">
        <w:rPr>
          <w:b/>
          <w:bCs/>
          <w:sz w:val="20"/>
          <w:lang w:val="en-US"/>
        </w:rPr>
        <w:t>14</w:t>
      </w:r>
      <w:r w:rsidRPr="000B5579">
        <w:rPr>
          <w:sz w:val="20"/>
          <w:lang w:val="en-US"/>
        </w:rPr>
        <w:t>, 7981 (2023).</w:t>
      </w:r>
    </w:p>
    <w:p w14:paraId="2F0C43EF" w14:textId="34C120CA" w:rsidR="000B5579" w:rsidRPr="000B5579" w:rsidRDefault="000B5579" w:rsidP="006B213D">
      <w:pPr>
        <w:pStyle w:val="Bibliography"/>
        <w:spacing w:line="240" w:lineRule="auto"/>
        <w:rPr>
          <w:sz w:val="20"/>
          <w:lang w:val="en-US"/>
        </w:rPr>
      </w:pPr>
      <w:r w:rsidRPr="000B5579">
        <w:rPr>
          <w:sz w:val="20"/>
          <w:lang w:val="en-US"/>
        </w:rPr>
        <w:t>38.</w:t>
      </w:r>
      <w:r w:rsidRPr="000B5579">
        <w:rPr>
          <w:sz w:val="20"/>
          <w:lang w:val="en-US"/>
        </w:rPr>
        <w:tab/>
        <w:t xml:space="preserve">Haug, N. </w:t>
      </w:r>
      <w:r w:rsidRPr="000B5579">
        <w:rPr>
          <w:i/>
          <w:iCs/>
          <w:sz w:val="20"/>
          <w:lang w:val="en-US"/>
        </w:rPr>
        <w:t>et al.</w:t>
      </w:r>
      <w:r w:rsidRPr="000B5579">
        <w:rPr>
          <w:sz w:val="20"/>
          <w:lang w:val="en-US"/>
        </w:rPr>
        <w:t xml:space="preserve"> </w:t>
      </w:r>
      <w:r w:rsidR="00035613">
        <w:rPr>
          <w:sz w:val="20"/>
          <w:lang w:val="en-US"/>
        </w:rPr>
        <w:t>w</w:t>
      </w:r>
      <w:r w:rsidRPr="000B5579">
        <w:rPr>
          <w:sz w:val="20"/>
          <w:lang w:val="en-US"/>
        </w:rPr>
        <w:t xml:space="preserve">. </w:t>
      </w:r>
      <w:r w:rsidRPr="000B5579">
        <w:rPr>
          <w:i/>
          <w:iCs/>
          <w:sz w:val="20"/>
          <w:lang w:val="en-US"/>
        </w:rPr>
        <w:t>Nat. Hum. Behav.</w:t>
      </w:r>
      <w:r w:rsidRPr="000B5579">
        <w:rPr>
          <w:sz w:val="20"/>
          <w:lang w:val="en-US"/>
        </w:rPr>
        <w:t xml:space="preserve"> </w:t>
      </w:r>
      <w:r w:rsidRPr="000B5579">
        <w:rPr>
          <w:b/>
          <w:bCs/>
          <w:sz w:val="20"/>
          <w:lang w:val="en-US"/>
        </w:rPr>
        <w:t>4</w:t>
      </w:r>
      <w:r w:rsidRPr="000B5579">
        <w:rPr>
          <w:sz w:val="20"/>
          <w:lang w:val="en-US"/>
        </w:rPr>
        <w:t>, 1303–1312 (2020).</w:t>
      </w:r>
    </w:p>
    <w:p w14:paraId="3861DDAC" w14:textId="493269FA" w:rsidR="0045381F" w:rsidRPr="00A446F7" w:rsidRDefault="00F04E1F" w:rsidP="006B213D">
      <w:pPr>
        <w:pStyle w:val="Bibliography"/>
        <w:spacing w:line="240" w:lineRule="auto"/>
      </w:pPr>
      <w:r w:rsidRPr="00F04787">
        <w:rPr>
          <w:lang w:val="en-US"/>
        </w:rPr>
        <w:fldChar w:fldCharType="end"/>
      </w:r>
      <w:r w:rsidR="00176B6C" w:rsidRPr="00A446F7">
        <w:t xml:space="preserve"> </w:t>
      </w:r>
    </w:p>
    <w:sectPr w:rsidR="0045381F" w:rsidRPr="00A446F7" w:rsidSect="00672D13">
      <w:footerReference w:type="even" r:id="rId21"/>
      <w:footerReference w:type="default" r:id="rId22"/>
      <w:pgSz w:w="11900" w:h="16840"/>
      <w:pgMar w:top="1440" w:right="1440" w:bottom="1440" w:left="1440"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693C56" w16cex:dateUtc="2025-02-06T15:14:00Z"/>
  <w16cex:commentExtensible w16cex:durableId="3BFFC1DC" w16cex:dateUtc="2025-02-06T15:37:00Z"/>
  <w16cex:commentExtensible w16cex:durableId="74882820" w16cex:dateUtc="2025-02-06T15:40:00Z"/>
  <w16cex:commentExtensible w16cex:durableId="5999E2D0" w16cex:dateUtc="2025-02-06T15:47:00Z"/>
  <w16cex:commentExtensible w16cex:durableId="69F11869" w16cex:dateUtc="2025-02-06T15:53: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4ABCFC" w14:textId="77777777" w:rsidR="00071619" w:rsidRDefault="00071619" w:rsidP="00D82297">
      <w:r>
        <w:separator/>
      </w:r>
    </w:p>
  </w:endnote>
  <w:endnote w:type="continuationSeparator" w:id="0">
    <w:p w14:paraId="7DA8B647" w14:textId="77777777" w:rsidR="00071619" w:rsidRDefault="00071619" w:rsidP="00D822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13094020"/>
      <w:docPartObj>
        <w:docPartGallery w:val="Page Numbers (Bottom of Page)"/>
        <w:docPartUnique/>
      </w:docPartObj>
    </w:sdtPr>
    <w:sdtEndPr>
      <w:rPr>
        <w:rStyle w:val="PageNumber"/>
      </w:rPr>
    </w:sdtEndPr>
    <w:sdtContent>
      <w:p w14:paraId="1E1C24C9" w14:textId="1D04B69C" w:rsidR="00282B94" w:rsidRDefault="00282B94" w:rsidP="00257AB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CB878D" w14:textId="77777777" w:rsidR="00282B94" w:rsidRDefault="00282B94" w:rsidP="00D822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238830186"/>
      <w:docPartObj>
        <w:docPartGallery w:val="Page Numbers (Bottom of Page)"/>
        <w:docPartUnique/>
      </w:docPartObj>
    </w:sdtPr>
    <w:sdtEndPr>
      <w:rPr>
        <w:rStyle w:val="PageNumber"/>
        <w:sz w:val="20"/>
        <w:szCs w:val="20"/>
      </w:rPr>
    </w:sdtEndPr>
    <w:sdtContent>
      <w:p w14:paraId="47368F44" w14:textId="1E067FC9" w:rsidR="00282B94" w:rsidRDefault="00282B94" w:rsidP="00257AB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7085F22" w14:textId="77777777" w:rsidR="00282B94" w:rsidRDefault="00282B94" w:rsidP="00D8229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516E38" w14:textId="77777777" w:rsidR="00071619" w:rsidRDefault="00071619" w:rsidP="00D82297">
      <w:r>
        <w:separator/>
      </w:r>
    </w:p>
  </w:footnote>
  <w:footnote w:type="continuationSeparator" w:id="0">
    <w:p w14:paraId="21B9B7A5" w14:textId="77777777" w:rsidR="00071619" w:rsidRDefault="00071619" w:rsidP="00D822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824F93"/>
    <w:multiLevelType w:val="hybridMultilevel"/>
    <w:tmpl w:val="26A84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81F"/>
    <w:rsid w:val="0000541B"/>
    <w:rsid w:val="000073DE"/>
    <w:rsid w:val="000206A9"/>
    <w:rsid w:val="000221BB"/>
    <w:rsid w:val="00024C8D"/>
    <w:rsid w:val="00035613"/>
    <w:rsid w:val="00043A27"/>
    <w:rsid w:val="00044468"/>
    <w:rsid w:val="00052441"/>
    <w:rsid w:val="00054693"/>
    <w:rsid w:val="00060F58"/>
    <w:rsid w:val="0006411B"/>
    <w:rsid w:val="00064EFA"/>
    <w:rsid w:val="00070140"/>
    <w:rsid w:val="0007093A"/>
    <w:rsid w:val="00071619"/>
    <w:rsid w:val="00076EEF"/>
    <w:rsid w:val="00081F38"/>
    <w:rsid w:val="00087980"/>
    <w:rsid w:val="00091EDC"/>
    <w:rsid w:val="000B0833"/>
    <w:rsid w:val="000B3F17"/>
    <w:rsid w:val="000B5579"/>
    <w:rsid w:val="000B7B15"/>
    <w:rsid w:val="000C153F"/>
    <w:rsid w:val="000C44DA"/>
    <w:rsid w:val="000D2EA6"/>
    <w:rsid w:val="000D6702"/>
    <w:rsid w:val="000E18B6"/>
    <w:rsid w:val="000E34A0"/>
    <w:rsid w:val="000E4E2D"/>
    <w:rsid w:val="000E6E23"/>
    <w:rsid w:val="000F0030"/>
    <w:rsid w:val="00101368"/>
    <w:rsid w:val="00103F19"/>
    <w:rsid w:val="00110B72"/>
    <w:rsid w:val="00114C31"/>
    <w:rsid w:val="00115295"/>
    <w:rsid w:val="00130187"/>
    <w:rsid w:val="00130EC9"/>
    <w:rsid w:val="001318F5"/>
    <w:rsid w:val="00134B19"/>
    <w:rsid w:val="00134FF6"/>
    <w:rsid w:val="00137D74"/>
    <w:rsid w:val="0014604F"/>
    <w:rsid w:val="001507AC"/>
    <w:rsid w:val="00163FD7"/>
    <w:rsid w:val="0016535E"/>
    <w:rsid w:val="001666CE"/>
    <w:rsid w:val="001761A1"/>
    <w:rsid w:val="00176B6C"/>
    <w:rsid w:val="00181AB2"/>
    <w:rsid w:val="001939E6"/>
    <w:rsid w:val="00194561"/>
    <w:rsid w:val="001A3B95"/>
    <w:rsid w:val="001A3D8C"/>
    <w:rsid w:val="001A5A8C"/>
    <w:rsid w:val="001A77FD"/>
    <w:rsid w:val="001B626F"/>
    <w:rsid w:val="001C1DC0"/>
    <w:rsid w:val="001C66B2"/>
    <w:rsid w:val="001F1788"/>
    <w:rsid w:val="001F7136"/>
    <w:rsid w:val="001F7CB6"/>
    <w:rsid w:val="0020120A"/>
    <w:rsid w:val="00206F66"/>
    <w:rsid w:val="00215E2C"/>
    <w:rsid w:val="00217666"/>
    <w:rsid w:val="00250B58"/>
    <w:rsid w:val="00251AB5"/>
    <w:rsid w:val="002545B1"/>
    <w:rsid w:val="00257ABA"/>
    <w:rsid w:val="00263184"/>
    <w:rsid w:val="00263F68"/>
    <w:rsid w:val="00270B63"/>
    <w:rsid w:val="002720DD"/>
    <w:rsid w:val="00276E94"/>
    <w:rsid w:val="0027726B"/>
    <w:rsid w:val="002824D6"/>
    <w:rsid w:val="00282B94"/>
    <w:rsid w:val="002851F2"/>
    <w:rsid w:val="002865FF"/>
    <w:rsid w:val="00287C9F"/>
    <w:rsid w:val="002A34EA"/>
    <w:rsid w:val="002A4D31"/>
    <w:rsid w:val="002A5FC5"/>
    <w:rsid w:val="002A7D73"/>
    <w:rsid w:val="002B0C95"/>
    <w:rsid w:val="002B436B"/>
    <w:rsid w:val="002C48AA"/>
    <w:rsid w:val="002D5CD8"/>
    <w:rsid w:val="002D69C7"/>
    <w:rsid w:val="002E29E8"/>
    <w:rsid w:val="002E4231"/>
    <w:rsid w:val="002E46FB"/>
    <w:rsid w:val="002F4621"/>
    <w:rsid w:val="003022AB"/>
    <w:rsid w:val="00302547"/>
    <w:rsid w:val="003102E8"/>
    <w:rsid w:val="003112BE"/>
    <w:rsid w:val="00312DA6"/>
    <w:rsid w:val="00321444"/>
    <w:rsid w:val="00326D66"/>
    <w:rsid w:val="00335846"/>
    <w:rsid w:val="00342383"/>
    <w:rsid w:val="00344915"/>
    <w:rsid w:val="00345559"/>
    <w:rsid w:val="00355A17"/>
    <w:rsid w:val="00360B28"/>
    <w:rsid w:val="0036557E"/>
    <w:rsid w:val="00367494"/>
    <w:rsid w:val="00367F02"/>
    <w:rsid w:val="00370A32"/>
    <w:rsid w:val="00370BAE"/>
    <w:rsid w:val="00370F53"/>
    <w:rsid w:val="00371D92"/>
    <w:rsid w:val="00373438"/>
    <w:rsid w:val="00382D35"/>
    <w:rsid w:val="003839DB"/>
    <w:rsid w:val="00385D20"/>
    <w:rsid w:val="00393014"/>
    <w:rsid w:val="003A1579"/>
    <w:rsid w:val="003A3CFC"/>
    <w:rsid w:val="003B5776"/>
    <w:rsid w:val="003C03FE"/>
    <w:rsid w:val="003E0246"/>
    <w:rsid w:val="003E4B26"/>
    <w:rsid w:val="003E4E4E"/>
    <w:rsid w:val="00401438"/>
    <w:rsid w:val="00402FA3"/>
    <w:rsid w:val="0043014F"/>
    <w:rsid w:val="004379B5"/>
    <w:rsid w:val="0044128B"/>
    <w:rsid w:val="004421EA"/>
    <w:rsid w:val="00444AE3"/>
    <w:rsid w:val="00445FA5"/>
    <w:rsid w:val="00450A62"/>
    <w:rsid w:val="00450F4C"/>
    <w:rsid w:val="00451795"/>
    <w:rsid w:val="0045381F"/>
    <w:rsid w:val="00455C94"/>
    <w:rsid w:val="00460BA9"/>
    <w:rsid w:val="00462193"/>
    <w:rsid w:val="00467A60"/>
    <w:rsid w:val="00471BF0"/>
    <w:rsid w:val="00476F18"/>
    <w:rsid w:val="00481AF5"/>
    <w:rsid w:val="00481DF3"/>
    <w:rsid w:val="004832E8"/>
    <w:rsid w:val="00483462"/>
    <w:rsid w:val="00485DAB"/>
    <w:rsid w:val="004A43D9"/>
    <w:rsid w:val="004A575D"/>
    <w:rsid w:val="004A657D"/>
    <w:rsid w:val="004A69FC"/>
    <w:rsid w:val="004B00BF"/>
    <w:rsid w:val="004C324A"/>
    <w:rsid w:val="004D26D0"/>
    <w:rsid w:val="004D55B6"/>
    <w:rsid w:val="004D778B"/>
    <w:rsid w:val="004E26C0"/>
    <w:rsid w:val="004E2F06"/>
    <w:rsid w:val="004E2F79"/>
    <w:rsid w:val="004E4A53"/>
    <w:rsid w:val="004F373C"/>
    <w:rsid w:val="004F7069"/>
    <w:rsid w:val="0050665A"/>
    <w:rsid w:val="0051044D"/>
    <w:rsid w:val="00512BE6"/>
    <w:rsid w:val="005200CF"/>
    <w:rsid w:val="00521E7B"/>
    <w:rsid w:val="00522CE4"/>
    <w:rsid w:val="00535576"/>
    <w:rsid w:val="00535A1B"/>
    <w:rsid w:val="0055185F"/>
    <w:rsid w:val="00552426"/>
    <w:rsid w:val="005528F0"/>
    <w:rsid w:val="0055385D"/>
    <w:rsid w:val="00554BE8"/>
    <w:rsid w:val="00571C0A"/>
    <w:rsid w:val="00575E1A"/>
    <w:rsid w:val="00583D9A"/>
    <w:rsid w:val="005938DB"/>
    <w:rsid w:val="005A0195"/>
    <w:rsid w:val="005A1F08"/>
    <w:rsid w:val="005A7129"/>
    <w:rsid w:val="005A75E4"/>
    <w:rsid w:val="005B0080"/>
    <w:rsid w:val="005B0C0B"/>
    <w:rsid w:val="005B5593"/>
    <w:rsid w:val="005B71F4"/>
    <w:rsid w:val="005C0A8C"/>
    <w:rsid w:val="005C3D6E"/>
    <w:rsid w:val="005C5D53"/>
    <w:rsid w:val="005D0502"/>
    <w:rsid w:val="005E2F89"/>
    <w:rsid w:val="005E6688"/>
    <w:rsid w:val="005F3970"/>
    <w:rsid w:val="005F6B74"/>
    <w:rsid w:val="005F7E81"/>
    <w:rsid w:val="00613E45"/>
    <w:rsid w:val="00614232"/>
    <w:rsid w:val="0061544A"/>
    <w:rsid w:val="006158EE"/>
    <w:rsid w:val="006166E3"/>
    <w:rsid w:val="0061685F"/>
    <w:rsid w:val="006265E6"/>
    <w:rsid w:val="00636B99"/>
    <w:rsid w:val="006407FC"/>
    <w:rsid w:val="00643B1A"/>
    <w:rsid w:val="00655679"/>
    <w:rsid w:val="0066170D"/>
    <w:rsid w:val="00664F5C"/>
    <w:rsid w:val="00665561"/>
    <w:rsid w:val="00665C8F"/>
    <w:rsid w:val="006662E3"/>
    <w:rsid w:val="0066702B"/>
    <w:rsid w:val="00672357"/>
    <w:rsid w:val="00672D13"/>
    <w:rsid w:val="00673DCF"/>
    <w:rsid w:val="00674060"/>
    <w:rsid w:val="006810A3"/>
    <w:rsid w:val="006810C3"/>
    <w:rsid w:val="00682CB2"/>
    <w:rsid w:val="006848AD"/>
    <w:rsid w:val="00686163"/>
    <w:rsid w:val="006920CC"/>
    <w:rsid w:val="006933F4"/>
    <w:rsid w:val="006A36B4"/>
    <w:rsid w:val="006A783A"/>
    <w:rsid w:val="006B213D"/>
    <w:rsid w:val="006B329D"/>
    <w:rsid w:val="006B39C0"/>
    <w:rsid w:val="006B3EE9"/>
    <w:rsid w:val="006C75E9"/>
    <w:rsid w:val="006C7CC5"/>
    <w:rsid w:val="006D289C"/>
    <w:rsid w:val="006D3FBB"/>
    <w:rsid w:val="006E0BD1"/>
    <w:rsid w:val="006E43E6"/>
    <w:rsid w:val="006F76EC"/>
    <w:rsid w:val="00703A7C"/>
    <w:rsid w:val="00710E25"/>
    <w:rsid w:val="00710F83"/>
    <w:rsid w:val="00714182"/>
    <w:rsid w:val="00717F95"/>
    <w:rsid w:val="00732BBA"/>
    <w:rsid w:val="00747736"/>
    <w:rsid w:val="007508CC"/>
    <w:rsid w:val="007546CB"/>
    <w:rsid w:val="00755B47"/>
    <w:rsid w:val="00757807"/>
    <w:rsid w:val="00760C56"/>
    <w:rsid w:val="00762D09"/>
    <w:rsid w:val="00765BB0"/>
    <w:rsid w:val="00775059"/>
    <w:rsid w:val="00790ECD"/>
    <w:rsid w:val="00793AA3"/>
    <w:rsid w:val="0079653B"/>
    <w:rsid w:val="00797095"/>
    <w:rsid w:val="007A0F47"/>
    <w:rsid w:val="007A44FF"/>
    <w:rsid w:val="007A6288"/>
    <w:rsid w:val="007B5913"/>
    <w:rsid w:val="007B5994"/>
    <w:rsid w:val="007C6093"/>
    <w:rsid w:val="007D3AC9"/>
    <w:rsid w:val="007D74D5"/>
    <w:rsid w:val="007E2D5B"/>
    <w:rsid w:val="007E428E"/>
    <w:rsid w:val="007F0518"/>
    <w:rsid w:val="007F1506"/>
    <w:rsid w:val="007F175C"/>
    <w:rsid w:val="00803464"/>
    <w:rsid w:val="00804B8B"/>
    <w:rsid w:val="00805038"/>
    <w:rsid w:val="0081201B"/>
    <w:rsid w:val="00813F2E"/>
    <w:rsid w:val="00817023"/>
    <w:rsid w:val="008219CA"/>
    <w:rsid w:val="00830303"/>
    <w:rsid w:val="008304F3"/>
    <w:rsid w:val="008311C1"/>
    <w:rsid w:val="00831B05"/>
    <w:rsid w:val="00833826"/>
    <w:rsid w:val="008352A8"/>
    <w:rsid w:val="00843DA6"/>
    <w:rsid w:val="008461BD"/>
    <w:rsid w:val="00860107"/>
    <w:rsid w:val="00860AEA"/>
    <w:rsid w:val="00861C80"/>
    <w:rsid w:val="0086203B"/>
    <w:rsid w:val="00867FF0"/>
    <w:rsid w:val="00875FB0"/>
    <w:rsid w:val="00887028"/>
    <w:rsid w:val="00887650"/>
    <w:rsid w:val="0089185C"/>
    <w:rsid w:val="008A0FEF"/>
    <w:rsid w:val="008A1272"/>
    <w:rsid w:val="008A1FC0"/>
    <w:rsid w:val="008A2850"/>
    <w:rsid w:val="008A5212"/>
    <w:rsid w:val="008A5DE9"/>
    <w:rsid w:val="008B083D"/>
    <w:rsid w:val="008B642D"/>
    <w:rsid w:val="008C4AC8"/>
    <w:rsid w:val="008C61D7"/>
    <w:rsid w:val="008D20B0"/>
    <w:rsid w:val="008D2B1E"/>
    <w:rsid w:val="008D554A"/>
    <w:rsid w:val="008E1E3D"/>
    <w:rsid w:val="008E5E90"/>
    <w:rsid w:val="008E626F"/>
    <w:rsid w:val="008E75DC"/>
    <w:rsid w:val="008F086B"/>
    <w:rsid w:val="008F0AEB"/>
    <w:rsid w:val="0090155F"/>
    <w:rsid w:val="00901ACC"/>
    <w:rsid w:val="00922C6C"/>
    <w:rsid w:val="00924EC9"/>
    <w:rsid w:val="00930F76"/>
    <w:rsid w:val="0094275E"/>
    <w:rsid w:val="00946414"/>
    <w:rsid w:val="00946646"/>
    <w:rsid w:val="00952D9E"/>
    <w:rsid w:val="009551BB"/>
    <w:rsid w:val="00967086"/>
    <w:rsid w:val="00970DF5"/>
    <w:rsid w:val="00973BE1"/>
    <w:rsid w:val="009754F7"/>
    <w:rsid w:val="00977BA6"/>
    <w:rsid w:val="009875E9"/>
    <w:rsid w:val="009977DE"/>
    <w:rsid w:val="00997B74"/>
    <w:rsid w:val="009B167B"/>
    <w:rsid w:val="009B57C3"/>
    <w:rsid w:val="009C058B"/>
    <w:rsid w:val="009C0D45"/>
    <w:rsid w:val="009C1EE4"/>
    <w:rsid w:val="009C68AF"/>
    <w:rsid w:val="009C7025"/>
    <w:rsid w:val="009D2183"/>
    <w:rsid w:val="009D7F52"/>
    <w:rsid w:val="009E0875"/>
    <w:rsid w:val="009E5259"/>
    <w:rsid w:val="009E545A"/>
    <w:rsid w:val="009E5A8A"/>
    <w:rsid w:val="009E6A76"/>
    <w:rsid w:val="009F71A6"/>
    <w:rsid w:val="009F757D"/>
    <w:rsid w:val="00A048E3"/>
    <w:rsid w:val="00A16EA8"/>
    <w:rsid w:val="00A236BE"/>
    <w:rsid w:val="00A26161"/>
    <w:rsid w:val="00A26B67"/>
    <w:rsid w:val="00A34F5E"/>
    <w:rsid w:val="00A36EBC"/>
    <w:rsid w:val="00A42EC4"/>
    <w:rsid w:val="00A446F7"/>
    <w:rsid w:val="00A45B26"/>
    <w:rsid w:val="00A537CB"/>
    <w:rsid w:val="00A5578F"/>
    <w:rsid w:val="00A61A20"/>
    <w:rsid w:val="00A72AA3"/>
    <w:rsid w:val="00A74DEA"/>
    <w:rsid w:val="00A7773C"/>
    <w:rsid w:val="00A77FE7"/>
    <w:rsid w:val="00A94BB5"/>
    <w:rsid w:val="00AA3552"/>
    <w:rsid w:val="00AA4D75"/>
    <w:rsid w:val="00AB372B"/>
    <w:rsid w:val="00AB5F26"/>
    <w:rsid w:val="00AC50CE"/>
    <w:rsid w:val="00AC54A9"/>
    <w:rsid w:val="00AD2420"/>
    <w:rsid w:val="00AD4768"/>
    <w:rsid w:val="00AD48B8"/>
    <w:rsid w:val="00AD73B4"/>
    <w:rsid w:val="00AE6486"/>
    <w:rsid w:val="00AE66B8"/>
    <w:rsid w:val="00B02EE8"/>
    <w:rsid w:val="00B04110"/>
    <w:rsid w:val="00B06761"/>
    <w:rsid w:val="00B12788"/>
    <w:rsid w:val="00B13B68"/>
    <w:rsid w:val="00B1584D"/>
    <w:rsid w:val="00B25B19"/>
    <w:rsid w:val="00B25B89"/>
    <w:rsid w:val="00B43706"/>
    <w:rsid w:val="00B52477"/>
    <w:rsid w:val="00B7473E"/>
    <w:rsid w:val="00B75675"/>
    <w:rsid w:val="00B77EFA"/>
    <w:rsid w:val="00B84983"/>
    <w:rsid w:val="00B91315"/>
    <w:rsid w:val="00B91D0E"/>
    <w:rsid w:val="00B91DA1"/>
    <w:rsid w:val="00B92E50"/>
    <w:rsid w:val="00BA0EC8"/>
    <w:rsid w:val="00BA1015"/>
    <w:rsid w:val="00BA1C34"/>
    <w:rsid w:val="00BA79F3"/>
    <w:rsid w:val="00BB32DB"/>
    <w:rsid w:val="00BD00C6"/>
    <w:rsid w:val="00BD0AAF"/>
    <w:rsid w:val="00BD0B8A"/>
    <w:rsid w:val="00C0004D"/>
    <w:rsid w:val="00C3343E"/>
    <w:rsid w:val="00C35BB8"/>
    <w:rsid w:val="00C475C3"/>
    <w:rsid w:val="00C574AA"/>
    <w:rsid w:val="00C57E4E"/>
    <w:rsid w:val="00C63CAC"/>
    <w:rsid w:val="00C776D6"/>
    <w:rsid w:val="00C833F4"/>
    <w:rsid w:val="00C86312"/>
    <w:rsid w:val="00C92590"/>
    <w:rsid w:val="00C9431E"/>
    <w:rsid w:val="00C953FD"/>
    <w:rsid w:val="00CA7AD9"/>
    <w:rsid w:val="00CB0EB6"/>
    <w:rsid w:val="00CC0C5E"/>
    <w:rsid w:val="00CC2E95"/>
    <w:rsid w:val="00CC6976"/>
    <w:rsid w:val="00CD62E9"/>
    <w:rsid w:val="00CE6653"/>
    <w:rsid w:val="00D018DC"/>
    <w:rsid w:val="00D048B0"/>
    <w:rsid w:val="00D04F44"/>
    <w:rsid w:val="00D05DB0"/>
    <w:rsid w:val="00D06366"/>
    <w:rsid w:val="00D07702"/>
    <w:rsid w:val="00D1096A"/>
    <w:rsid w:val="00D1473C"/>
    <w:rsid w:val="00D2203B"/>
    <w:rsid w:val="00D236A5"/>
    <w:rsid w:val="00D33847"/>
    <w:rsid w:val="00D339C7"/>
    <w:rsid w:val="00D42EE4"/>
    <w:rsid w:val="00D448EB"/>
    <w:rsid w:val="00D573CF"/>
    <w:rsid w:val="00D62237"/>
    <w:rsid w:val="00D641D1"/>
    <w:rsid w:val="00D74976"/>
    <w:rsid w:val="00D82297"/>
    <w:rsid w:val="00D84C61"/>
    <w:rsid w:val="00D934EA"/>
    <w:rsid w:val="00DA3B93"/>
    <w:rsid w:val="00DA48B5"/>
    <w:rsid w:val="00DA75C6"/>
    <w:rsid w:val="00DB323B"/>
    <w:rsid w:val="00DB655D"/>
    <w:rsid w:val="00DB71F3"/>
    <w:rsid w:val="00DB79D0"/>
    <w:rsid w:val="00DB7E22"/>
    <w:rsid w:val="00DC0617"/>
    <w:rsid w:val="00DC47A4"/>
    <w:rsid w:val="00DE4CAD"/>
    <w:rsid w:val="00DE746A"/>
    <w:rsid w:val="00DE752A"/>
    <w:rsid w:val="00E05143"/>
    <w:rsid w:val="00E07866"/>
    <w:rsid w:val="00E07FC8"/>
    <w:rsid w:val="00E107CC"/>
    <w:rsid w:val="00E119D3"/>
    <w:rsid w:val="00E16A24"/>
    <w:rsid w:val="00E22F6C"/>
    <w:rsid w:val="00E32CF9"/>
    <w:rsid w:val="00E4150B"/>
    <w:rsid w:val="00E53B07"/>
    <w:rsid w:val="00E57054"/>
    <w:rsid w:val="00E5774F"/>
    <w:rsid w:val="00E60446"/>
    <w:rsid w:val="00E6195E"/>
    <w:rsid w:val="00E62A95"/>
    <w:rsid w:val="00E64D8B"/>
    <w:rsid w:val="00E65453"/>
    <w:rsid w:val="00E70BF3"/>
    <w:rsid w:val="00E70E82"/>
    <w:rsid w:val="00E82EC7"/>
    <w:rsid w:val="00E843C9"/>
    <w:rsid w:val="00E968B9"/>
    <w:rsid w:val="00EA15FF"/>
    <w:rsid w:val="00EB1B53"/>
    <w:rsid w:val="00EB5FE1"/>
    <w:rsid w:val="00ED053F"/>
    <w:rsid w:val="00ED25FB"/>
    <w:rsid w:val="00ED7E05"/>
    <w:rsid w:val="00EE3FC2"/>
    <w:rsid w:val="00EE426B"/>
    <w:rsid w:val="00EE55C6"/>
    <w:rsid w:val="00EE759F"/>
    <w:rsid w:val="00EE7708"/>
    <w:rsid w:val="00EF10E1"/>
    <w:rsid w:val="00F04787"/>
    <w:rsid w:val="00F04E1F"/>
    <w:rsid w:val="00F13491"/>
    <w:rsid w:val="00F15139"/>
    <w:rsid w:val="00F17AF7"/>
    <w:rsid w:val="00F17BD3"/>
    <w:rsid w:val="00F200A4"/>
    <w:rsid w:val="00F20C19"/>
    <w:rsid w:val="00F2338F"/>
    <w:rsid w:val="00F27E2E"/>
    <w:rsid w:val="00F31C5C"/>
    <w:rsid w:val="00F32F1A"/>
    <w:rsid w:val="00F33A2C"/>
    <w:rsid w:val="00F352E4"/>
    <w:rsid w:val="00F41DF1"/>
    <w:rsid w:val="00F42C91"/>
    <w:rsid w:val="00F539A4"/>
    <w:rsid w:val="00F60BA7"/>
    <w:rsid w:val="00F6282C"/>
    <w:rsid w:val="00F73AF7"/>
    <w:rsid w:val="00F852D3"/>
    <w:rsid w:val="00F932A8"/>
    <w:rsid w:val="00FB1595"/>
    <w:rsid w:val="00FB2906"/>
    <w:rsid w:val="00FB3004"/>
    <w:rsid w:val="00FC1AEB"/>
    <w:rsid w:val="00FC4C97"/>
    <w:rsid w:val="00FC524C"/>
    <w:rsid w:val="00FD0E99"/>
    <w:rsid w:val="00FD144F"/>
    <w:rsid w:val="00FD7E5C"/>
    <w:rsid w:val="00FF708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101C8"/>
  <w15:chartTrackingRefBased/>
  <w15:docId w15:val="{02066294-4C71-624D-9589-2D9C331A5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SG"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446F7"/>
    <w:rPr>
      <w:rFonts w:ascii="Times New Roman" w:hAnsi="Times New Roman" w:cs="Times New Roman"/>
      <w:sz w:val="20"/>
      <w:szCs w:val="20"/>
    </w:rPr>
  </w:style>
  <w:style w:type="paragraph" w:styleId="Heading1">
    <w:name w:val="heading 1"/>
    <w:basedOn w:val="Normal"/>
    <w:next w:val="Normal"/>
    <w:link w:val="Heading1Char"/>
    <w:uiPriority w:val="9"/>
    <w:qFormat/>
    <w:rsid w:val="00C86312"/>
    <w:pPr>
      <w:spacing w:before="120" w:after="120" w:line="360" w:lineRule="auto"/>
      <w:outlineLvl w:val="0"/>
    </w:pPr>
    <w:rPr>
      <w:rFonts w:eastAsia="Times New Roman"/>
      <w:b/>
      <w:lang w:val="en-US"/>
    </w:rPr>
  </w:style>
  <w:style w:type="paragraph" w:styleId="Heading2">
    <w:name w:val="heading 2"/>
    <w:basedOn w:val="Heading1"/>
    <w:next w:val="Normal"/>
    <w:link w:val="Heading2Char"/>
    <w:uiPriority w:val="9"/>
    <w:unhideWhenUsed/>
    <w:qFormat/>
    <w:rsid w:val="00A446F7"/>
    <w:pPr>
      <w:outlineLvl w:val="1"/>
    </w:pPr>
    <w:rPr>
      <w:b w:val="0"/>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312"/>
    <w:rPr>
      <w:rFonts w:ascii="Times New Roman" w:eastAsia="Times New Roman" w:hAnsi="Times New Roman" w:cs="Times New Roman"/>
      <w:b/>
      <w:sz w:val="20"/>
      <w:szCs w:val="20"/>
      <w:lang w:val="en-US"/>
    </w:rPr>
  </w:style>
  <w:style w:type="character" w:customStyle="1" w:styleId="Heading2Char">
    <w:name w:val="Heading 2 Char"/>
    <w:basedOn w:val="DefaultParagraphFont"/>
    <w:link w:val="Heading2"/>
    <w:uiPriority w:val="9"/>
    <w:rsid w:val="00A446F7"/>
    <w:rPr>
      <w:rFonts w:ascii="Times New Roman" w:eastAsia="Times New Roman" w:hAnsi="Times New Roman" w:cs="Times New Roman"/>
      <w:i/>
      <w:lang w:val="en-US"/>
    </w:rPr>
  </w:style>
  <w:style w:type="character" w:styleId="PlaceholderText">
    <w:name w:val="Placeholder Text"/>
    <w:basedOn w:val="DefaultParagraphFont"/>
    <w:uiPriority w:val="99"/>
    <w:semiHidden/>
    <w:rsid w:val="00A446F7"/>
    <w:rPr>
      <w:color w:val="808080"/>
    </w:rPr>
  </w:style>
  <w:style w:type="paragraph" w:styleId="ListParagraph">
    <w:name w:val="List Paragraph"/>
    <w:basedOn w:val="Normal"/>
    <w:uiPriority w:val="34"/>
    <w:qFormat/>
    <w:rsid w:val="00A446F7"/>
    <w:pPr>
      <w:spacing w:line="360" w:lineRule="auto"/>
      <w:ind w:left="720"/>
      <w:contextualSpacing/>
    </w:pPr>
    <w:rPr>
      <w:rFonts w:eastAsia="Times New Roman"/>
      <w:sz w:val="24"/>
      <w:szCs w:val="24"/>
    </w:rPr>
  </w:style>
  <w:style w:type="table" w:styleId="TableGrid">
    <w:name w:val="Table Grid"/>
    <w:basedOn w:val="TableNormal"/>
    <w:uiPriority w:val="39"/>
    <w:rsid w:val="00A446F7"/>
    <w:rPr>
      <w:rFonts w:eastAsiaTheme="minorEastAsia"/>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446F7"/>
    <w:rPr>
      <w:rFonts w:eastAsiaTheme="minorEastAsia"/>
      <w:lang w:val="en-GB" w:eastAsia="zh-C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phy">
    <w:name w:val="Bibliography"/>
    <w:basedOn w:val="Normal"/>
    <w:next w:val="Normal"/>
    <w:uiPriority w:val="37"/>
    <w:unhideWhenUsed/>
    <w:rsid w:val="00A446F7"/>
    <w:pPr>
      <w:tabs>
        <w:tab w:val="left" w:pos="260"/>
        <w:tab w:val="left" w:pos="380"/>
      </w:tabs>
      <w:spacing w:line="480" w:lineRule="auto"/>
      <w:ind w:left="384" w:hanging="384"/>
    </w:pPr>
    <w:rPr>
      <w:rFonts w:eastAsia="Times New Roman"/>
      <w:sz w:val="24"/>
      <w:szCs w:val="24"/>
    </w:rPr>
  </w:style>
  <w:style w:type="paragraph" w:styleId="BalloonText">
    <w:name w:val="Balloon Text"/>
    <w:basedOn w:val="Normal"/>
    <w:link w:val="BalloonTextChar"/>
    <w:uiPriority w:val="99"/>
    <w:semiHidden/>
    <w:unhideWhenUsed/>
    <w:rsid w:val="00A446F7"/>
    <w:rPr>
      <w:rFonts w:eastAsia="Times New Roman"/>
      <w:sz w:val="18"/>
      <w:szCs w:val="18"/>
    </w:rPr>
  </w:style>
  <w:style w:type="character" w:customStyle="1" w:styleId="BalloonTextChar">
    <w:name w:val="Balloon Text Char"/>
    <w:basedOn w:val="DefaultParagraphFont"/>
    <w:link w:val="BalloonText"/>
    <w:uiPriority w:val="99"/>
    <w:semiHidden/>
    <w:rsid w:val="00A446F7"/>
    <w:rPr>
      <w:rFonts w:ascii="Times New Roman" w:eastAsia="Times New Roman" w:hAnsi="Times New Roman" w:cs="Times New Roman"/>
      <w:sz w:val="18"/>
      <w:szCs w:val="18"/>
    </w:rPr>
  </w:style>
  <w:style w:type="paragraph" w:styleId="Footer">
    <w:name w:val="footer"/>
    <w:basedOn w:val="Normal"/>
    <w:link w:val="FooterChar"/>
    <w:uiPriority w:val="99"/>
    <w:unhideWhenUsed/>
    <w:rsid w:val="00A446F7"/>
    <w:pPr>
      <w:tabs>
        <w:tab w:val="center" w:pos="4680"/>
        <w:tab w:val="right" w:pos="9360"/>
      </w:tabs>
    </w:pPr>
    <w:rPr>
      <w:rFonts w:eastAsia="Times New Roman"/>
      <w:sz w:val="24"/>
      <w:szCs w:val="24"/>
    </w:rPr>
  </w:style>
  <w:style w:type="character" w:customStyle="1" w:styleId="FooterChar">
    <w:name w:val="Footer Char"/>
    <w:basedOn w:val="DefaultParagraphFont"/>
    <w:link w:val="Footer"/>
    <w:uiPriority w:val="99"/>
    <w:rsid w:val="00A446F7"/>
    <w:rPr>
      <w:rFonts w:ascii="Times New Roman" w:eastAsia="Times New Roman" w:hAnsi="Times New Roman" w:cs="Times New Roman"/>
    </w:rPr>
  </w:style>
  <w:style w:type="character" w:styleId="PageNumber">
    <w:name w:val="page number"/>
    <w:basedOn w:val="DefaultParagraphFont"/>
    <w:uiPriority w:val="99"/>
    <w:semiHidden/>
    <w:unhideWhenUsed/>
    <w:rsid w:val="00A446F7"/>
  </w:style>
  <w:style w:type="character" w:styleId="Hyperlink">
    <w:name w:val="Hyperlink"/>
    <w:basedOn w:val="DefaultParagraphFont"/>
    <w:uiPriority w:val="99"/>
    <w:unhideWhenUsed/>
    <w:rsid w:val="00A446F7"/>
    <w:rPr>
      <w:color w:val="0000FF"/>
      <w:u w:val="single"/>
    </w:rPr>
  </w:style>
  <w:style w:type="paragraph" w:styleId="TOC2">
    <w:name w:val="toc 2"/>
    <w:basedOn w:val="Normal"/>
    <w:next w:val="Normal"/>
    <w:autoRedefine/>
    <w:uiPriority w:val="39"/>
    <w:unhideWhenUsed/>
    <w:rsid w:val="0055385D"/>
    <w:pPr>
      <w:spacing w:after="100"/>
      <w:ind w:left="200"/>
    </w:pPr>
  </w:style>
  <w:style w:type="paragraph" w:styleId="TOC1">
    <w:name w:val="toc 1"/>
    <w:basedOn w:val="Normal"/>
    <w:next w:val="Normal"/>
    <w:autoRedefine/>
    <w:uiPriority w:val="39"/>
    <w:unhideWhenUsed/>
    <w:rsid w:val="00860107"/>
    <w:pPr>
      <w:spacing w:after="100"/>
    </w:pPr>
  </w:style>
  <w:style w:type="paragraph" w:styleId="Revision">
    <w:name w:val="Revision"/>
    <w:hidden/>
    <w:uiPriority w:val="99"/>
    <w:semiHidden/>
    <w:rsid w:val="002E4231"/>
    <w:rPr>
      <w:rFonts w:ascii="Times New Roman" w:hAnsi="Times New Roman" w:cs="Times New Roman"/>
      <w:sz w:val="20"/>
      <w:szCs w:val="20"/>
    </w:rPr>
  </w:style>
  <w:style w:type="character" w:styleId="CommentReference">
    <w:name w:val="annotation reference"/>
    <w:basedOn w:val="DefaultParagraphFont"/>
    <w:uiPriority w:val="99"/>
    <w:semiHidden/>
    <w:unhideWhenUsed/>
    <w:rsid w:val="00665C8F"/>
    <w:rPr>
      <w:sz w:val="16"/>
      <w:szCs w:val="16"/>
    </w:rPr>
  </w:style>
  <w:style w:type="paragraph" w:styleId="CommentText">
    <w:name w:val="annotation text"/>
    <w:basedOn w:val="Normal"/>
    <w:link w:val="CommentTextChar"/>
    <w:uiPriority w:val="99"/>
    <w:semiHidden/>
    <w:unhideWhenUsed/>
    <w:rsid w:val="00665C8F"/>
  </w:style>
  <w:style w:type="character" w:customStyle="1" w:styleId="CommentTextChar">
    <w:name w:val="Comment Text Char"/>
    <w:basedOn w:val="DefaultParagraphFont"/>
    <w:link w:val="CommentText"/>
    <w:uiPriority w:val="99"/>
    <w:semiHidden/>
    <w:rsid w:val="00665C8F"/>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65C8F"/>
    <w:rPr>
      <w:b/>
      <w:bCs/>
    </w:rPr>
  </w:style>
  <w:style w:type="character" w:customStyle="1" w:styleId="CommentSubjectChar">
    <w:name w:val="Comment Subject Char"/>
    <w:basedOn w:val="CommentTextChar"/>
    <w:link w:val="CommentSubject"/>
    <w:uiPriority w:val="99"/>
    <w:semiHidden/>
    <w:rsid w:val="00665C8F"/>
    <w:rPr>
      <w:rFonts w:ascii="Times New Roman" w:hAnsi="Times New Roman" w:cs="Times New Roman"/>
      <w:b/>
      <w:bCs/>
      <w:sz w:val="20"/>
      <w:szCs w:val="20"/>
    </w:rPr>
  </w:style>
  <w:style w:type="character" w:styleId="UnresolvedMention">
    <w:name w:val="Unresolved Mention"/>
    <w:basedOn w:val="DefaultParagraphFont"/>
    <w:uiPriority w:val="99"/>
    <w:semiHidden/>
    <w:unhideWhenUsed/>
    <w:rsid w:val="00977BA6"/>
    <w:rPr>
      <w:color w:val="605E5C"/>
      <w:shd w:val="clear" w:color="auto" w:fill="E1DFDD"/>
    </w:rPr>
  </w:style>
  <w:style w:type="character" w:styleId="LineNumber">
    <w:name w:val="line number"/>
    <w:basedOn w:val="DefaultParagraphFont"/>
    <w:uiPriority w:val="99"/>
    <w:semiHidden/>
    <w:unhideWhenUsed/>
    <w:rsid w:val="00522CE4"/>
  </w:style>
  <w:style w:type="paragraph" w:styleId="Header">
    <w:name w:val="header"/>
    <w:basedOn w:val="Normal"/>
    <w:link w:val="HeaderChar"/>
    <w:uiPriority w:val="99"/>
    <w:unhideWhenUsed/>
    <w:rsid w:val="006B213D"/>
    <w:pPr>
      <w:tabs>
        <w:tab w:val="center" w:pos="4680"/>
        <w:tab w:val="right" w:pos="9360"/>
      </w:tabs>
    </w:pPr>
  </w:style>
  <w:style w:type="character" w:customStyle="1" w:styleId="HeaderChar">
    <w:name w:val="Header Char"/>
    <w:basedOn w:val="DefaultParagraphFont"/>
    <w:link w:val="Header"/>
    <w:uiPriority w:val="99"/>
    <w:rsid w:val="006B213D"/>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437874">
      <w:bodyDiv w:val="1"/>
      <w:marLeft w:val="0"/>
      <w:marRight w:val="0"/>
      <w:marTop w:val="0"/>
      <w:marBottom w:val="0"/>
      <w:divBdr>
        <w:top w:val="none" w:sz="0" w:space="0" w:color="auto"/>
        <w:left w:val="none" w:sz="0" w:space="0" w:color="auto"/>
        <w:bottom w:val="none" w:sz="0" w:space="0" w:color="auto"/>
        <w:right w:val="none" w:sz="0" w:space="0" w:color="auto"/>
      </w:divBdr>
    </w:div>
    <w:div w:id="123088823">
      <w:bodyDiv w:val="1"/>
      <w:marLeft w:val="0"/>
      <w:marRight w:val="0"/>
      <w:marTop w:val="0"/>
      <w:marBottom w:val="0"/>
      <w:divBdr>
        <w:top w:val="none" w:sz="0" w:space="0" w:color="auto"/>
        <w:left w:val="none" w:sz="0" w:space="0" w:color="auto"/>
        <w:bottom w:val="none" w:sz="0" w:space="0" w:color="auto"/>
        <w:right w:val="none" w:sz="0" w:space="0" w:color="auto"/>
      </w:divBdr>
    </w:div>
    <w:div w:id="724989488">
      <w:bodyDiv w:val="1"/>
      <w:marLeft w:val="0"/>
      <w:marRight w:val="0"/>
      <w:marTop w:val="0"/>
      <w:marBottom w:val="0"/>
      <w:divBdr>
        <w:top w:val="none" w:sz="0" w:space="0" w:color="auto"/>
        <w:left w:val="none" w:sz="0" w:space="0" w:color="auto"/>
        <w:bottom w:val="none" w:sz="0" w:space="0" w:color="auto"/>
        <w:right w:val="none" w:sz="0" w:space="0" w:color="auto"/>
      </w:divBdr>
    </w:div>
    <w:div w:id="726104869">
      <w:bodyDiv w:val="1"/>
      <w:marLeft w:val="0"/>
      <w:marRight w:val="0"/>
      <w:marTop w:val="0"/>
      <w:marBottom w:val="0"/>
      <w:divBdr>
        <w:top w:val="none" w:sz="0" w:space="0" w:color="auto"/>
        <w:left w:val="none" w:sz="0" w:space="0" w:color="auto"/>
        <w:bottom w:val="none" w:sz="0" w:space="0" w:color="auto"/>
        <w:right w:val="none" w:sz="0" w:space="0" w:color="auto"/>
      </w:divBdr>
    </w:div>
    <w:div w:id="826480797">
      <w:bodyDiv w:val="1"/>
      <w:marLeft w:val="0"/>
      <w:marRight w:val="0"/>
      <w:marTop w:val="0"/>
      <w:marBottom w:val="0"/>
      <w:divBdr>
        <w:top w:val="none" w:sz="0" w:space="0" w:color="auto"/>
        <w:left w:val="none" w:sz="0" w:space="0" w:color="auto"/>
        <w:bottom w:val="none" w:sz="0" w:space="0" w:color="auto"/>
        <w:right w:val="none" w:sz="0" w:space="0" w:color="auto"/>
      </w:divBdr>
    </w:div>
    <w:div w:id="957880959">
      <w:bodyDiv w:val="1"/>
      <w:marLeft w:val="0"/>
      <w:marRight w:val="0"/>
      <w:marTop w:val="0"/>
      <w:marBottom w:val="0"/>
      <w:divBdr>
        <w:top w:val="none" w:sz="0" w:space="0" w:color="auto"/>
        <w:left w:val="none" w:sz="0" w:space="0" w:color="auto"/>
        <w:bottom w:val="none" w:sz="0" w:space="0" w:color="auto"/>
        <w:right w:val="none" w:sz="0" w:space="0" w:color="auto"/>
      </w:divBdr>
    </w:div>
    <w:div w:id="1191261679">
      <w:bodyDiv w:val="1"/>
      <w:marLeft w:val="0"/>
      <w:marRight w:val="0"/>
      <w:marTop w:val="0"/>
      <w:marBottom w:val="0"/>
      <w:divBdr>
        <w:top w:val="none" w:sz="0" w:space="0" w:color="auto"/>
        <w:left w:val="none" w:sz="0" w:space="0" w:color="auto"/>
        <w:bottom w:val="none" w:sz="0" w:space="0" w:color="auto"/>
        <w:right w:val="none" w:sz="0" w:space="0" w:color="auto"/>
      </w:divBdr>
    </w:div>
    <w:div w:id="1254558296">
      <w:bodyDiv w:val="1"/>
      <w:marLeft w:val="0"/>
      <w:marRight w:val="0"/>
      <w:marTop w:val="0"/>
      <w:marBottom w:val="0"/>
      <w:divBdr>
        <w:top w:val="none" w:sz="0" w:space="0" w:color="auto"/>
        <w:left w:val="none" w:sz="0" w:space="0" w:color="auto"/>
        <w:bottom w:val="none" w:sz="0" w:space="0" w:color="auto"/>
        <w:right w:val="none" w:sz="0" w:space="0" w:color="auto"/>
      </w:divBdr>
    </w:div>
    <w:div w:id="2089955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x.han@amsterdamumc.nl"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hyperlink" Target="https://www.cdc.gov/flu/weekly/fluviewinteractive.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45212D-3085-8B47-A8E7-DA1A50E90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23</Pages>
  <Words>24197</Words>
  <Characters>137924</Characters>
  <Application>Microsoft Office Word</Application>
  <DocSecurity>0</DocSecurity>
  <Lines>1149</Lines>
  <Paragraphs>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Han</dc:creator>
  <cp:keywords/>
  <dc:description/>
  <cp:lastModifiedBy>Alvin Han</cp:lastModifiedBy>
  <cp:revision>108</cp:revision>
  <dcterms:created xsi:type="dcterms:W3CDTF">2025-02-06T22:52:00Z</dcterms:created>
  <dcterms:modified xsi:type="dcterms:W3CDTF">2025-05-08T07:47:00Z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id="Y9HIOYgJ"/&gt;&lt;style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 name="dontAskDelayCitationUpdates" value="true"/&gt;&lt;/prefs&gt;&lt;/data&gt;</vt:lpwstr>
  </property>
</Properties>
</file>