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99787" w14:textId="52D26E9C" w:rsidR="00494364" w:rsidRPr="00F76B84" w:rsidRDefault="00494364" w:rsidP="00D35DDB">
      <w:pPr>
        <w:rPr>
          <w:lang w:val="en-US" w:eastAsia="en-US"/>
        </w:rPr>
      </w:pPr>
    </w:p>
    <w:p w14:paraId="2E952B5A" w14:textId="4073C6AD" w:rsidR="00FA4206" w:rsidRDefault="00FA4206" w:rsidP="00BD3365">
      <w:pPr>
        <w:jc w:val="right"/>
        <w:rPr>
          <w:rFonts w:eastAsia="Times New Roman"/>
          <w:color w:val="000000"/>
          <w:lang w:val="en-US" w:eastAsia="en-US"/>
        </w:rPr>
      </w:pPr>
      <w:r>
        <w:rPr>
          <w:rFonts w:eastAsia="Times New Roman"/>
          <w:sz w:val="24"/>
          <w:szCs w:val="24"/>
        </w:rPr>
        <w:t xml:space="preserve"> </w:t>
      </w:r>
      <w:r w:rsidR="003A6975">
        <w:rPr>
          <w:noProof/>
          <w:lang w:val="en-GB" w:eastAsia="en-GB"/>
        </w:rPr>
        <w:drawing>
          <wp:inline distT="0" distB="0" distL="0" distR="0" wp14:anchorId="20AA2295" wp14:editId="13A04395">
            <wp:extent cx="3564689" cy="643812"/>
            <wp:effectExtent l="0" t="0" r="0" b="4445"/>
            <wp:docPr id="8" name="Afbeelding 16">
              <a:extLst xmlns:a="http://schemas.openxmlformats.org/drawingml/2006/main">
                <a:ext uri="{FF2B5EF4-FFF2-40B4-BE49-F238E27FC236}">
                  <a16:creationId xmlns:a16="http://schemas.microsoft.com/office/drawing/2014/main" id="{807E2C67-CF34-D846-9C9D-EFA60A835D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a:extLst>
                        <a:ext uri="{FF2B5EF4-FFF2-40B4-BE49-F238E27FC236}">
                          <a16:creationId xmlns:a16="http://schemas.microsoft.com/office/drawing/2014/main" id="{807E2C67-CF34-D846-9C9D-EFA60A835D4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6340" cy="644110"/>
                    </a:xfrm>
                    <a:prstGeom prst="rect">
                      <a:avLst/>
                    </a:prstGeom>
                  </pic:spPr>
                </pic:pic>
              </a:graphicData>
            </a:graphic>
          </wp:inline>
        </w:drawing>
      </w:r>
    </w:p>
    <w:p w14:paraId="2133944C" w14:textId="77777777" w:rsidR="00FA4206" w:rsidRPr="00FA4206" w:rsidRDefault="00FA4206" w:rsidP="00BD3365">
      <w:pPr>
        <w:rPr>
          <w:rFonts w:eastAsia="Times New Roman"/>
          <w:sz w:val="24"/>
          <w:szCs w:val="24"/>
        </w:rPr>
      </w:pPr>
    </w:p>
    <w:p w14:paraId="049F7114" w14:textId="07AE6F23" w:rsidR="00F76B84" w:rsidRPr="00C528C3" w:rsidRDefault="00631E8B" w:rsidP="00D35DDB">
      <w:pPr>
        <w:jc w:val="right"/>
        <w:rPr>
          <w:lang w:val="en-US"/>
        </w:rPr>
      </w:pPr>
      <w:r>
        <w:rPr>
          <w:lang w:val="en-US"/>
        </w:rPr>
        <w:t>7</w:t>
      </w:r>
      <w:r w:rsidR="00032CFD">
        <w:rPr>
          <w:lang w:val="en-US"/>
        </w:rPr>
        <w:t xml:space="preserve"> </w:t>
      </w:r>
      <w:r>
        <w:rPr>
          <w:lang w:val="en-US"/>
        </w:rPr>
        <w:t>February</w:t>
      </w:r>
      <w:r w:rsidR="00032CFD" w:rsidRPr="00F76B84">
        <w:rPr>
          <w:lang w:val="en-US"/>
        </w:rPr>
        <w:t xml:space="preserve"> </w:t>
      </w:r>
      <w:r w:rsidR="00F76B84" w:rsidRPr="00C528C3">
        <w:rPr>
          <w:lang w:val="en-US"/>
        </w:rPr>
        <w:t>202</w:t>
      </w:r>
      <w:r w:rsidRPr="00C528C3">
        <w:rPr>
          <w:lang w:val="en-US"/>
        </w:rPr>
        <w:t>5</w:t>
      </w:r>
    </w:p>
    <w:p w14:paraId="28206B89" w14:textId="6F99F7EF" w:rsidR="00F76B84" w:rsidRDefault="00F76B84" w:rsidP="00D35DDB"/>
    <w:p w14:paraId="00C96E0F" w14:textId="77777777" w:rsidR="00FE3C2A" w:rsidRPr="00F76B84" w:rsidRDefault="00FE3C2A" w:rsidP="00D35DDB"/>
    <w:p w14:paraId="76857D93" w14:textId="3161B1E0" w:rsidR="00786F40" w:rsidRPr="00F76B84" w:rsidRDefault="00492F72" w:rsidP="00D35DDB">
      <w:pPr>
        <w:rPr>
          <w:lang w:val="en-US"/>
        </w:rPr>
      </w:pPr>
      <w:r w:rsidRPr="00F76B84">
        <w:t>D</w:t>
      </w:r>
      <w:r w:rsidR="00786F40" w:rsidRPr="00F76B84">
        <w:t xml:space="preserve">ear </w:t>
      </w:r>
      <w:r w:rsidR="00D91D2C" w:rsidRPr="00F76B84">
        <w:t>Editor</w:t>
      </w:r>
      <w:r w:rsidR="00786F40" w:rsidRPr="00F76B84">
        <w:rPr>
          <w:lang w:val="en-US"/>
        </w:rPr>
        <w:t xml:space="preserve">, </w:t>
      </w:r>
    </w:p>
    <w:p w14:paraId="7BDAFF74" w14:textId="77777777" w:rsidR="00F837B4" w:rsidRPr="00F76B84" w:rsidRDefault="00F837B4" w:rsidP="00D35DDB"/>
    <w:p w14:paraId="15702A58" w14:textId="4CC05250" w:rsidR="00103FC4" w:rsidRDefault="00F837B4" w:rsidP="00D35DDB">
      <w:r w:rsidRPr="00F76B84">
        <w:t>Please find enclosed, our manuscript entitled “</w:t>
      </w:r>
      <w:r w:rsidR="00A03538" w:rsidRPr="00C528C3">
        <w:rPr>
          <w:iCs/>
        </w:rPr>
        <w:t>Estimating the global demand and potential public health impact of oral antiviral treatment stockpile for influenza pandemics: a mathematical modelling study</w:t>
      </w:r>
      <w:r w:rsidRPr="00F76B84">
        <w:t>”</w:t>
      </w:r>
      <w:r w:rsidR="003A6975">
        <w:t xml:space="preserve">, which we would be grateful for your consideration for publication at </w:t>
      </w:r>
      <w:r w:rsidR="00A03538" w:rsidRPr="00C528C3">
        <w:rPr>
          <w:i/>
          <w:iCs/>
        </w:rPr>
        <w:t>Lancet Infectious Disease</w:t>
      </w:r>
      <w:r w:rsidR="003A6975">
        <w:t xml:space="preserve">. </w:t>
      </w:r>
    </w:p>
    <w:p w14:paraId="63357CE3" w14:textId="2CCF1085" w:rsidR="00112559" w:rsidRDefault="00112559" w:rsidP="00D35DDB"/>
    <w:p w14:paraId="64144481" w14:textId="7F22411C" w:rsidR="003D2CC5" w:rsidRDefault="00654B23" w:rsidP="00D35DDB">
      <w:r>
        <w:t>The</w:t>
      </w:r>
      <w:r w:rsidR="003D2CC5">
        <w:t xml:space="preserve"> continual</w:t>
      </w:r>
      <w:r>
        <w:t xml:space="preserve"> threat of a global influenza A virus pandemic </w:t>
      </w:r>
      <w:r w:rsidR="003D2CC5">
        <w:t>stems from</w:t>
      </w:r>
      <w:r w:rsidR="00CB554F">
        <w:t xml:space="preserve"> the large</w:t>
      </w:r>
      <w:r>
        <w:t xml:space="preserve"> diversity of influenza A virus subtypes circulating </w:t>
      </w:r>
      <w:r w:rsidR="003D2CC5">
        <w:t>among</w:t>
      </w:r>
      <w:r>
        <w:t xml:space="preserve"> </w:t>
      </w:r>
      <w:r w:rsidR="00CB554F">
        <w:t xml:space="preserve">their </w:t>
      </w:r>
      <w:r>
        <w:t>reservoir species</w:t>
      </w:r>
      <w:r w:rsidR="00CB554F">
        <w:t xml:space="preserve"> </w:t>
      </w:r>
      <w:r w:rsidR="003D2CC5">
        <w:t>that can</w:t>
      </w:r>
      <w:r>
        <w:t xml:space="preserve"> </w:t>
      </w:r>
      <w:proofErr w:type="spellStart"/>
      <w:r>
        <w:t>spillover</w:t>
      </w:r>
      <w:proofErr w:type="spellEnd"/>
      <w:r w:rsidR="00CB554F">
        <w:t xml:space="preserve"> </w:t>
      </w:r>
      <w:r>
        <w:t>into poultry and mammals</w:t>
      </w:r>
      <w:r w:rsidR="00CB554F">
        <w:t>.</w:t>
      </w:r>
      <w:r w:rsidR="003D2CC5">
        <w:t xml:space="preserve"> Stockpiling oral influenza antiviral drugs is often considered by governments as part of pandemic preparedness efforts. Due to their antiviral activity against a wide range of influenza A virus subtypes</w:t>
      </w:r>
      <w:r w:rsidR="00ED4689">
        <w:t xml:space="preserve">, </w:t>
      </w:r>
      <w:r w:rsidR="00164CA5">
        <w:t xml:space="preserve">widespread distribution of these drugs during an influenza pandemic </w:t>
      </w:r>
      <w:r w:rsidR="00ED4689">
        <w:t>could be useful for</w:t>
      </w:r>
      <w:r w:rsidR="00164CA5">
        <w:t xml:space="preserve"> minimizing </w:t>
      </w:r>
      <w:r w:rsidR="00ED4689">
        <w:t xml:space="preserve">hospitalizations and </w:t>
      </w:r>
      <w:r w:rsidR="00164CA5">
        <w:t xml:space="preserve">deaths, especially during the early stages of the pandemic </w:t>
      </w:r>
      <w:r w:rsidR="00B84D98">
        <w:t xml:space="preserve">when </w:t>
      </w:r>
      <w:r w:rsidR="00164CA5">
        <w:t xml:space="preserve">vaccines are not </w:t>
      </w:r>
      <w:r w:rsidR="00B84D98">
        <w:t xml:space="preserve">yet </w:t>
      </w:r>
      <w:r w:rsidR="00164CA5">
        <w:t xml:space="preserve">available.  </w:t>
      </w:r>
    </w:p>
    <w:p w14:paraId="7D84EBAE" w14:textId="6F527EC6" w:rsidR="00905EE5" w:rsidRDefault="00905EE5" w:rsidP="00D35DDB"/>
    <w:p w14:paraId="5CE5D744" w14:textId="16086FBD" w:rsidR="00102EC2" w:rsidRDefault="00A34747" w:rsidP="00102EC2">
      <w:pPr>
        <w:rPr>
          <w:lang w:val="en-US"/>
        </w:rPr>
      </w:pPr>
      <w:r>
        <w:t xml:space="preserve">Given uncertainties about the </w:t>
      </w:r>
      <w:r w:rsidR="0075255F">
        <w:t xml:space="preserve">characteristics of a </w:t>
      </w:r>
      <w:r>
        <w:t xml:space="preserve">future influenza pandemic, mathematical modelling </w:t>
      </w:r>
      <w:r w:rsidR="004A5E4C">
        <w:t>can generate an</w:t>
      </w:r>
      <w:r>
        <w:t xml:space="preserve"> evidence base to inform stockpile sizing options. To that end, there </w:t>
      </w:r>
      <w:r w:rsidR="00E17BFC">
        <w:t>is</w:t>
      </w:r>
      <w:r>
        <w:t xml:space="preserve"> a large body of </w:t>
      </w:r>
      <w:r w:rsidR="004A5E4C">
        <w:t xml:space="preserve">modelling </w:t>
      </w:r>
      <w:r>
        <w:t>work</w:t>
      </w:r>
      <w:r w:rsidR="00DA3BD5">
        <w:t xml:space="preserve"> </w:t>
      </w:r>
      <w:r w:rsidR="004A5E4C">
        <w:t xml:space="preserve">from </w:t>
      </w:r>
      <w:r w:rsidR="00DA3BD5">
        <w:t>the last two decades</w:t>
      </w:r>
      <w:r>
        <w:t xml:space="preserve">, </w:t>
      </w:r>
      <w:r w:rsidR="0022046F">
        <w:t xml:space="preserve">that </w:t>
      </w:r>
      <w:r w:rsidR="00291BC6">
        <w:t xml:space="preserve">typically </w:t>
      </w:r>
      <w:r w:rsidR="0022046F">
        <w:t>focuses either on one or a handful of countr</w:t>
      </w:r>
      <w:r w:rsidR="003460A5">
        <w:t>y archetypes</w:t>
      </w:r>
      <w:bookmarkStart w:id="0" w:name="_GoBack"/>
      <w:bookmarkEnd w:id="0"/>
      <w:r w:rsidR="0022046F">
        <w:t>,</w:t>
      </w:r>
      <w:r>
        <w:t xml:space="preserve"> </w:t>
      </w:r>
      <w:r w:rsidR="00E17BFC">
        <w:t>providing</w:t>
      </w:r>
      <w:r>
        <w:t xml:space="preserve"> oral influenza antiviral stockpile sizing recommendations</w:t>
      </w:r>
      <w:r w:rsidR="0022046F">
        <w:t xml:space="preserve"> </w:t>
      </w:r>
      <w:r w:rsidR="004A5E4C">
        <w:t>ranging</w:t>
      </w:r>
      <w:r w:rsidR="0022046F">
        <w:t xml:space="preserve"> from </w:t>
      </w:r>
      <w:r w:rsidR="00E17BFC" w:rsidRPr="00616399">
        <w:rPr>
          <w:lang w:val="en-US"/>
        </w:rPr>
        <w:t>as little as 15</w:t>
      </w:r>
      <w:r w:rsidR="00E17BFC">
        <w:rPr>
          <w:lang w:val="en-US"/>
        </w:rPr>
        <w:t>% per-capita</w:t>
      </w:r>
      <w:r w:rsidR="00E17BFC" w:rsidRPr="00616399">
        <w:rPr>
          <w:lang w:val="en-US"/>
        </w:rPr>
        <w:t xml:space="preserve"> to</w:t>
      </w:r>
      <w:r w:rsidR="00E17BFC">
        <w:rPr>
          <w:lang w:val="en-US"/>
        </w:rPr>
        <w:t xml:space="preserve"> </w:t>
      </w:r>
      <w:r w:rsidR="00E17BFC" w:rsidRPr="00616399">
        <w:rPr>
          <w:lang w:val="en-US"/>
        </w:rPr>
        <w:t xml:space="preserve">&gt;140% of the </w:t>
      </w:r>
      <w:r w:rsidR="00E17BFC">
        <w:rPr>
          <w:lang w:val="en-US"/>
        </w:rPr>
        <w:t xml:space="preserve">country’s population size. </w:t>
      </w:r>
      <w:r w:rsidR="00BE6880">
        <w:rPr>
          <w:lang w:val="en-US"/>
        </w:rPr>
        <w:t>Notwithstanding</w:t>
      </w:r>
      <w:r w:rsidR="00E17BFC">
        <w:rPr>
          <w:lang w:val="en-US"/>
        </w:rPr>
        <w:t xml:space="preserve"> the difficulties in meaningfully synthesizing the wide range of </w:t>
      </w:r>
      <w:r w:rsidR="00590482">
        <w:rPr>
          <w:lang w:val="en-US"/>
        </w:rPr>
        <w:t>stockpile sizing</w:t>
      </w:r>
      <w:r w:rsidR="00E17BFC">
        <w:rPr>
          <w:lang w:val="en-US"/>
        </w:rPr>
        <w:t xml:space="preserve"> estimates for public health recommendation, </w:t>
      </w:r>
      <w:r w:rsidR="00102EC2">
        <w:rPr>
          <w:lang w:val="en-US"/>
        </w:rPr>
        <w:t xml:space="preserve">previous </w:t>
      </w:r>
      <w:r w:rsidR="00BE6880">
        <w:rPr>
          <w:lang w:val="en-US"/>
        </w:rPr>
        <w:t xml:space="preserve">studies </w:t>
      </w:r>
      <w:r w:rsidR="00102EC2">
        <w:rPr>
          <w:lang w:val="en-US"/>
        </w:rPr>
        <w:t>assumed that most symptomatic individuals would seek treatment promptly after infection</w:t>
      </w:r>
      <w:r w:rsidR="00F11793">
        <w:rPr>
          <w:lang w:val="en-US"/>
        </w:rPr>
        <w:t xml:space="preserve"> </w:t>
      </w:r>
      <w:r w:rsidR="00E073B2">
        <w:rPr>
          <w:lang w:val="en-US"/>
        </w:rPr>
        <w:t>within</w:t>
      </w:r>
      <w:r w:rsidR="00F11793">
        <w:rPr>
          <w:lang w:val="en-US"/>
        </w:rPr>
        <w:t xml:space="preserve"> two days </w:t>
      </w:r>
      <w:r w:rsidR="00E073B2">
        <w:rPr>
          <w:lang w:val="en-US"/>
        </w:rPr>
        <w:t>of</w:t>
      </w:r>
      <w:r w:rsidR="00F11793">
        <w:rPr>
          <w:lang w:val="en-US"/>
        </w:rPr>
        <w:t xml:space="preserve"> symptom onset</w:t>
      </w:r>
      <w:r w:rsidR="00E17BFC">
        <w:rPr>
          <w:lang w:val="en-US"/>
        </w:rPr>
        <w:t xml:space="preserve">. </w:t>
      </w:r>
      <w:r w:rsidR="00512547">
        <w:rPr>
          <w:lang w:val="en-US"/>
        </w:rPr>
        <w:t>Based on</w:t>
      </w:r>
      <w:r w:rsidR="00BE6880">
        <w:rPr>
          <w:lang w:val="en-US"/>
        </w:rPr>
        <w:t xml:space="preserve"> the</w:t>
      </w:r>
      <w:r w:rsidR="00E17BFC">
        <w:rPr>
          <w:lang w:val="en-US"/>
        </w:rPr>
        <w:t xml:space="preserve"> COVID-19 pandemic, </w:t>
      </w:r>
      <w:r w:rsidR="00E073B2">
        <w:rPr>
          <w:lang w:val="en-US"/>
        </w:rPr>
        <w:t>there is now empirical evidence</w:t>
      </w:r>
      <w:r w:rsidR="00102EC2">
        <w:rPr>
          <w:lang w:val="en-US"/>
        </w:rPr>
        <w:t xml:space="preserve"> </w:t>
      </w:r>
      <w:r w:rsidR="00E073B2">
        <w:rPr>
          <w:lang w:val="en-US"/>
        </w:rPr>
        <w:t xml:space="preserve">to show that this is an </w:t>
      </w:r>
      <w:r w:rsidR="00102EC2">
        <w:rPr>
          <w:lang w:val="en-US"/>
        </w:rPr>
        <w:t xml:space="preserve">idealized assumption </w:t>
      </w:r>
      <w:r w:rsidR="00BE6880">
        <w:rPr>
          <w:lang w:val="en-US"/>
        </w:rPr>
        <w:t xml:space="preserve">even </w:t>
      </w:r>
      <w:r w:rsidR="00E073B2">
        <w:rPr>
          <w:lang w:val="en-US"/>
        </w:rPr>
        <w:t>at</w:t>
      </w:r>
      <w:r w:rsidR="00BE6880">
        <w:rPr>
          <w:lang w:val="en-US"/>
        </w:rPr>
        <w:t xml:space="preserve"> the height of</w:t>
      </w:r>
      <w:r w:rsidR="00A96886">
        <w:rPr>
          <w:lang w:val="en-US"/>
        </w:rPr>
        <w:t xml:space="preserve"> a</w:t>
      </w:r>
      <w:r w:rsidR="00BE6880">
        <w:rPr>
          <w:lang w:val="en-US"/>
        </w:rPr>
        <w:t xml:space="preserve"> pandemic.</w:t>
      </w:r>
      <w:r w:rsidR="00102EC2">
        <w:rPr>
          <w:lang w:val="en-US"/>
        </w:rPr>
        <w:t xml:space="preserve"> Additionally, many of these</w:t>
      </w:r>
      <w:r w:rsidR="00512547">
        <w:rPr>
          <w:lang w:val="en-US"/>
        </w:rPr>
        <w:t xml:space="preserve"> previous</w:t>
      </w:r>
      <w:r w:rsidR="00102EC2">
        <w:rPr>
          <w:lang w:val="en-US"/>
        </w:rPr>
        <w:t xml:space="preserve"> studies </w:t>
      </w:r>
      <w:r w:rsidR="00512547">
        <w:rPr>
          <w:lang w:val="en-US"/>
        </w:rPr>
        <w:t>made</w:t>
      </w:r>
      <w:r w:rsidR="00102EC2">
        <w:rPr>
          <w:lang w:val="en-US"/>
        </w:rPr>
        <w:t xml:space="preserve"> </w:t>
      </w:r>
      <w:r w:rsidR="00512547">
        <w:rPr>
          <w:lang w:val="en-US"/>
        </w:rPr>
        <w:t>exaggerated assumptions about the</w:t>
      </w:r>
      <w:r w:rsidR="00102EC2">
        <w:rPr>
          <w:lang w:val="en-US"/>
        </w:rPr>
        <w:t xml:space="preserve"> transmission reduction effects </w:t>
      </w:r>
      <w:r w:rsidR="00512547">
        <w:rPr>
          <w:lang w:val="en-US"/>
        </w:rPr>
        <w:t>of</w:t>
      </w:r>
      <w:r w:rsidR="00102EC2">
        <w:rPr>
          <w:lang w:val="en-US"/>
        </w:rPr>
        <w:t xml:space="preserve"> </w:t>
      </w:r>
      <w:r w:rsidR="0081494F">
        <w:rPr>
          <w:lang w:val="en-US"/>
        </w:rPr>
        <w:t>antiviral treatment</w:t>
      </w:r>
      <w:r w:rsidR="00512547">
        <w:rPr>
          <w:lang w:val="en-US"/>
        </w:rPr>
        <w:t>, largely due to a lack of direct evidence</w:t>
      </w:r>
      <w:r w:rsidR="00102EC2">
        <w:rPr>
          <w:lang w:val="en-US"/>
        </w:rPr>
        <w:t xml:space="preserve">. </w:t>
      </w:r>
      <w:r w:rsidR="00512547">
        <w:rPr>
          <w:lang w:val="en-US"/>
        </w:rPr>
        <w:t>However, in</w:t>
      </w:r>
      <w:r w:rsidR="00DA3BD5">
        <w:rPr>
          <w:lang w:val="en-US"/>
        </w:rPr>
        <w:t xml:space="preserve"> September 2024, </w:t>
      </w:r>
      <w:r w:rsidR="00512547">
        <w:rPr>
          <w:lang w:val="en-US"/>
        </w:rPr>
        <w:t xml:space="preserve">a randomized clinical trial on </w:t>
      </w:r>
      <w:proofErr w:type="spellStart"/>
      <w:r w:rsidR="0081494F">
        <w:rPr>
          <w:lang w:val="en-US"/>
        </w:rPr>
        <w:t>baloxavir</w:t>
      </w:r>
      <w:proofErr w:type="spellEnd"/>
      <w:r w:rsidR="0081494F">
        <w:rPr>
          <w:lang w:val="en-US"/>
        </w:rPr>
        <w:t xml:space="preserve"> </w:t>
      </w:r>
      <w:proofErr w:type="spellStart"/>
      <w:r w:rsidR="0081494F">
        <w:rPr>
          <w:lang w:val="en-US"/>
        </w:rPr>
        <w:t>marboxil</w:t>
      </w:r>
      <w:proofErr w:type="spellEnd"/>
      <w:r w:rsidR="0081494F">
        <w:rPr>
          <w:lang w:val="en-US"/>
        </w:rPr>
        <w:t xml:space="preserve"> </w:t>
      </w:r>
      <w:r w:rsidR="00512547">
        <w:rPr>
          <w:lang w:val="en-US"/>
        </w:rPr>
        <w:t>showed that it could</w:t>
      </w:r>
      <w:r w:rsidR="00512547" w:rsidRPr="00616399">
        <w:rPr>
          <w:lang w:val="en-US"/>
        </w:rPr>
        <w:t xml:space="preserve"> </w:t>
      </w:r>
      <w:r w:rsidR="0081494F" w:rsidRPr="00616399">
        <w:rPr>
          <w:lang w:val="en-US"/>
        </w:rPr>
        <w:t>reduce transmission risk of treated patients by 29%.</w:t>
      </w:r>
      <w:r w:rsidR="004867C7">
        <w:rPr>
          <w:lang w:val="en-US"/>
        </w:rPr>
        <w:t xml:space="preserve"> This new empirical evidence created an opportunity to re-interrogate </w:t>
      </w:r>
      <w:r w:rsidR="00CB3C2B">
        <w:rPr>
          <w:lang w:val="en-US"/>
        </w:rPr>
        <w:t xml:space="preserve">and improve </w:t>
      </w:r>
      <w:r w:rsidR="004867C7">
        <w:rPr>
          <w:lang w:val="en-US"/>
        </w:rPr>
        <w:t xml:space="preserve">previous pandemic preparedness antiviral stockpiling recommendations. </w:t>
      </w:r>
    </w:p>
    <w:p w14:paraId="4AD668D7" w14:textId="40D8EC16" w:rsidR="00905EE5" w:rsidRPr="00102EC2" w:rsidRDefault="00BE6880" w:rsidP="00D35DDB">
      <w:pPr>
        <w:rPr>
          <w:lang w:val="en-US"/>
        </w:rPr>
      </w:pPr>
      <w:r>
        <w:rPr>
          <w:lang w:val="en-US"/>
        </w:rPr>
        <w:t xml:space="preserve"> </w:t>
      </w:r>
    </w:p>
    <w:p w14:paraId="3321BD9D" w14:textId="4C386108" w:rsidR="0022046F" w:rsidRDefault="00106A89" w:rsidP="00112559">
      <w:pPr>
        <w:rPr>
          <w:lang w:eastAsia="ja-JP"/>
        </w:rPr>
      </w:pPr>
      <w:r>
        <w:rPr>
          <w:lang w:val="en-US" w:eastAsia="ja-JP"/>
        </w:rPr>
        <w:t xml:space="preserve">To guide future pandemic antiviral stockpiling recommendations, </w:t>
      </w:r>
      <w:r>
        <w:rPr>
          <w:lang w:eastAsia="ja-JP"/>
        </w:rPr>
        <w:t xml:space="preserve">we </w:t>
      </w:r>
      <w:r w:rsidR="0022046F">
        <w:rPr>
          <w:lang w:eastAsia="ja-JP"/>
        </w:rPr>
        <w:t>sought</w:t>
      </w:r>
      <w:r w:rsidR="00A953D4">
        <w:rPr>
          <w:lang w:eastAsia="ja-JP"/>
        </w:rPr>
        <w:t xml:space="preserve"> </w:t>
      </w:r>
      <w:r w:rsidR="003E3542">
        <w:rPr>
          <w:lang w:eastAsia="ja-JP"/>
        </w:rPr>
        <w:t xml:space="preserve">to </w:t>
      </w:r>
      <w:r>
        <w:rPr>
          <w:lang w:eastAsia="ja-JP"/>
        </w:rPr>
        <w:t xml:space="preserve">estimate peak </w:t>
      </w:r>
      <w:r w:rsidR="003E3542">
        <w:rPr>
          <w:lang w:eastAsia="ja-JP"/>
        </w:rPr>
        <w:t>country-specific antiviral</w:t>
      </w:r>
      <w:r w:rsidR="00A06601">
        <w:rPr>
          <w:lang w:eastAsia="ja-JP"/>
        </w:rPr>
        <w:t xml:space="preserve"> </w:t>
      </w:r>
      <w:r w:rsidR="003E3542">
        <w:rPr>
          <w:lang w:eastAsia="ja-JP"/>
        </w:rPr>
        <w:t>demand and</w:t>
      </w:r>
      <w:r>
        <w:rPr>
          <w:lang w:eastAsia="ja-JP"/>
        </w:rPr>
        <w:t xml:space="preserve"> potential</w:t>
      </w:r>
      <w:r w:rsidR="003E3542">
        <w:rPr>
          <w:lang w:eastAsia="ja-JP"/>
        </w:rPr>
        <w:t xml:space="preserve"> </w:t>
      </w:r>
      <w:r>
        <w:rPr>
          <w:lang w:eastAsia="ja-JP"/>
        </w:rPr>
        <w:t>impact</w:t>
      </w:r>
      <w:r w:rsidR="003E3542">
        <w:rPr>
          <w:lang w:eastAsia="ja-JP"/>
        </w:rPr>
        <w:t xml:space="preserve">, defined as the percentage of pandemic deaths averted, for 186 countries using a </w:t>
      </w:r>
      <w:r>
        <w:rPr>
          <w:lang w:eastAsia="ja-JP"/>
        </w:rPr>
        <w:t xml:space="preserve">new multiscale </w:t>
      </w:r>
      <w:r w:rsidR="003E3542">
        <w:rPr>
          <w:lang w:eastAsia="ja-JP"/>
        </w:rPr>
        <w:t>modelling framework we developed</w:t>
      </w:r>
      <w:r>
        <w:rPr>
          <w:lang w:eastAsia="ja-JP"/>
        </w:rPr>
        <w:t xml:space="preserve"> for this study</w:t>
      </w:r>
      <w:r w:rsidR="003E3542">
        <w:rPr>
          <w:lang w:eastAsia="ja-JP"/>
        </w:rPr>
        <w:t xml:space="preserve">. Unlike previous studies, our multiscale model </w:t>
      </w:r>
      <w:r w:rsidR="00826875">
        <w:rPr>
          <w:lang w:eastAsia="ja-JP"/>
        </w:rPr>
        <w:t xml:space="preserve">realistically </w:t>
      </w:r>
      <w:r w:rsidR="003E3542">
        <w:rPr>
          <w:lang w:eastAsia="ja-JP"/>
        </w:rPr>
        <w:t>account</w:t>
      </w:r>
      <w:r w:rsidR="00725FF4">
        <w:rPr>
          <w:lang w:eastAsia="ja-JP"/>
        </w:rPr>
        <w:t>s</w:t>
      </w:r>
      <w:r w:rsidR="003E3542">
        <w:rPr>
          <w:lang w:eastAsia="ja-JP"/>
        </w:rPr>
        <w:t xml:space="preserve"> for variation in changes </w:t>
      </w:r>
      <w:r w:rsidR="00725FF4">
        <w:rPr>
          <w:lang w:eastAsia="ja-JP"/>
        </w:rPr>
        <w:t>to</w:t>
      </w:r>
      <w:r w:rsidR="003E3542">
        <w:rPr>
          <w:lang w:eastAsia="ja-JP"/>
        </w:rPr>
        <w:t xml:space="preserve"> infectiousness dynamics due to heterogenous timing of treatment by antivirals and the consequent impact it would have on transmission dynamics. Furthermore, this is the first study that incorporates the latest direct estimates of transmission reduction effects by antiviral treatment. </w:t>
      </w:r>
    </w:p>
    <w:p w14:paraId="5C32747B" w14:textId="16AB72BF" w:rsidR="00A06601" w:rsidRDefault="00A06601" w:rsidP="00112559">
      <w:pPr>
        <w:rPr>
          <w:lang w:eastAsia="ja-JP"/>
        </w:rPr>
      </w:pPr>
    </w:p>
    <w:p w14:paraId="083C4ECA" w14:textId="3DAD4F25" w:rsidR="006D03F6" w:rsidRDefault="00A06601" w:rsidP="00A06601">
      <w:pPr>
        <w:rPr>
          <w:lang w:eastAsia="ja-JP"/>
        </w:rPr>
      </w:pPr>
      <w:r>
        <w:rPr>
          <w:lang w:eastAsia="ja-JP"/>
        </w:rPr>
        <w:lastRenderedPageBreak/>
        <w:t xml:space="preserve">We first used our model to estimate the maximum demand and impact of distributing either oseltamivir or </w:t>
      </w:r>
      <w:proofErr w:type="spellStart"/>
      <w:r>
        <w:rPr>
          <w:lang w:eastAsia="ja-JP"/>
        </w:rPr>
        <w:t>baloxavir</w:t>
      </w:r>
      <w:proofErr w:type="spellEnd"/>
      <w:r>
        <w:rPr>
          <w:lang w:eastAsia="ja-JP"/>
        </w:rPr>
        <w:t xml:space="preserve"> </w:t>
      </w:r>
      <w:proofErr w:type="spellStart"/>
      <w:r>
        <w:rPr>
          <w:lang w:eastAsia="ja-JP"/>
        </w:rPr>
        <w:t>marboxil</w:t>
      </w:r>
      <w:proofErr w:type="spellEnd"/>
      <w:r>
        <w:rPr>
          <w:lang w:eastAsia="ja-JP"/>
        </w:rPr>
        <w:t xml:space="preserve"> </w:t>
      </w:r>
      <w:r w:rsidR="00D07F07">
        <w:rPr>
          <w:lang w:eastAsia="ja-JP"/>
        </w:rPr>
        <w:t xml:space="preserve">for treatment </w:t>
      </w:r>
      <w:r w:rsidR="000660D5">
        <w:rPr>
          <w:lang w:eastAsia="ja-JP"/>
        </w:rPr>
        <w:t xml:space="preserve">in </w:t>
      </w:r>
      <w:r w:rsidR="00DB538F">
        <w:rPr>
          <w:lang w:eastAsia="ja-JP"/>
        </w:rPr>
        <w:t>four pandemics</w:t>
      </w:r>
      <w:r w:rsidR="000660D5">
        <w:rPr>
          <w:lang w:eastAsia="ja-JP"/>
        </w:rPr>
        <w:t xml:space="preserve"> scenarios</w:t>
      </w:r>
      <w:r w:rsidR="00DB538F">
        <w:rPr>
          <w:lang w:eastAsia="ja-JP"/>
        </w:rPr>
        <w:t xml:space="preserve"> (i.e. 1918 A/H1N1</w:t>
      </w:r>
      <w:r w:rsidR="000660D5">
        <w:rPr>
          <w:lang w:eastAsia="ja-JP"/>
        </w:rPr>
        <w:t>-like</w:t>
      </w:r>
      <w:r w:rsidR="00DB538F">
        <w:rPr>
          <w:lang w:eastAsia="ja-JP"/>
        </w:rPr>
        <w:t>, 1968 A/H3N2</w:t>
      </w:r>
      <w:r w:rsidR="000660D5">
        <w:rPr>
          <w:lang w:eastAsia="ja-JP"/>
        </w:rPr>
        <w:t>-like</w:t>
      </w:r>
      <w:r w:rsidR="00DB538F">
        <w:rPr>
          <w:lang w:eastAsia="ja-JP"/>
        </w:rPr>
        <w:t>, 2009 A/H1N1</w:t>
      </w:r>
      <w:r w:rsidR="000660D5">
        <w:rPr>
          <w:lang w:eastAsia="ja-JP"/>
        </w:rPr>
        <w:t>-like</w:t>
      </w:r>
      <w:r w:rsidR="00DB538F">
        <w:rPr>
          <w:lang w:eastAsia="ja-JP"/>
        </w:rPr>
        <w:t xml:space="preserve"> and a COVID-19-like influenza pandemic) </w:t>
      </w:r>
      <w:r w:rsidR="00D07F07">
        <w:rPr>
          <w:lang w:eastAsia="ja-JP"/>
        </w:rPr>
        <w:t>under the idealized assumption that public health infrastructure is sufficiently well resourced to promptly identify and treat almost all symptomatic individuals promptly after infection</w:t>
      </w:r>
      <w:r w:rsidR="00DB538F">
        <w:rPr>
          <w:lang w:eastAsia="ja-JP"/>
        </w:rPr>
        <w:t xml:space="preserve"> in the country. We then </w:t>
      </w:r>
      <w:r w:rsidR="003C0ED7">
        <w:rPr>
          <w:lang w:eastAsia="ja-JP"/>
        </w:rPr>
        <w:t>analysed</w:t>
      </w:r>
      <w:r w:rsidR="00DB538F">
        <w:rPr>
          <w:lang w:eastAsia="ja-JP"/>
        </w:rPr>
        <w:t xml:space="preserve"> how deviations from this idealized scenario </w:t>
      </w:r>
      <w:r w:rsidR="00ED71B3">
        <w:rPr>
          <w:lang w:eastAsia="ja-JP"/>
        </w:rPr>
        <w:t>would</w:t>
      </w:r>
      <w:r w:rsidR="00DB538F">
        <w:rPr>
          <w:lang w:eastAsia="ja-JP"/>
        </w:rPr>
        <w:t xml:space="preserve"> alter </w:t>
      </w:r>
      <w:r w:rsidR="00ED71B3">
        <w:rPr>
          <w:lang w:eastAsia="ja-JP"/>
        </w:rPr>
        <w:t xml:space="preserve">antiviral </w:t>
      </w:r>
      <w:r w:rsidR="00DB538F">
        <w:rPr>
          <w:lang w:eastAsia="ja-JP"/>
        </w:rPr>
        <w:t xml:space="preserve">demand and impact, including  delays in population distribution of antivirals since pandemic initiation, individual delays in seeking treatment, </w:t>
      </w:r>
      <w:r w:rsidR="00C17FE6">
        <w:rPr>
          <w:lang w:eastAsia="ja-JP"/>
        </w:rPr>
        <w:t xml:space="preserve">as well as </w:t>
      </w:r>
      <w:r w:rsidR="00DB538F">
        <w:rPr>
          <w:lang w:eastAsia="ja-JP"/>
        </w:rPr>
        <w:t xml:space="preserve">changes in antiviral distribution strategies such as drug rationing by age groups, extending the treatment window of drugs from the current indicated use of two days to eight days, and providing post-exposure prophylaxis to household contacts. We also </w:t>
      </w:r>
      <w:r w:rsidR="003C0ED7">
        <w:rPr>
          <w:lang w:eastAsia="ja-JP"/>
        </w:rPr>
        <w:t>investigated</w:t>
      </w:r>
      <w:r w:rsidR="00DB538F">
        <w:rPr>
          <w:lang w:eastAsia="ja-JP"/>
        </w:rPr>
        <w:t xml:space="preserve"> how </w:t>
      </w:r>
      <w:r w:rsidR="00D26A17">
        <w:rPr>
          <w:lang w:eastAsia="ja-JP"/>
        </w:rPr>
        <w:t xml:space="preserve">antiviral </w:t>
      </w:r>
      <w:r w:rsidR="00DB538F">
        <w:rPr>
          <w:lang w:eastAsia="ja-JP"/>
        </w:rPr>
        <w:t xml:space="preserve">resistance could diminish the impact of </w:t>
      </w:r>
      <w:r w:rsidR="00D26A17">
        <w:rPr>
          <w:lang w:eastAsia="ja-JP"/>
        </w:rPr>
        <w:t>drug stockpiles</w:t>
      </w:r>
      <w:r w:rsidR="00DB538F">
        <w:rPr>
          <w:lang w:eastAsia="ja-JP"/>
        </w:rPr>
        <w:t xml:space="preserve">. </w:t>
      </w:r>
    </w:p>
    <w:p w14:paraId="2C8ADC54" w14:textId="66334B7E" w:rsidR="001F7CCE" w:rsidRDefault="001F7CCE" w:rsidP="00A06601">
      <w:pPr>
        <w:rPr>
          <w:lang w:eastAsia="ja-JP"/>
        </w:rPr>
      </w:pPr>
    </w:p>
    <w:p w14:paraId="58E41DD4" w14:textId="2E4F8978" w:rsidR="001F7CCE" w:rsidRDefault="004A62B1" w:rsidP="00A06601">
      <w:pPr>
        <w:rPr>
          <w:lang w:val="en-US"/>
        </w:rPr>
      </w:pPr>
      <w:r>
        <w:rPr>
          <w:lang w:eastAsia="ja-JP"/>
        </w:rPr>
        <w:t>Like previous studies,</w:t>
      </w:r>
      <w:r w:rsidR="00427BF8">
        <w:rPr>
          <w:lang w:eastAsia="ja-JP"/>
        </w:rPr>
        <w:t xml:space="preserve"> we find that oral antivirals </w:t>
      </w:r>
      <w:r w:rsidR="00427BF8" w:rsidRPr="00616399">
        <w:rPr>
          <w:lang w:val="en-US"/>
        </w:rPr>
        <w:t xml:space="preserve">can </w:t>
      </w:r>
      <w:r w:rsidR="00183682">
        <w:rPr>
          <w:lang w:val="en-US"/>
        </w:rPr>
        <w:t>potentially</w:t>
      </w:r>
      <w:r w:rsidR="00427BF8" w:rsidRPr="00616399">
        <w:rPr>
          <w:lang w:val="en-US"/>
        </w:rPr>
        <w:t xml:space="preserve"> lower the disease burden of</w:t>
      </w:r>
      <w:r w:rsidR="00427BF8">
        <w:rPr>
          <w:lang w:val="en-US"/>
        </w:rPr>
        <w:t xml:space="preserve"> future</w:t>
      </w:r>
      <w:r w:rsidR="00427BF8" w:rsidRPr="00616399">
        <w:rPr>
          <w:lang w:val="en-US"/>
        </w:rPr>
        <w:t xml:space="preserve"> influenza pandemic</w:t>
      </w:r>
      <w:r w:rsidR="00427BF8">
        <w:rPr>
          <w:lang w:val="en-US"/>
        </w:rPr>
        <w:t>s</w:t>
      </w:r>
      <w:r w:rsidR="00183682">
        <w:rPr>
          <w:lang w:val="en-US"/>
        </w:rPr>
        <w:t xml:space="preserve"> substantially</w:t>
      </w:r>
      <w:r w:rsidR="00427BF8">
        <w:rPr>
          <w:lang w:val="en-US"/>
        </w:rPr>
        <w:t>.</w:t>
      </w:r>
      <w:r>
        <w:rPr>
          <w:lang w:val="en-US"/>
        </w:rPr>
        <w:t xml:space="preserve"> However, unlike previous studies our results provide substantially improved estimates of antiviral stockpile demand and impact because of realism of our modeling framework and new clinical data. We find that</w:t>
      </w:r>
      <w:r w:rsidR="00427BF8">
        <w:rPr>
          <w:lang w:val="en-US"/>
        </w:rPr>
        <w:t xml:space="preserve"> </w:t>
      </w:r>
      <w:proofErr w:type="spellStart"/>
      <w:r>
        <w:rPr>
          <w:lang w:val="en-US"/>
        </w:rPr>
        <w:t>baloxavir</w:t>
      </w:r>
      <w:proofErr w:type="spellEnd"/>
      <w:r>
        <w:rPr>
          <w:lang w:val="en-US"/>
        </w:rPr>
        <w:t xml:space="preserve"> </w:t>
      </w:r>
      <w:proofErr w:type="spellStart"/>
      <w:r w:rsidR="00427BF8">
        <w:rPr>
          <w:lang w:val="en-US"/>
        </w:rPr>
        <w:t>marboxil</w:t>
      </w:r>
      <w:proofErr w:type="spellEnd"/>
      <w:r w:rsidR="00427BF8">
        <w:rPr>
          <w:lang w:val="en-US"/>
        </w:rPr>
        <w:t xml:space="preserve">, </w:t>
      </w:r>
      <w:r w:rsidR="00183682">
        <w:rPr>
          <w:lang w:val="en-US"/>
        </w:rPr>
        <w:t xml:space="preserve">owing to its transmission reduction effects, </w:t>
      </w:r>
      <w:r w:rsidR="00427BF8">
        <w:rPr>
          <w:lang w:val="en-US"/>
        </w:rPr>
        <w:t xml:space="preserve">can potentially </w:t>
      </w:r>
      <w:r w:rsidR="00427BF8" w:rsidRPr="00616399">
        <w:rPr>
          <w:lang w:val="en-US"/>
        </w:rPr>
        <w:t>double</w:t>
      </w:r>
      <w:r w:rsidR="00427BF8">
        <w:rPr>
          <w:lang w:val="en-US"/>
        </w:rPr>
        <w:t xml:space="preserve"> </w:t>
      </w:r>
      <w:r w:rsidR="00427BF8" w:rsidRPr="00616399">
        <w:rPr>
          <w:lang w:val="en-US"/>
        </w:rPr>
        <w:t xml:space="preserve">the percentage of </w:t>
      </w:r>
      <w:r w:rsidR="00427BF8">
        <w:rPr>
          <w:lang w:val="en-US"/>
        </w:rPr>
        <w:t>mean</w:t>
      </w:r>
      <w:r w:rsidR="00427BF8" w:rsidRPr="00616399">
        <w:rPr>
          <w:lang w:val="en-US"/>
        </w:rPr>
        <w:t xml:space="preserve"> pandemic deaths averted relative to oseltamivir, </w:t>
      </w:r>
      <w:r w:rsidR="00D40C0D">
        <w:rPr>
          <w:lang w:val="en-US"/>
        </w:rPr>
        <w:t>reducing</w:t>
      </w:r>
      <w:r w:rsidR="00427BF8">
        <w:rPr>
          <w:lang w:val="en-US"/>
        </w:rPr>
        <w:t xml:space="preserve"> deaths by</w:t>
      </w:r>
      <w:r w:rsidR="00427BF8" w:rsidRPr="00616399">
        <w:rPr>
          <w:lang w:val="en-US"/>
        </w:rPr>
        <w:t xml:space="preserve"> 37</w:t>
      </w:r>
      <w:r w:rsidR="00427BF8">
        <w:rPr>
          <w:lang w:val="en-US"/>
        </w:rPr>
        <w:t xml:space="preserve">% </w:t>
      </w:r>
      <w:r w:rsidR="00427BF8" w:rsidRPr="00616399">
        <w:rPr>
          <w:lang w:val="en-US"/>
        </w:rPr>
        <w:t>–</w:t>
      </w:r>
      <w:r w:rsidR="00427BF8">
        <w:rPr>
          <w:lang w:val="en-US"/>
        </w:rPr>
        <w:t xml:space="preserve"> </w:t>
      </w:r>
      <w:r w:rsidR="00427BF8" w:rsidRPr="00616399">
        <w:rPr>
          <w:lang w:val="en-US"/>
        </w:rPr>
        <w:t>68%</w:t>
      </w:r>
      <w:r w:rsidR="00427BF8">
        <w:rPr>
          <w:lang w:val="en-US"/>
        </w:rPr>
        <w:t xml:space="preserve"> while requiring treatment stockpiles amounting to </w:t>
      </w:r>
      <w:r w:rsidR="00427BF8" w:rsidRPr="00616399">
        <w:rPr>
          <w:lang w:val="en-US"/>
        </w:rPr>
        <w:t>7%–34% per-capita</w:t>
      </w:r>
      <w:r w:rsidR="00427BF8">
        <w:rPr>
          <w:lang w:val="en-US"/>
        </w:rPr>
        <w:t xml:space="preserve">, which is </w:t>
      </w:r>
      <w:r w:rsidR="00427BF8" w:rsidRPr="00616399">
        <w:rPr>
          <w:lang w:val="en-US"/>
        </w:rPr>
        <w:t xml:space="preserve">~5%–10% </w:t>
      </w:r>
      <w:r w:rsidR="00C90D4C">
        <w:rPr>
          <w:lang w:val="en-US"/>
        </w:rPr>
        <w:t>fewer courses</w:t>
      </w:r>
      <w:r w:rsidR="00C90D4C" w:rsidRPr="00616399">
        <w:rPr>
          <w:lang w:val="en-US"/>
        </w:rPr>
        <w:t xml:space="preserve"> </w:t>
      </w:r>
      <w:r w:rsidR="00427BF8">
        <w:rPr>
          <w:lang w:val="en-US"/>
        </w:rPr>
        <w:t xml:space="preserve">than </w:t>
      </w:r>
      <w:r w:rsidR="003400FD">
        <w:rPr>
          <w:lang w:val="en-US"/>
        </w:rPr>
        <w:t xml:space="preserve">an oseltamivir </w:t>
      </w:r>
      <w:r w:rsidR="00427BF8">
        <w:rPr>
          <w:lang w:val="en-US"/>
        </w:rPr>
        <w:t>stockpile.</w:t>
      </w:r>
      <w:r w:rsidR="00D40C0D">
        <w:rPr>
          <w:lang w:val="en-US"/>
        </w:rPr>
        <w:t xml:space="preserve"> Rationing drugs for use by the most vulnerable, often those aged 65 years and above, is commonly implemented under limited drug availability. However, we find that</w:t>
      </w:r>
      <w:r w:rsidR="00D01D38">
        <w:rPr>
          <w:lang w:val="en-US"/>
        </w:rPr>
        <w:t xml:space="preserve"> restricting access does not </w:t>
      </w:r>
      <w:r w:rsidR="00DC2A90">
        <w:rPr>
          <w:lang w:val="en-US"/>
        </w:rPr>
        <w:t>necessarily lower treatment demand and instead</w:t>
      </w:r>
      <w:r w:rsidR="00D01D38">
        <w:rPr>
          <w:lang w:val="en-US"/>
        </w:rPr>
        <w:t xml:space="preserve"> can actually</w:t>
      </w:r>
      <w:r w:rsidR="00DC2A90">
        <w:rPr>
          <w:lang w:val="en-US"/>
        </w:rPr>
        <w:t xml:space="preserve"> increase pandemic deaths. Providing post-exposure prophylaxis to household contacts could additionally reduce pandemic deaths but only under </w:t>
      </w:r>
      <w:r w:rsidR="002A69F1">
        <w:rPr>
          <w:lang w:val="en-US"/>
        </w:rPr>
        <w:t xml:space="preserve">excess </w:t>
      </w:r>
      <w:r w:rsidR="00DC2A90">
        <w:rPr>
          <w:lang w:val="en-US"/>
        </w:rPr>
        <w:t xml:space="preserve">drug </w:t>
      </w:r>
      <w:r w:rsidR="002A69F1">
        <w:rPr>
          <w:lang w:val="en-US"/>
        </w:rPr>
        <w:t xml:space="preserve">availability </w:t>
      </w:r>
      <w:r w:rsidR="00DC2A90">
        <w:rPr>
          <w:lang w:val="en-US"/>
        </w:rPr>
        <w:t xml:space="preserve">and </w:t>
      </w:r>
      <w:r w:rsidR="00BA5974">
        <w:rPr>
          <w:lang w:val="en-US"/>
        </w:rPr>
        <w:t>only in countries with large average household sizes</w:t>
      </w:r>
      <w:r w:rsidR="00DC2A90">
        <w:rPr>
          <w:lang w:val="en-US"/>
        </w:rPr>
        <w:t>. Finally, while mass distribution of antivirals could potentially lead to the spread of treatment-emergent resistance,</w:t>
      </w:r>
      <w:r w:rsidR="00562D64">
        <w:rPr>
          <w:lang w:val="en-US"/>
        </w:rPr>
        <w:t xml:space="preserve"> </w:t>
      </w:r>
      <w:r w:rsidR="00DC2A90">
        <w:rPr>
          <w:lang w:val="en-US"/>
        </w:rPr>
        <w:t xml:space="preserve">distributing </w:t>
      </w:r>
      <w:proofErr w:type="spellStart"/>
      <w:r w:rsidR="00DC2A90">
        <w:rPr>
          <w:lang w:val="en-US"/>
        </w:rPr>
        <w:t>baloxavir</w:t>
      </w:r>
      <w:proofErr w:type="spellEnd"/>
      <w:r w:rsidR="00DC2A90">
        <w:rPr>
          <w:lang w:val="en-US"/>
        </w:rPr>
        <w:t xml:space="preserve"> </w:t>
      </w:r>
      <w:proofErr w:type="spellStart"/>
      <w:r w:rsidR="00DC2A90">
        <w:rPr>
          <w:lang w:val="en-US"/>
        </w:rPr>
        <w:t>marboxil</w:t>
      </w:r>
      <w:proofErr w:type="spellEnd"/>
      <w:r w:rsidR="00DC2A90">
        <w:rPr>
          <w:lang w:val="en-US"/>
        </w:rPr>
        <w:t xml:space="preserve"> could still save a substantial amount of lives, reducing average pandemic deaths by at least 24% as compared to no intervention at all. </w:t>
      </w:r>
    </w:p>
    <w:p w14:paraId="72FEE496" w14:textId="37943D3D" w:rsidR="00A60D20" w:rsidRDefault="00A60D20" w:rsidP="00A06601">
      <w:pPr>
        <w:rPr>
          <w:lang w:eastAsia="ja-JP"/>
        </w:rPr>
      </w:pPr>
    </w:p>
    <w:p w14:paraId="4CFE129E" w14:textId="68EE88F4" w:rsidR="00A60D20" w:rsidRDefault="009E5EA2" w:rsidP="00A06601">
      <w:pPr>
        <w:rPr>
          <w:lang w:eastAsia="ja-JP"/>
        </w:rPr>
      </w:pPr>
      <w:r>
        <w:rPr>
          <w:lang w:eastAsia="ja-JP"/>
        </w:rPr>
        <w:t>A p</w:t>
      </w:r>
      <w:r w:rsidRPr="009E5EA2">
        <w:rPr>
          <w:lang w:eastAsia="ja-JP"/>
        </w:rPr>
        <w:t>reliminary version</w:t>
      </w:r>
      <w:r>
        <w:rPr>
          <w:lang w:eastAsia="ja-JP"/>
        </w:rPr>
        <w:t xml:space="preserve"> </w:t>
      </w:r>
      <w:r w:rsidRPr="009E5EA2">
        <w:rPr>
          <w:lang w:eastAsia="ja-JP"/>
        </w:rPr>
        <w:t xml:space="preserve">of this work </w:t>
      </w:r>
      <w:r w:rsidR="009D0B44">
        <w:rPr>
          <w:lang w:eastAsia="ja-JP"/>
        </w:rPr>
        <w:t>was previously</w:t>
      </w:r>
      <w:r>
        <w:rPr>
          <w:lang w:eastAsia="ja-JP"/>
        </w:rPr>
        <w:t xml:space="preserve"> shared </w:t>
      </w:r>
      <w:r w:rsidR="009D0B44">
        <w:rPr>
          <w:lang w:eastAsia="ja-JP"/>
        </w:rPr>
        <w:t xml:space="preserve">with the </w:t>
      </w:r>
      <w:r w:rsidR="009D0B44" w:rsidRPr="009D0B44">
        <w:rPr>
          <w:lang w:eastAsia="ja-JP"/>
        </w:rPr>
        <w:t>European Commission’s Health Emergency Preparedness and Response Authority (HERA)</w:t>
      </w:r>
      <w:r w:rsidR="009D0B44">
        <w:rPr>
          <w:lang w:eastAsia="ja-JP"/>
        </w:rPr>
        <w:t xml:space="preserve"> upon request</w:t>
      </w:r>
      <w:r w:rsidR="009D0B44" w:rsidRPr="009D0B44">
        <w:rPr>
          <w:lang w:eastAsia="ja-JP"/>
        </w:rPr>
        <w:t xml:space="preserve"> for EU Member States’ consideration of their </w:t>
      </w:r>
      <w:r w:rsidR="009D0B44">
        <w:rPr>
          <w:lang w:eastAsia="ja-JP"/>
        </w:rPr>
        <w:t xml:space="preserve">influenza </w:t>
      </w:r>
      <w:r w:rsidR="009D0B44" w:rsidRPr="009D0B44">
        <w:rPr>
          <w:lang w:eastAsia="ja-JP"/>
        </w:rPr>
        <w:t>antiviral stockpile needs.</w:t>
      </w:r>
      <w:r w:rsidR="009D0B44">
        <w:rPr>
          <w:lang w:eastAsia="ja-JP"/>
        </w:rPr>
        <w:t xml:space="preserve"> W</w:t>
      </w:r>
      <w:r w:rsidRPr="009E5EA2">
        <w:rPr>
          <w:lang w:eastAsia="ja-JP"/>
        </w:rPr>
        <w:t xml:space="preserve">e expect </w:t>
      </w:r>
      <w:r w:rsidR="009D0B44">
        <w:rPr>
          <w:lang w:eastAsia="ja-JP"/>
        </w:rPr>
        <w:t>this</w:t>
      </w:r>
      <w:r w:rsidRPr="009E5EA2">
        <w:rPr>
          <w:lang w:eastAsia="ja-JP"/>
        </w:rPr>
        <w:t xml:space="preserve"> work will be of </w:t>
      </w:r>
      <w:r w:rsidR="001728C8">
        <w:rPr>
          <w:lang w:eastAsia="ja-JP"/>
        </w:rPr>
        <w:t>great</w:t>
      </w:r>
      <w:r w:rsidRPr="009E5EA2">
        <w:rPr>
          <w:lang w:eastAsia="ja-JP"/>
        </w:rPr>
        <w:t xml:space="preserve"> interest to </w:t>
      </w:r>
      <w:r w:rsidR="009D0B44">
        <w:rPr>
          <w:lang w:eastAsia="ja-JP"/>
        </w:rPr>
        <w:t xml:space="preserve">a </w:t>
      </w:r>
      <w:r w:rsidRPr="009E5EA2">
        <w:rPr>
          <w:lang w:eastAsia="ja-JP"/>
        </w:rPr>
        <w:t>wide</w:t>
      </w:r>
      <w:r w:rsidR="009D0B44">
        <w:rPr>
          <w:lang w:eastAsia="ja-JP"/>
        </w:rPr>
        <w:t>r global</w:t>
      </w:r>
      <w:r w:rsidRPr="009E5EA2">
        <w:rPr>
          <w:lang w:eastAsia="ja-JP"/>
        </w:rPr>
        <w:t xml:space="preserve"> audience, including governments</w:t>
      </w:r>
      <w:r w:rsidR="00C70937">
        <w:rPr>
          <w:lang w:eastAsia="ja-JP"/>
        </w:rPr>
        <w:t xml:space="preserve"> worldwide</w:t>
      </w:r>
      <w:r w:rsidRPr="009E5EA2">
        <w:rPr>
          <w:lang w:eastAsia="ja-JP"/>
        </w:rPr>
        <w:t xml:space="preserve">, clinicians, epidemiologists, public health experts, and generally anyone interested in pandemic mitigation </w:t>
      </w:r>
      <w:r w:rsidR="009D0B44">
        <w:rPr>
          <w:lang w:eastAsia="ja-JP"/>
        </w:rPr>
        <w:t>and preparedness</w:t>
      </w:r>
      <w:r w:rsidRPr="009E5EA2">
        <w:rPr>
          <w:lang w:eastAsia="ja-JP"/>
        </w:rPr>
        <w:t xml:space="preserve">. We </w:t>
      </w:r>
      <w:r w:rsidR="009D0B44">
        <w:rPr>
          <w:lang w:eastAsia="ja-JP"/>
        </w:rPr>
        <w:t>believe</w:t>
      </w:r>
      <w:r w:rsidRPr="009E5EA2">
        <w:rPr>
          <w:lang w:eastAsia="ja-JP"/>
        </w:rPr>
        <w:t xml:space="preserve"> that </w:t>
      </w:r>
      <w:r w:rsidR="009D0B44" w:rsidRPr="00EF7FB1">
        <w:rPr>
          <w:i/>
          <w:iCs/>
          <w:lang w:eastAsia="ja-JP"/>
        </w:rPr>
        <w:t>Lancet Infectious Disease</w:t>
      </w:r>
      <w:r w:rsidRPr="009E5EA2">
        <w:rPr>
          <w:lang w:eastAsia="ja-JP"/>
        </w:rPr>
        <w:t xml:space="preserve"> is the right forum </w:t>
      </w:r>
      <w:r w:rsidR="00222EB3">
        <w:rPr>
          <w:lang w:eastAsia="ja-JP"/>
        </w:rPr>
        <w:t>to</w:t>
      </w:r>
      <w:r w:rsidRPr="009E5EA2">
        <w:rPr>
          <w:lang w:eastAsia="ja-JP"/>
        </w:rPr>
        <w:t xml:space="preserve"> </w:t>
      </w:r>
      <w:r w:rsidR="00222EB3">
        <w:rPr>
          <w:lang w:eastAsia="ja-JP"/>
        </w:rPr>
        <w:t>reach</w:t>
      </w:r>
      <w:r w:rsidRPr="009E5EA2">
        <w:rPr>
          <w:lang w:eastAsia="ja-JP"/>
        </w:rPr>
        <w:t xml:space="preserve"> the widest possible audience.</w:t>
      </w:r>
    </w:p>
    <w:p w14:paraId="2BB12397" w14:textId="77777777" w:rsidR="00A06601" w:rsidRDefault="00A06601" w:rsidP="00A06601"/>
    <w:p w14:paraId="563E7288" w14:textId="68A650E4" w:rsidR="00F837B4" w:rsidRPr="00F76B84" w:rsidRDefault="00BD3365" w:rsidP="00D35DDB">
      <w:r>
        <w:t>T</w:t>
      </w:r>
      <w:r w:rsidR="00F837B4" w:rsidRPr="00F76B84">
        <w:t xml:space="preserve">hank you for your </w:t>
      </w:r>
      <w:r w:rsidR="00D91D2C" w:rsidRPr="00F76B84">
        <w:t>consideration</w:t>
      </w:r>
      <w:r w:rsidR="00F837B4" w:rsidRPr="00F76B84">
        <w:t xml:space="preserve"> and </w:t>
      </w:r>
      <w:r>
        <w:t xml:space="preserve">we </w:t>
      </w:r>
      <w:r w:rsidR="00F837B4" w:rsidRPr="00F76B84">
        <w:t xml:space="preserve">look forward to your decision. </w:t>
      </w:r>
    </w:p>
    <w:p w14:paraId="1D9827C1" w14:textId="77777777" w:rsidR="001023B1" w:rsidRPr="00F76B84" w:rsidRDefault="001023B1" w:rsidP="00D35DDB"/>
    <w:p w14:paraId="3215D04B" w14:textId="680F3F36" w:rsidR="002A4842" w:rsidRPr="00F76B84" w:rsidRDefault="00F837B4" w:rsidP="00D35DDB">
      <w:r w:rsidRPr="00F76B84">
        <w:t xml:space="preserve">Sincerely, </w:t>
      </w:r>
    </w:p>
    <w:p w14:paraId="23864E1F" w14:textId="4E8F22BA" w:rsidR="00F837B4" w:rsidRDefault="00FA4206" w:rsidP="00D35DDB">
      <w:r>
        <w:t>Alvin X. Han</w:t>
      </w:r>
      <w:r w:rsidR="009B6BF4">
        <w:t>, Katina D. Hulme and</w:t>
      </w:r>
      <w:r>
        <w:t xml:space="preserve"> Colin A. Russell</w:t>
      </w:r>
    </w:p>
    <w:p w14:paraId="5D4C772F" w14:textId="010E719F" w:rsidR="00894647" w:rsidRPr="00F76B84" w:rsidRDefault="00894647" w:rsidP="00D35DDB"/>
    <w:sectPr w:rsidR="00894647" w:rsidRPr="00F76B84" w:rsidSect="00272F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B4"/>
    <w:rsid w:val="0000375C"/>
    <w:rsid w:val="00005585"/>
    <w:rsid w:val="00006766"/>
    <w:rsid w:val="00016B3D"/>
    <w:rsid w:val="00032CFD"/>
    <w:rsid w:val="00046835"/>
    <w:rsid w:val="00063387"/>
    <w:rsid w:val="000660D5"/>
    <w:rsid w:val="000740D8"/>
    <w:rsid w:val="000B3CFE"/>
    <w:rsid w:val="001023B1"/>
    <w:rsid w:val="00102EC2"/>
    <w:rsid w:val="00103FC4"/>
    <w:rsid w:val="00106965"/>
    <w:rsid w:val="00106A89"/>
    <w:rsid w:val="001119A7"/>
    <w:rsid w:val="00112559"/>
    <w:rsid w:val="00114E83"/>
    <w:rsid w:val="00134EC8"/>
    <w:rsid w:val="00152BAE"/>
    <w:rsid w:val="00157C8C"/>
    <w:rsid w:val="00157E5B"/>
    <w:rsid w:val="00164CA5"/>
    <w:rsid w:val="001728C8"/>
    <w:rsid w:val="00183682"/>
    <w:rsid w:val="001864A2"/>
    <w:rsid w:val="001C3F0A"/>
    <w:rsid w:val="001F5CF4"/>
    <w:rsid w:val="001F7CCE"/>
    <w:rsid w:val="0022046F"/>
    <w:rsid w:val="00222EB3"/>
    <w:rsid w:val="00231A2D"/>
    <w:rsid w:val="00272AEC"/>
    <w:rsid w:val="00272F5A"/>
    <w:rsid w:val="002744A4"/>
    <w:rsid w:val="002767B9"/>
    <w:rsid w:val="00285D9F"/>
    <w:rsid w:val="00291BC6"/>
    <w:rsid w:val="00293D72"/>
    <w:rsid w:val="002962AB"/>
    <w:rsid w:val="002A4842"/>
    <w:rsid w:val="002A69F1"/>
    <w:rsid w:val="002D0049"/>
    <w:rsid w:val="002F0DEE"/>
    <w:rsid w:val="003102DC"/>
    <w:rsid w:val="00324AA1"/>
    <w:rsid w:val="003400FD"/>
    <w:rsid w:val="00345465"/>
    <w:rsid w:val="003460A5"/>
    <w:rsid w:val="00372607"/>
    <w:rsid w:val="00375F0A"/>
    <w:rsid w:val="003A6975"/>
    <w:rsid w:val="003B727E"/>
    <w:rsid w:val="003C0ED7"/>
    <w:rsid w:val="003D2CC5"/>
    <w:rsid w:val="003D57B5"/>
    <w:rsid w:val="003E3542"/>
    <w:rsid w:val="003E3CD7"/>
    <w:rsid w:val="00413456"/>
    <w:rsid w:val="00427BF8"/>
    <w:rsid w:val="00431BE5"/>
    <w:rsid w:val="00434C9F"/>
    <w:rsid w:val="0045463B"/>
    <w:rsid w:val="00466D40"/>
    <w:rsid w:val="00474376"/>
    <w:rsid w:val="004867C7"/>
    <w:rsid w:val="00492F72"/>
    <w:rsid w:val="00494364"/>
    <w:rsid w:val="00494BD9"/>
    <w:rsid w:val="004955B8"/>
    <w:rsid w:val="004A5E4C"/>
    <w:rsid w:val="004A62B1"/>
    <w:rsid w:val="004C3094"/>
    <w:rsid w:val="004D5658"/>
    <w:rsid w:val="00512547"/>
    <w:rsid w:val="005126EA"/>
    <w:rsid w:val="005231B7"/>
    <w:rsid w:val="005263E7"/>
    <w:rsid w:val="005264D5"/>
    <w:rsid w:val="00534F8E"/>
    <w:rsid w:val="00542098"/>
    <w:rsid w:val="005530BA"/>
    <w:rsid w:val="00562D64"/>
    <w:rsid w:val="00564DFA"/>
    <w:rsid w:val="00572AB3"/>
    <w:rsid w:val="005853DB"/>
    <w:rsid w:val="00590482"/>
    <w:rsid w:val="005920EF"/>
    <w:rsid w:val="005B1D24"/>
    <w:rsid w:val="006170CA"/>
    <w:rsid w:val="00631E8B"/>
    <w:rsid w:val="00654B23"/>
    <w:rsid w:val="006575A3"/>
    <w:rsid w:val="0066442C"/>
    <w:rsid w:val="0066570F"/>
    <w:rsid w:val="00666333"/>
    <w:rsid w:val="006704A0"/>
    <w:rsid w:val="00680FCE"/>
    <w:rsid w:val="00694DC5"/>
    <w:rsid w:val="006B38BC"/>
    <w:rsid w:val="006D03F6"/>
    <w:rsid w:val="00725FF4"/>
    <w:rsid w:val="00740723"/>
    <w:rsid w:val="00747231"/>
    <w:rsid w:val="0075255F"/>
    <w:rsid w:val="00752637"/>
    <w:rsid w:val="00762250"/>
    <w:rsid w:val="00781F4F"/>
    <w:rsid w:val="00786F40"/>
    <w:rsid w:val="0078734A"/>
    <w:rsid w:val="007975BE"/>
    <w:rsid w:val="007A56BD"/>
    <w:rsid w:val="007B6D65"/>
    <w:rsid w:val="0081494F"/>
    <w:rsid w:val="00816425"/>
    <w:rsid w:val="00826875"/>
    <w:rsid w:val="00832B4B"/>
    <w:rsid w:val="008374A9"/>
    <w:rsid w:val="00885BB9"/>
    <w:rsid w:val="00894647"/>
    <w:rsid w:val="008A044B"/>
    <w:rsid w:val="008D5B95"/>
    <w:rsid w:val="008E26AE"/>
    <w:rsid w:val="008F4DFA"/>
    <w:rsid w:val="008F5F4E"/>
    <w:rsid w:val="00900E9E"/>
    <w:rsid w:val="00905EE5"/>
    <w:rsid w:val="00912413"/>
    <w:rsid w:val="00916034"/>
    <w:rsid w:val="0092549D"/>
    <w:rsid w:val="009650AD"/>
    <w:rsid w:val="009719C0"/>
    <w:rsid w:val="009952F2"/>
    <w:rsid w:val="009B6BF4"/>
    <w:rsid w:val="009D0B44"/>
    <w:rsid w:val="009D489D"/>
    <w:rsid w:val="009E5EA2"/>
    <w:rsid w:val="00A03538"/>
    <w:rsid w:val="00A06601"/>
    <w:rsid w:val="00A11423"/>
    <w:rsid w:val="00A34747"/>
    <w:rsid w:val="00A373C0"/>
    <w:rsid w:val="00A40861"/>
    <w:rsid w:val="00A60D20"/>
    <w:rsid w:val="00A953D4"/>
    <w:rsid w:val="00A96886"/>
    <w:rsid w:val="00AA59FE"/>
    <w:rsid w:val="00AB74BF"/>
    <w:rsid w:val="00AF0633"/>
    <w:rsid w:val="00B64578"/>
    <w:rsid w:val="00B701DD"/>
    <w:rsid w:val="00B828E8"/>
    <w:rsid w:val="00B833B2"/>
    <w:rsid w:val="00B84D98"/>
    <w:rsid w:val="00BA5974"/>
    <w:rsid w:val="00BB1FA5"/>
    <w:rsid w:val="00BC224D"/>
    <w:rsid w:val="00BD3365"/>
    <w:rsid w:val="00BD384C"/>
    <w:rsid w:val="00BE1BBB"/>
    <w:rsid w:val="00BE6880"/>
    <w:rsid w:val="00BF0C0D"/>
    <w:rsid w:val="00C02035"/>
    <w:rsid w:val="00C17FE6"/>
    <w:rsid w:val="00C20DBC"/>
    <w:rsid w:val="00C24CB3"/>
    <w:rsid w:val="00C324A1"/>
    <w:rsid w:val="00C43D2E"/>
    <w:rsid w:val="00C528C3"/>
    <w:rsid w:val="00C70937"/>
    <w:rsid w:val="00C843AE"/>
    <w:rsid w:val="00C90D4C"/>
    <w:rsid w:val="00CA21AA"/>
    <w:rsid w:val="00CB3C2B"/>
    <w:rsid w:val="00CB554F"/>
    <w:rsid w:val="00CC17B9"/>
    <w:rsid w:val="00CC280C"/>
    <w:rsid w:val="00D01D38"/>
    <w:rsid w:val="00D07F07"/>
    <w:rsid w:val="00D15F53"/>
    <w:rsid w:val="00D26A17"/>
    <w:rsid w:val="00D3161C"/>
    <w:rsid w:val="00D35DDB"/>
    <w:rsid w:val="00D40C0D"/>
    <w:rsid w:val="00D51B93"/>
    <w:rsid w:val="00D6503F"/>
    <w:rsid w:val="00D66E0A"/>
    <w:rsid w:val="00D86629"/>
    <w:rsid w:val="00D91D2C"/>
    <w:rsid w:val="00DA3BD5"/>
    <w:rsid w:val="00DA77C2"/>
    <w:rsid w:val="00DB538F"/>
    <w:rsid w:val="00DC2A90"/>
    <w:rsid w:val="00DD0F25"/>
    <w:rsid w:val="00DF05BD"/>
    <w:rsid w:val="00E073B2"/>
    <w:rsid w:val="00E17BFC"/>
    <w:rsid w:val="00E205C5"/>
    <w:rsid w:val="00E4580B"/>
    <w:rsid w:val="00E65F9F"/>
    <w:rsid w:val="00E67F0F"/>
    <w:rsid w:val="00E926D3"/>
    <w:rsid w:val="00EC0EB7"/>
    <w:rsid w:val="00ED4689"/>
    <w:rsid w:val="00ED71B3"/>
    <w:rsid w:val="00EF7FB1"/>
    <w:rsid w:val="00F03930"/>
    <w:rsid w:val="00F11793"/>
    <w:rsid w:val="00F14757"/>
    <w:rsid w:val="00F2334A"/>
    <w:rsid w:val="00F33378"/>
    <w:rsid w:val="00F46E2A"/>
    <w:rsid w:val="00F53F43"/>
    <w:rsid w:val="00F76B84"/>
    <w:rsid w:val="00F837B4"/>
    <w:rsid w:val="00FA4206"/>
    <w:rsid w:val="00FB137C"/>
    <w:rsid w:val="00FD479D"/>
    <w:rsid w:val="00FD6BDF"/>
    <w:rsid w:val="00FE3C2A"/>
    <w:rsid w:val="00FF33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2B93"/>
  <w15:chartTrackingRefBased/>
  <w15:docId w15:val="{D592E62C-DD53-F84B-AEFD-1DCB664C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DDB"/>
    <w:pPr>
      <w:spacing w:line="276" w:lineRule="auto"/>
    </w:pPr>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37B4"/>
  </w:style>
  <w:style w:type="character" w:customStyle="1" w:styleId="DateChar">
    <w:name w:val="Date Char"/>
    <w:basedOn w:val="DefaultParagraphFont"/>
    <w:link w:val="Date"/>
    <w:uiPriority w:val="99"/>
    <w:semiHidden/>
    <w:rsid w:val="00F837B4"/>
  </w:style>
  <w:style w:type="paragraph" w:styleId="BalloonText">
    <w:name w:val="Balloon Text"/>
    <w:basedOn w:val="Normal"/>
    <w:link w:val="BalloonTextChar"/>
    <w:uiPriority w:val="99"/>
    <w:semiHidden/>
    <w:unhideWhenUsed/>
    <w:rsid w:val="00494364"/>
    <w:rPr>
      <w:sz w:val="18"/>
      <w:szCs w:val="18"/>
    </w:rPr>
  </w:style>
  <w:style w:type="character" w:customStyle="1" w:styleId="BalloonTextChar">
    <w:name w:val="Balloon Text Char"/>
    <w:basedOn w:val="DefaultParagraphFont"/>
    <w:link w:val="BalloonText"/>
    <w:uiPriority w:val="99"/>
    <w:semiHidden/>
    <w:rsid w:val="00494364"/>
    <w:rPr>
      <w:rFonts w:ascii="Times New Roman" w:hAnsi="Times New Roman" w:cs="Times New Roman"/>
      <w:sz w:val="18"/>
      <w:szCs w:val="18"/>
    </w:rPr>
  </w:style>
  <w:style w:type="character" w:styleId="Hyperlink">
    <w:name w:val="Hyperlink"/>
    <w:basedOn w:val="DefaultParagraphFont"/>
    <w:uiPriority w:val="99"/>
    <w:unhideWhenUsed/>
    <w:rsid w:val="00494364"/>
    <w:rPr>
      <w:color w:val="0563C1" w:themeColor="hyperlink"/>
      <w:u w:val="single"/>
    </w:rPr>
  </w:style>
  <w:style w:type="character" w:styleId="UnresolvedMention">
    <w:name w:val="Unresolved Mention"/>
    <w:basedOn w:val="DefaultParagraphFont"/>
    <w:uiPriority w:val="99"/>
    <w:semiHidden/>
    <w:unhideWhenUsed/>
    <w:rsid w:val="00494364"/>
    <w:rPr>
      <w:color w:val="605E5C"/>
      <w:shd w:val="clear" w:color="auto" w:fill="E1DFDD"/>
    </w:rPr>
  </w:style>
  <w:style w:type="character" w:styleId="FollowedHyperlink">
    <w:name w:val="FollowedHyperlink"/>
    <w:basedOn w:val="DefaultParagraphFont"/>
    <w:uiPriority w:val="99"/>
    <w:semiHidden/>
    <w:unhideWhenUsed/>
    <w:rsid w:val="00FD479D"/>
    <w:rPr>
      <w:color w:val="954F72" w:themeColor="followedHyperlink"/>
      <w:u w:val="single"/>
    </w:rPr>
  </w:style>
  <w:style w:type="character" w:styleId="PlaceholderText">
    <w:name w:val="Placeholder Text"/>
    <w:basedOn w:val="DefaultParagraphFont"/>
    <w:uiPriority w:val="99"/>
    <w:semiHidden/>
    <w:rsid w:val="004955B8"/>
    <w:rPr>
      <w:color w:val="808080"/>
    </w:rPr>
  </w:style>
  <w:style w:type="character" w:styleId="CommentReference">
    <w:name w:val="annotation reference"/>
    <w:basedOn w:val="DefaultParagraphFont"/>
    <w:uiPriority w:val="99"/>
    <w:semiHidden/>
    <w:unhideWhenUsed/>
    <w:rsid w:val="001C3F0A"/>
    <w:rPr>
      <w:sz w:val="16"/>
      <w:szCs w:val="16"/>
    </w:rPr>
  </w:style>
  <w:style w:type="paragraph" w:styleId="CommentText">
    <w:name w:val="annotation text"/>
    <w:basedOn w:val="Normal"/>
    <w:link w:val="CommentTextChar"/>
    <w:uiPriority w:val="99"/>
    <w:semiHidden/>
    <w:unhideWhenUsed/>
    <w:rsid w:val="001C3F0A"/>
    <w:pPr>
      <w:spacing w:line="240" w:lineRule="auto"/>
    </w:pPr>
    <w:rPr>
      <w:sz w:val="20"/>
      <w:szCs w:val="20"/>
    </w:rPr>
  </w:style>
  <w:style w:type="character" w:customStyle="1" w:styleId="CommentTextChar">
    <w:name w:val="Comment Text Char"/>
    <w:basedOn w:val="DefaultParagraphFont"/>
    <w:link w:val="CommentText"/>
    <w:uiPriority w:val="99"/>
    <w:semiHidden/>
    <w:rsid w:val="001C3F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3F0A"/>
    <w:rPr>
      <w:b/>
      <w:bCs/>
    </w:rPr>
  </w:style>
  <w:style w:type="character" w:customStyle="1" w:styleId="CommentSubjectChar">
    <w:name w:val="Comment Subject Char"/>
    <w:basedOn w:val="CommentTextChar"/>
    <w:link w:val="CommentSubject"/>
    <w:uiPriority w:val="99"/>
    <w:semiHidden/>
    <w:rsid w:val="001C3F0A"/>
    <w:rPr>
      <w:rFonts w:ascii="Times New Roman" w:hAnsi="Times New Roman" w:cs="Times New Roman"/>
      <w:b/>
      <w:bCs/>
      <w:sz w:val="20"/>
      <w:szCs w:val="20"/>
    </w:rPr>
  </w:style>
  <w:style w:type="paragraph" w:styleId="Revision">
    <w:name w:val="Revision"/>
    <w:hidden/>
    <w:uiPriority w:val="99"/>
    <w:semiHidden/>
    <w:rsid w:val="00ED4689"/>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3084">
      <w:bodyDiv w:val="1"/>
      <w:marLeft w:val="0"/>
      <w:marRight w:val="0"/>
      <w:marTop w:val="0"/>
      <w:marBottom w:val="0"/>
      <w:divBdr>
        <w:top w:val="none" w:sz="0" w:space="0" w:color="auto"/>
        <w:left w:val="none" w:sz="0" w:space="0" w:color="auto"/>
        <w:bottom w:val="none" w:sz="0" w:space="0" w:color="auto"/>
        <w:right w:val="none" w:sz="0" w:space="0" w:color="auto"/>
      </w:divBdr>
    </w:div>
    <w:div w:id="853223466">
      <w:bodyDiv w:val="1"/>
      <w:marLeft w:val="0"/>
      <w:marRight w:val="0"/>
      <w:marTop w:val="0"/>
      <w:marBottom w:val="0"/>
      <w:divBdr>
        <w:top w:val="none" w:sz="0" w:space="0" w:color="auto"/>
        <w:left w:val="none" w:sz="0" w:space="0" w:color="auto"/>
        <w:bottom w:val="none" w:sz="0" w:space="0" w:color="auto"/>
        <w:right w:val="none" w:sz="0" w:space="0" w:color="auto"/>
      </w:divBdr>
    </w:div>
    <w:div w:id="937831274">
      <w:bodyDiv w:val="1"/>
      <w:marLeft w:val="0"/>
      <w:marRight w:val="0"/>
      <w:marTop w:val="0"/>
      <w:marBottom w:val="0"/>
      <w:divBdr>
        <w:top w:val="none" w:sz="0" w:space="0" w:color="auto"/>
        <w:left w:val="none" w:sz="0" w:space="0" w:color="auto"/>
        <w:bottom w:val="none" w:sz="0" w:space="0" w:color="auto"/>
        <w:right w:val="none" w:sz="0" w:space="0" w:color="auto"/>
      </w:divBdr>
    </w:div>
    <w:div w:id="1126923205">
      <w:bodyDiv w:val="1"/>
      <w:marLeft w:val="0"/>
      <w:marRight w:val="0"/>
      <w:marTop w:val="0"/>
      <w:marBottom w:val="0"/>
      <w:divBdr>
        <w:top w:val="none" w:sz="0" w:space="0" w:color="auto"/>
        <w:left w:val="none" w:sz="0" w:space="0" w:color="auto"/>
        <w:bottom w:val="none" w:sz="0" w:space="0" w:color="auto"/>
        <w:right w:val="none" w:sz="0" w:space="0" w:color="auto"/>
      </w:divBdr>
    </w:div>
    <w:div w:id="1213345032">
      <w:bodyDiv w:val="1"/>
      <w:marLeft w:val="0"/>
      <w:marRight w:val="0"/>
      <w:marTop w:val="0"/>
      <w:marBottom w:val="0"/>
      <w:divBdr>
        <w:top w:val="none" w:sz="0" w:space="0" w:color="auto"/>
        <w:left w:val="none" w:sz="0" w:space="0" w:color="auto"/>
        <w:bottom w:val="none" w:sz="0" w:space="0" w:color="auto"/>
        <w:right w:val="none" w:sz="0" w:space="0" w:color="auto"/>
      </w:divBdr>
    </w:div>
    <w:div w:id="1642886079">
      <w:bodyDiv w:val="1"/>
      <w:marLeft w:val="0"/>
      <w:marRight w:val="0"/>
      <w:marTop w:val="0"/>
      <w:marBottom w:val="0"/>
      <w:divBdr>
        <w:top w:val="none" w:sz="0" w:space="0" w:color="auto"/>
        <w:left w:val="none" w:sz="0" w:space="0" w:color="auto"/>
        <w:bottom w:val="none" w:sz="0" w:space="0" w:color="auto"/>
        <w:right w:val="none" w:sz="0" w:space="0" w:color="auto"/>
      </w:divBdr>
    </w:div>
    <w:div w:id="1655984574">
      <w:bodyDiv w:val="1"/>
      <w:marLeft w:val="0"/>
      <w:marRight w:val="0"/>
      <w:marTop w:val="0"/>
      <w:marBottom w:val="0"/>
      <w:divBdr>
        <w:top w:val="none" w:sz="0" w:space="0" w:color="auto"/>
        <w:left w:val="none" w:sz="0" w:space="0" w:color="auto"/>
        <w:bottom w:val="none" w:sz="0" w:space="0" w:color="auto"/>
        <w:right w:val="none" w:sz="0" w:space="0" w:color="auto"/>
      </w:divBdr>
    </w:div>
    <w:div w:id="1808012617">
      <w:bodyDiv w:val="1"/>
      <w:marLeft w:val="0"/>
      <w:marRight w:val="0"/>
      <w:marTop w:val="0"/>
      <w:marBottom w:val="0"/>
      <w:divBdr>
        <w:top w:val="none" w:sz="0" w:space="0" w:color="auto"/>
        <w:left w:val="none" w:sz="0" w:space="0" w:color="auto"/>
        <w:bottom w:val="none" w:sz="0" w:space="0" w:color="auto"/>
        <w:right w:val="none" w:sz="0" w:space="0" w:color="auto"/>
      </w:divBdr>
      <w:divsChild>
        <w:div w:id="1247837319">
          <w:marLeft w:val="0"/>
          <w:marRight w:val="0"/>
          <w:marTop w:val="0"/>
          <w:marBottom w:val="0"/>
          <w:divBdr>
            <w:top w:val="none" w:sz="0" w:space="0" w:color="auto"/>
            <w:left w:val="none" w:sz="0" w:space="0" w:color="auto"/>
            <w:bottom w:val="none" w:sz="0" w:space="0" w:color="auto"/>
            <w:right w:val="none" w:sz="0" w:space="0" w:color="auto"/>
          </w:divBdr>
          <w:divsChild>
            <w:div w:id="1480541044">
              <w:marLeft w:val="0"/>
              <w:marRight w:val="0"/>
              <w:marTop w:val="0"/>
              <w:marBottom w:val="0"/>
              <w:divBdr>
                <w:top w:val="none" w:sz="0" w:space="0" w:color="auto"/>
                <w:left w:val="none" w:sz="0" w:space="0" w:color="auto"/>
                <w:bottom w:val="none" w:sz="0" w:space="0" w:color="auto"/>
                <w:right w:val="none" w:sz="0" w:space="0" w:color="auto"/>
              </w:divBdr>
              <w:divsChild>
                <w:div w:id="13502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2DCF-D5B4-DF42-9940-84573F7CA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Alvin Han</cp:lastModifiedBy>
  <cp:revision>8</cp:revision>
  <dcterms:created xsi:type="dcterms:W3CDTF">2025-02-07T22:24:00Z</dcterms:created>
  <dcterms:modified xsi:type="dcterms:W3CDTF">2025-02-07T22:35:00Z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0be058d4-afc8-3fa4-8cd7-99845567dedc</vt:lpwstr>
  </property>
  <property fmtid="{D5CDD505-2E9C-101B-9397-08002B2CF9AE}" pid="4" name="Mendeley Citation Style_1">
    <vt:lpwstr>http://www.zotero.org/styles/elife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http://csl.mendeley.com/styles/510195711/mbe-no-url</vt:lpwstr>
  </property>
  <property fmtid="{D5CDD505-2E9C-101B-9397-08002B2CF9AE}" pid="18" name="Mendeley Recent Style Name 6_1">
    <vt:lpwstr>Molecular Biology and Evolution - Alvin X. Han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http://www.zotero.org/styles/virus-research</vt:lpwstr>
  </property>
  <property fmtid="{D5CDD505-2E9C-101B-9397-08002B2CF9AE}" pid="22" name="Mendeley Recent Style Name 8_1">
    <vt:lpwstr>Virus Research</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