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9B176" w14:textId="570DE567" w:rsidR="00134B19" w:rsidRPr="00F04787" w:rsidRDefault="00134B19" w:rsidP="0055385D">
      <w:pPr>
        <w:spacing w:line="360" w:lineRule="auto"/>
        <w:rPr>
          <w:b/>
          <w:color w:val="000000" w:themeColor="text1"/>
        </w:rPr>
      </w:pPr>
      <w:r w:rsidRPr="00F04787">
        <w:rPr>
          <w:b/>
          <w:color w:val="000000" w:themeColor="text1"/>
        </w:rPr>
        <w:t xml:space="preserve">Supplementary Appendix: Estimating the global demand and potential public health impact of oral antiviral treatment stockpile for influenza pandemics: a mathematical modelling study </w:t>
      </w:r>
    </w:p>
    <w:p w14:paraId="6229E045" w14:textId="77777777" w:rsidR="00134B19" w:rsidRPr="00F04787" w:rsidRDefault="00134B19" w:rsidP="00134B19"/>
    <w:p w14:paraId="7B8DA030" w14:textId="2A378829" w:rsidR="00134B19" w:rsidRPr="00F04787" w:rsidRDefault="00134B19" w:rsidP="0055385D">
      <w:pPr>
        <w:spacing w:line="276" w:lineRule="auto"/>
      </w:pPr>
      <w:r w:rsidRPr="00F04787">
        <w:t>Alvin X. Han, PhD</w:t>
      </w:r>
      <w:r w:rsidRPr="00F04787">
        <w:rPr>
          <w:vertAlign w:val="superscript"/>
        </w:rPr>
        <w:t>1</w:t>
      </w:r>
      <w:r w:rsidRPr="00F04787">
        <w:t xml:space="preserve">, </w:t>
      </w:r>
      <w:r w:rsidR="002E4231" w:rsidRPr="002E4231">
        <w:t xml:space="preserve"> </w:t>
      </w:r>
      <w:r w:rsidR="002E4231">
        <w:t xml:space="preserve">Katina Hulme, </w:t>
      </w:r>
      <w:r w:rsidR="002E4231" w:rsidRPr="00F04787">
        <w:t>PhD</w:t>
      </w:r>
      <w:r w:rsidR="002E4231" w:rsidRPr="00F04787">
        <w:rPr>
          <w:vertAlign w:val="superscript"/>
        </w:rPr>
        <w:t>1</w:t>
      </w:r>
      <w:r w:rsidR="005A7129">
        <w:t xml:space="preserve">, </w:t>
      </w:r>
      <w:r w:rsidRPr="00F04787">
        <w:t>Colin A. Russell, PhD</w:t>
      </w:r>
      <w:r w:rsidRPr="00F04787">
        <w:rPr>
          <w:vertAlign w:val="superscript"/>
        </w:rPr>
        <w:t>1</w:t>
      </w:r>
    </w:p>
    <w:p w14:paraId="47458938" w14:textId="3789DF27" w:rsidR="0055385D" w:rsidRPr="00F04787" w:rsidRDefault="00134B19" w:rsidP="0055385D">
      <w:pPr>
        <w:spacing w:line="276" w:lineRule="auto"/>
      </w:pPr>
      <w:r w:rsidRPr="00F04787">
        <w:rPr>
          <w:vertAlign w:val="superscript"/>
        </w:rPr>
        <w:t>1</w:t>
      </w:r>
      <w:r w:rsidRPr="00F04787">
        <w:t>Department of Medical Microbiology and Infection Prevention, Amsterdam University Medical Center, University of Amsterdam, Amsterdam, The Netherlands</w:t>
      </w:r>
    </w:p>
    <w:p w14:paraId="3F429C22" w14:textId="77777777" w:rsidR="0055385D" w:rsidRPr="00F04787" w:rsidRDefault="0055385D" w:rsidP="0055385D">
      <w:pPr>
        <w:spacing w:line="276" w:lineRule="auto"/>
      </w:pPr>
    </w:p>
    <w:p w14:paraId="03114DF3" w14:textId="72A22E91" w:rsidR="0055385D" w:rsidRPr="00F04787" w:rsidRDefault="0055385D" w:rsidP="00134B19"/>
    <w:p w14:paraId="52E16616" w14:textId="5D0B4C01" w:rsidR="00AE66B8" w:rsidRPr="00F04787" w:rsidRDefault="00AE66B8" w:rsidP="00134B19">
      <w:pPr>
        <w:rPr>
          <w:u w:val="single"/>
        </w:rPr>
      </w:pPr>
      <w:r w:rsidRPr="00F04787">
        <w:rPr>
          <w:u w:val="single"/>
        </w:rPr>
        <w:t>Contents</w:t>
      </w:r>
    </w:p>
    <w:p w14:paraId="696728A5" w14:textId="77777777" w:rsidR="0055385D" w:rsidRPr="00F04787" w:rsidRDefault="0055385D" w:rsidP="00134B19"/>
    <w:p w14:paraId="041C5AB9" w14:textId="1DC6CA1F" w:rsidR="00E4150B" w:rsidRDefault="00860107">
      <w:pPr>
        <w:pStyle w:val="TOC1"/>
        <w:tabs>
          <w:tab w:val="right" w:leader="dot" w:pos="9010"/>
        </w:tabs>
        <w:rPr>
          <w:rFonts w:asciiTheme="minorHAnsi" w:eastAsiaTheme="minorEastAsia" w:hAnsiTheme="minorHAnsi" w:cstheme="minorBidi"/>
          <w:noProof/>
          <w:sz w:val="24"/>
          <w:szCs w:val="24"/>
        </w:rPr>
      </w:pPr>
      <w:r w:rsidRPr="00F04787">
        <w:fldChar w:fldCharType="begin"/>
      </w:r>
      <w:r w:rsidRPr="00F04787">
        <w:instrText xml:space="preserve"> TOC \o "1-3" \h \z \u </w:instrText>
      </w:r>
      <w:r w:rsidRPr="00F04787">
        <w:fldChar w:fldCharType="separate"/>
      </w:r>
      <w:hyperlink w:anchor="_Toc189816096" w:history="1">
        <w:r w:rsidR="00E4150B" w:rsidRPr="00BA48BD">
          <w:rPr>
            <w:rStyle w:val="Hyperlink"/>
            <w:noProof/>
          </w:rPr>
          <w:t>Within-host model</w:t>
        </w:r>
        <w:r w:rsidR="00E4150B">
          <w:rPr>
            <w:noProof/>
            <w:webHidden/>
          </w:rPr>
          <w:tab/>
        </w:r>
        <w:r w:rsidR="00E4150B">
          <w:rPr>
            <w:noProof/>
            <w:webHidden/>
          </w:rPr>
          <w:fldChar w:fldCharType="begin"/>
        </w:r>
        <w:r w:rsidR="00E4150B">
          <w:rPr>
            <w:noProof/>
            <w:webHidden/>
          </w:rPr>
          <w:instrText xml:space="preserve"> PAGEREF _Toc189816096 \h </w:instrText>
        </w:r>
        <w:r w:rsidR="00E4150B">
          <w:rPr>
            <w:noProof/>
            <w:webHidden/>
          </w:rPr>
        </w:r>
        <w:r w:rsidR="00E4150B">
          <w:rPr>
            <w:noProof/>
            <w:webHidden/>
          </w:rPr>
          <w:fldChar w:fldCharType="separate"/>
        </w:r>
        <w:r w:rsidR="00E4150B">
          <w:rPr>
            <w:noProof/>
            <w:webHidden/>
          </w:rPr>
          <w:t>2</w:t>
        </w:r>
        <w:r w:rsidR="00E4150B">
          <w:rPr>
            <w:noProof/>
            <w:webHidden/>
          </w:rPr>
          <w:fldChar w:fldCharType="end"/>
        </w:r>
      </w:hyperlink>
    </w:p>
    <w:p w14:paraId="4ED12FC4" w14:textId="73902586" w:rsidR="00E4150B" w:rsidRDefault="00C3343E">
      <w:pPr>
        <w:pStyle w:val="TOC2"/>
        <w:tabs>
          <w:tab w:val="right" w:leader="dot" w:pos="9010"/>
        </w:tabs>
        <w:rPr>
          <w:rFonts w:asciiTheme="minorHAnsi" w:eastAsiaTheme="minorEastAsia" w:hAnsiTheme="minorHAnsi" w:cstheme="minorBidi"/>
          <w:noProof/>
          <w:sz w:val="24"/>
          <w:szCs w:val="24"/>
        </w:rPr>
      </w:pPr>
      <w:hyperlink w:anchor="_Toc189816097" w:history="1">
        <w:r w:rsidR="00E4150B" w:rsidRPr="00BA48BD">
          <w:rPr>
            <w:rStyle w:val="Hyperlink"/>
            <w:noProof/>
          </w:rPr>
          <w:t>Infectiousness estimates from within-host viral load</w:t>
        </w:r>
        <w:r w:rsidR="00E4150B">
          <w:rPr>
            <w:noProof/>
            <w:webHidden/>
          </w:rPr>
          <w:tab/>
        </w:r>
        <w:r w:rsidR="00E4150B">
          <w:rPr>
            <w:noProof/>
            <w:webHidden/>
          </w:rPr>
          <w:fldChar w:fldCharType="begin"/>
        </w:r>
        <w:r w:rsidR="00E4150B">
          <w:rPr>
            <w:noProof/>
            <w:webHidden/>
          </w:rPr>
          <w:instrText xml:space="preserve"> PAGEREF _Toc189816097 \h </w:instrText>
        </w:r>
        <w:r w:rsidR="00E4150B">
          <w:rPr>
            <w:noProof/>
            <w:webHidden/>
          </w:rPr>
        </w:r>
        <w:r w:rsidR="00E4150B">
          <w:rPr>
            <w:noProof/>
            <w:webHidden/>
          </w:rPr>
          <w:fldChar w:fldCharType="separate"/>
        </w:r>
        <w:r w:rsidR="00E4150B">
          <w:rPr>
            <w:noProof/>
            <w:webHidden/>
          </w:rPr>
          <w:t>2</w:t>
        </w:r>
        <w:r w:rsidR="00E4150B">
          <w:rPr>
            <w:noProof/>
            <w:webHidden/>
          </w:rPr>
          <w:fldChar w:fldCharType="end"/>
        </w:r>
      </w:hyperlink>
    </w:p>
    <w:p w14:paraId="4A2253C2" w14:textId="20A72315" w:rsidR="00E4150B" w:rsidRDefault="00C3343E">
      <w:pPr>
        <w:pStyle w:val="TOC1"/>
        <w:tabs>
          <w:tab w:val="right" w:leader="dot" w:pos="9010"/>
        </w:tabs>
        <w:rPr>
          <w:rFonts w:asciiTheme="minorHAnsi" w:eastAsiaTheme="minorEastAsia" w:hAnsiTheme="minorHAnsi" w:cstheme="minorBidi"/>
          <w:noProof/>
          <w:sz w:val="24"/>
          <w:szCs w:val="24"/>
        </w:rPr>
      </w:pPr>
      <w:hyperlink w:anchor="_Toc189816098" w:history="1">
        <w:r w:rsidR="00E4150B" w:rsidRPr="00BA48BD">
          <w:rPr>
            <w:rStyle w:val="Hyperlink"/>
            <w:noProof/>
          </w:rPr>
          <w:t>Between-host transmission model</w:t>
        </w:r>
        <w:r w:rsidR="00E4150B">
          <w:rPr>
            <w:noProof/>
            <w:webHidden/>
          </w:rPr>
          <w:tab/>
        </w:r>
        <w:r w:rsidR="00E4150B">
          <w:rPr>
            <w:noProof/>
            <w:webHidden/>
          </w:rPr>
          <w:fldChar w:fldCharType="begin"/>
        </w:r>
        <w:r w:rsidR="00E4150B">
          <w:rPr>
            <w:noProof/>
            <w:webHidden/>
          </w:rPr>
          <w:instrText xml:space="preserve"> PAGEREF _Toc189816098 \h </w:instrText>
        </w:r>
        <w:r w:rsidR="00E4150B">
          <w:rPr>
            <w:noProof/>
            <w:webHidden/>
          </w:rPr>
        </w:r>
        <w:r w:rsidR="00E4150B">
          <w:rPr>
            <w:noProof/>
            <w:webHidden/>
          </w:rPr>
          <w:fldChar w:fldCharType="separate"/>
        </w:r>
        <w:r w:rsidR="00E4150B">
          <w:rPr>
            <w:noProof/>
            <w:webHidden/>
          </w:rPr>
          <w:t>3</w:t>
        </w:r>
        <w:r w:rsidR="00E4150B">
          <w:rPr>
            <w:noProof/>
            <w:webHidden/>
          </w:rPr>
          <w:fldChar w:fldCharType="end"/>
        </w:r>
      </w:hyperlink>
    </w:p>
    <w:p w14:paraId="21F42659" w14:textId="5F10CB8D" w:rsidR="00E4150B" w:rsidRDefault="00C3343E">
      <w:pPr>
        <w:pStyle w:val="TOC2"/>
        <w:tabs>
          <w:tab w:val="right" w:leader="dot" w:pos="9010"/>
        </w:tabs>
        <w:rPr>
          <w:rFonts w:asciiTheme="minorHAnsi" w:eastAsiaTheme="minorEastAsia" w:hAnsiTheme="minorHAnsi" w:cstheme="minorBidi"/>
          <w:noProof/>
          <w:sz w:val="24"/>
          <w:szCs w:val="24"/>
        </w:rPr>
      </w:pPr>
      <w:hyperlink w:anchor="_Toc189816099" w:history="1">
        <w:r w:rsidR="00E4150B" w:rsidRPr="00BA48BD">
          <w:rPr>
            <w:rStyle w:val="Hyperlink"/>
            <w:noProof/>
          </w:rPr>
          <w:t>Test and treat</w:t>
        </w:r>
        <w:r w:rsidR="00E4150B">
          <w:rPr>
            <w:noProof/>
            <w:webHidden/>
          </w:rPr>
          <w:tab/>
        </w:r>
        <w:r w:rsidR="00E4150B">
          <w:rPr>
            <w:noProof/>
            <w:webHidden/>
          </w:rPr>
          <w:fldChar w:fldCharType="begin"/>
        </w:r>
        <w:r w:rsidR="00E4150B">
          <w:rPr>
            <w:noProof/>
            <w:webHidden/>
          </w:rPr>
          <w:instrText xml:space="preserve"> PAGEREF _Toc189816099 \h </w:instrText>
        </w:r>
        <w:r w:rsidR="00E4150B">
          <w:rPr>
            <w:noProof/>
            <w:webHidden/>
          </w:rPr>
        </w:r>
        <w:r w:rsidR="00E4150B">
          <w:rPr>
            <w:noProof/>
            <w:webHidden/>
          </w:rPr>
          <w:fldChar w:fldCharType="separate"/>
        </w:r>
        <w:r w:rsidR="00E4150B">
          <w:rPr>
            <w:noProof/>
            <w:webHidden/>
          </w:rPr>
          <w:t>4</w:t>
        </w:r>
        <w:r w:rsidR="00E4150B">
          <w:rPr>
            <w:noProof/>
            <w:webHidden/>
          </w:rPr>
          <w:fldChar w:fldCharType="end"/>
        </w:r>
      </w:hyperlink>
    </w:p>
    <w:p w14:paraId="2E6FFB40" w14:textId="5E6E028D" w:rsidR="00E4150B" w:rsidRDefault="00C3343E">
      <w:pPr>
        <w:pStyle w:val="TOC2"/>
        <w:tabs>
          <w:tab w:val="right" w:leader="dot" w:pos="9010"/>
        </w:tabs>
        <w:rPr>
          <w:rFonts w:asciiTheme="minorHAnsi" w:eastAsiaTheme="minorEastAsia" w:hAnsiTheme="minorHAnsi" w:cstheme="minorBidi"/>
          <w:noProof/>
          <w:sz w:val="24"/>
          <w:szCs w:val="24"/>
        </w:rPr>
      </w:pPr>
      <w:hyperlink w:anchor="_Toc189816100" w:history="1">
        <w:r w:rsidR="00E4150B" w:rsidRPr="00BA48BD">
          <w:rPr>
            <w:rStyle w:val="Hyperlink"/>
            <w:noProof/>
          </w:rPr>
          <w:t>Post-exposure prophylaxis</w:t>
        </w:r>
        <w:r w:rsidR="00E4150B">
          <w:rPr>
            <w:noProof/>
            <w:webHidden/>
          </w:rPr>
          <w:tab/>
        </w:r>
        <w:r w:rsidR="00E4150B">
          <w:rPr>
            <w:noProof/>
            <w:webHidden/>
          </w:rPr>
          <w:fldChar w:fldCharType="begin"/>
        </w:r>
        <w:r w:rsidR="00E4150B">
          <w:rPr>
            <w:noProof/>
            <w:webHidden/>
          </w:rPr>
          <w:instrText xml:space="preserve"> PAGEREF _Toc189816100 \h </w:instrText>
        </w:r>
        <w:r w:rsidR="00E4150B">
          <w:rPr>
            <w:noProof/>
            <w:webHidden/>
          </w:rPr>
        </w:r>
        <w:r w:rsidR="00E4150B">
          <w:rPr>
            <w:noProof/>
            <w:webHidden/>
          </w:rPr>
          <w:fldChar w:fldCharType="separate"/>
        </w:r>
        <w:r w:rsidR="00E4150B">
          <w:rPr>
            <w:noProof/>
            <w:webHidden/>
          </w:rPr>
          <w:t>5</w:t>
        </w:r>
        <w:r w:rsidR="00E4150B">
          <w:rPr>
            <w:noProof/>
            <w:webHidden/>
          </w:rPr>
          <w:fldChar w:fldCharType="end"/>
        </w:r>
      </w:hyperlink>
    </w:p>
    <w:p w14:paraId="190694B4" w14:textId="64157CD0" w:rsidR="00E4150B" w:rsidRDefault="00C3343E">
      <w:pPr>
        <w:pStyle w:val="TOC2"/>
        <w:tabs>
          <w:tab w:val="right" w:leader="dot" w:pos="9010"/>
        </w:tabs>
        <w:rPr>
          <w:rFonts w:asciiTheme="minorHAnsi" w:eastAsiaTheme="minorEastAsia" w:hAnsiTheme="minorHAnsi" w:cstheme="minorBidi"/>
          <w:noProof/>
          <w:sz w:val="24"/>
          <w:szCs w:val="24"/>
        </w:rPr>
      </w:pPr>
      <w:hyperlink w:anchor="_Toc189816101" w:history="1">
        <w:r w:rsidR="00E4150B" w:rsidRPr="00BA48BD">
          <w:rPr>
            <w:rStyle w:val="Hyperlink"/>
            <w:noProof/>
          </w:rPr>
          <w:t>Hospitalization and deaths</w:t>
        </w:r>
        <w:r w:rsidR="00E4150B">
          <w:rPr>
            <w:noProof/>
            <w:webHidden/>
          </w:rPr>
          <w:tab/>
        </w:r>
        <w:r w:rsidR="00E4150B">
          <w:rPr>
            <w:noProof/>
            <w:webHidden/>
          </w:rPr>
          <w:fldChar w:fldCharType="begin"/>
        </w:r>
        <w:r w:rsidR="00E4150B">
          <w:rPr>
            <w:noProof/>
            <w:webHidden/>
          </w:rPr>
          <w:instrText xml:space="preserve"> PAGEREF _Toc189816101 \h </w:instrText>
        </w:r>
        <w:r w:rsidR="00E4150B">
          <w:rPr>
            <w:noProof/>
            <w:webHidden/>
          </w:rPr>
        </w:r>
        <w:r w:rsidR="00E4150B">
          <w:rPr>
            <w:noProof/>
            <w:webHidden/>
          </w:rPr>
          <w:fldChar w:fldCharType="separate"/>
        </w:r>
        <w:r w:rsidR="00E4150B">
          <w:rPr>
            <w:noProof/>
            <w:webHidden/>
          </w:rPr>
          <w:t>6</w:t>
        </w:r>
        <w:r w:rsidR="00E4150B">
          <w:rPr>
            <w:noProof/>
            <w:webHidden/>
          </w:rPr>
          <w:fldChar w:fldCharType="end"/>
        </w:r>
      </w:hyperlink>
    </w:p>
    <w:p w14:paraId="2C8377B0" w14:textId="7351AD42" w:rsidR="00E4150B" w:rsidRDefault="00C3343E">
      <w:pPr>
        <w:pStyle w:val="TOC1"/>
        <w:tabs>
          <w:tab w:val="right" w:leader="dot" w:pos="9010"/>
        </w:tabs>
        <w:rPr>
          <w:rFonts w:asciiTheme="minorHAnsi" w:eastAsiaTheme="minorEastAsia" w:hAnsiTheme="minorHAnsi" w:cstheme="minorBidi"/>
          <w:noProof/>
          <w:sz w:val="24"/>
          <w:szCs w:val="24"/>
        </w:rPr>
      </w:pPr>
      <w:hyperlink w:anchor="_Toc189816102" w:history="1">
        <w:r w:rsidR="00E4150B" w:rsidRPr="00BA48BD">
          <w:rPr>
            <w:rStyle w:val="Hyperlink"/>
            <w:noProof/>
          </w:rPr>
          <w:t>Bayesian multilevel model</w:t>
        </w:r>
        <w:r w:rsidR="00E4150B">
          <w:rPr>
            <w:noProof/>
            <w:webHidden/>
          </w:rPr>
          <w:tab/>
        </w:r>
        <w:r w:rsidR="00E4150B">
          <w:rPr>
            <w:noProof/>
            <w:webHidden/>
          </w:rPr>
          <w:fldChar w:fldCharType="begin"/>
        </w:r>
        <w:r w:rsidR="00E4150B">
          <w:rPr>
            <w:noProof/>
            <w:webHidden/>
          </w:rPr>
          <w:instrText xml:space="preserve"> PAGEREF _Toc189816102 \h </w:instrText>
        </w:r>
        <w:r w:rsidR="00E4150B">
          <w:rPr>
            <w:noProof/>
            <w:webHidden/>
          </w:rPr>
        </w:r>
        <w:r w:rsidR="00E4150B">
          <w:rPr>
            <w:noProof/>
            <w:webHidden/>
          </w:rPr>
          <w:fldChar w:fldCharType="separate"/>
        </w:r>
        <w:r w:rsidR="00E4150B">
          <w:rPr>
            <w:noProof/>
            <w:webHidden/>
          </w:rPr>
          <w:t>6</w:t>
        </w:r>
        <w:r w:rsidR="00E4150B">
          <w:rPr>
            <w:noProof/>
            <w:webHidden/>
          </w:rPr>
          <w:fldChar w:fldCharType="end"/>
        </w:r>
      </w:hyperlink>
    </w:p>
    <w:p w14:paraId="4A935A8D" w14:textId="20B4728F" w:rsidR="00E4150B" w:rsidRDefault="00C3343E">
      <w:pPr>
        <w:pStyle w:val="TOC1"/>
        <w:tabs>
          <w:tab w:val="right" w:leader="dot" w:pos="9010"/>
        </w:tabs>
        <w:rPr>
          <w:rFonts w:asciiTheme="minorHAnsi" w:eastAsiaTheme="minorEastAsia" w:hAnsiTheme="minorHAnsi" w:cstheme="minorBidi"/>
          <w:noProof/>
          <w:sz w:val="24"/>
          <w:szCs w:val="24"/>
        </w:rPr>
      </w:pPr>
      <w:hyperlink w:anchor="_Toc189816103" w:history="1">
        <w:r w:rsidR="00E4150B" w:rsidRPr="00BA48BD">
          <w:rPr>
            <w:rStyle w:val="Hyperlink"/>
            <w:noProof/>
          </w:rPr>
          <w:t>Supplementary Figures</w:t>
        </w:r>
        <w:r w:rsidR="00E4150B">
          <w:rPr>
            <w:noProof/>
            <w:webHidden/>
          </w:rPr>
          <w:tab/>
        </w:r>
        <w:r w:rsidR="00E4150B">
          <w:rPr>
            <w:noProof/>
            <w:webHidden/>
          </w:rPr>
          <w:fldChar w:fldCharType="begin"/>
        </w:r>
        <w:r w:rsidR="00E4150B">
          <w:rPr>
            <w:noProof/>
            <w:webHidden/>
          </w:rPr>
          <w:instrText xml:space="preserve"> PAGEREF _Toc189816103 \h </w:instrText>
        </w:r>
        <w:r w:rsidR="00E4150B">
          <w:rPr>
            <w:noProof/>
            <w:webHidden/>
          </w:rPr>
        </w:r>
        <w:r w:rsidR="00E4150B">
          <w:rPr>
            <w:noProof/>
            <w:webHidden/>
          </w:rPr>
          <w:fldChar w:fldCharType="separate"/>
        </w:r>
        <w:r w:rsidR="00E4150B">
          <w:rPr>
            <w:noProof/>
            <w:webHidden/>
          </w:rPr>
          <w:t>7</w:t>
        </w:r>
        <w:r w:rsidR="00E4150B">
          <w:rPr>
            <w:noProof/>
            <w:webHidden/>
          </w:rPr>
          <w:fldChar w:fldCharType="end"/>
        </w:r>
      </w:hyperlink>
    </w:p>
    <w:p w14:paraId="1205B53B" w14:textId="507BEA43" w:rsidR="00E4150B" w:rsidRDefault="00C3343E">
      <w:pPr>
        <w:pStyle w:val="TOC1"/>
        <w:tabs>
          <w:tab w:val="right" w:leader="dot" w:pos="9010"/>
        </w:tabs>
        <w:rPr>
          <w:rFonts w:asciiTheme="minorHAnsi" w:eastAsiaTheme="minorEastAsia" w:hAnsiTheme="minorHAnsi" w:cstheme="minorBidi"/>
          <w:noProof/>
          <w:sz w:val="24"/>
          <w:szCs w:val="24"/>
        </w:rPr>
      </w:pPr>
      <w:hyperlink w:anchor="_Toc189816104" w:history="1">
        <w:r w:rsidR="00E4150B" w:rsidRPr="00BA48BD">
          <w:rPr>
            <w:rStyle w:val="Hyperlink"/>
            <w:noProof/>
          </w:rPr>
          <w:t>Supplementary Tables</w:t>
        </w:r>
        <w:r w:rsidR="00E4150B">
          <w:rPr>
            <w:noProof/>
            <w:webHidden/>
          </w:rPr>
          <w:tab/>
        </w:r>
        <w:r w:rsidR="00E4150B">
          <w:rPr>
            <w:noProof/>
            <w:webHidden/>
          </w:rPr>
          <w:fldChar w:fldCharType="begin"/>
        </w:r>
        <w:r w:rsidR="00E4150B">
          <w:rPr>
            <w:noProof/>
            <w:webHidden/>
          </w:rPr>
          <w:instrText xml:space="preserve"> PAGEREF _Toc189816104 \h </w:instrText>
        </w:r>
        <w:r w:rsidR="00E4150B">
          <w:rPr>
            <w:noProof/>
            <w:webHidden/>
          </w:rPr>
        </w:r>
        <w:r w:rsidR="00E4150B">
          <w:rPr>
            <w:noProof/>
            <w:webHidden/>
          </w:rPr>
          <w:fldChar w:fldCharType="separate"/>
        </w:r>
        <w:r w:rsidR="00E4150B">
          <w:rPr>
            <w:noProof/>
            <w:webHidden/>
          </w:rPr>
          <w:t>14</w:t>
        </w:r>
        <w:r w:rsidR="00E4150B">
          <w:rPr>
            <w:noProof/>
            <w:webHidden/>
          </w:rPr>
          <w:fldChar w:fldCharType="end"/>
        </w:r>
      </w:hyperlink>
    </w:p>
    <w:p w14:paraId="00066264" w14:textId="52B34FCE" w:rsidR="00E4150B" w:rsidRDefault="00C3343E">
      <w:pPr>
        <w:pStyle w:val="TOC1"/>
        <w:tabs>
          <w:tab w:val="right" w:leader="dot" w:pos="9010"/>
        </w:tabs>
        <w:rPr>
          <w:rFonts w:asciiTheme="minorHAnsi" w:eastAsiaTheme="minorEastAsia" w:hAnsiTheme="minorHAnsi" w:cstheme="minorBidi"/>
          <w:noProof/>
          <w:sz w:val="24"/>
          <w:szCs w:val="24"/>
        </w:rPr>
      </w:pPr>
      <w:hyperlink w:anchor="_Toc189816105" w:history="1">
        <w:r w:rsidR="00E4150B" w:rsidRPr="00BA48BD">
          <w:rPr>
            <w:rStyle w:val="Hyperlink"/>
            <w:noProof/>
          </w:rPr>
          <w:t>References</w:t>
        </w:r>
        <w:r w:rsidR="00E4150B">
          <w:rPr>
            <w:noProof/>
            <w:webHidden/>
          </w:rPr>
          <w:tab/>
        </w:r>
        <w:r w:rsidR="00E4150B">
          <w:rPr>
            <w:noProof/>
            <w:webHidden/>
          </w:rPr>
          <w:fldChar w:fldCharType="begin"/>
        </w:r>
        <w:r w:rsidR="00E4150B">
          <w:rPr>
            <w:noProof/>
            <w:webHidden/>
          </w:rPr>
          <w:instrText xml:space="preserve"> PAGEREF _Toc189816105 \h </w:instrText>
        </w:r>
        <w:r w:rsidR="00E4150B">
          <w:rPr>
            <w:noProof/>
            <w:webHidden/>
          </w:rPr>
        </w:r>
        <w:r w:rsidR="00E4150B">
          <w:rPr>
            <w:noProof/>
            <w:webHidden/>
          </w:rPr>
          <w:fldChar w:fldCharType="separate"/>
        </w:r>
        <w:r w:rsidR="00E4150B">
          <w:rPr>
            <w:noProof/>
            <w:webHidden/>
          </w:rPr>
          <w:t>16</w:t>
        </w:r>
        <w:r w:rsidR="00E4150B">
          <w:rPr>
            <w:noProof/>
            <w:webHidden/>
          </w:rPr>
          <w:fldChar w:fldCharType="end"/>
        </w:r>
      </w:hyperlink>
    </w:p>
    <w:p w14:paraId="0703F3C4" w14:textId="710FBEEC" w:rsidR="00860107" w:rsidRPr="00F04787" w:rsidRDefault="00860107" w:rsidP="00134B19">
      <w:r w:rsidRPr="00F04787">
        <w:fldChar w:fldCharType="end"/>
      </w:r>
    </w:p>
    <w:p w14:paraId="1BD442D0" w14:textId="77777777" w:rsidR="00860107" w:rsidRPr="00F04787" w:rsidRDefault="00860107" w:rsidP="00134B19"/>
    <w:p w14:paraId="2A65D656" w14:textId="1F70239C" w:rsidR="00134B19" w:rsidRPr="00F04787" w:rsidRDefault="00134B19" w:rsidP="00134B19">
      <w:pPr>
        <w:pStyle w:val="Heading1"/>
      </w:pPr>
      <w:r w:rsidRPr="00F04787">
        <w:br w:type="page"/>
      </w:r>
    </w:p>
    <w:p w14:paraId="1331BCC9" w14:textId="6FF03D4E" w:rsidR="000C153F" w:rsidRDefault="00A446F7" w:rsidP="000C153F">
      <w:pPr>
        <w:pStyle w:val="Heading1"/>
      </w:pPr>
      <w:bookmarkStart w:id="0" w:name="_Toc189816096"/>
      <w:r w:rsidRPr="00F04787">
        <w:lastRenderedPageBreak/>
        <w:t>Within-host model</w:t>
      </w:r>
      <w:bookmarkEnd w:id="0"/>
    </w:p>
    <w:p w14:paraId="7D581DB4" w14:textId="70DF4C50" w:rsidR="00A446F7" w:rsidRPr="00F04787" w:rsidRDefault="00A446F7" w:rsidP="00A446F7">
      <w:pPr>
        <w:rPr>
          <w:lang w:val="en-US"/>
        </w:rPr>
      </w:pPr>
      <w:r w:rsidRPr="00F04787">
        <w:rPr>
          <w:lang w:val="en-US"/>
        </w:rPr>
        <w:t xml:space="preserve">We used </w:t>
      </w:r>
      <w:r w:rsidR="00636B99">
        <w:rPr>
          <w:lang w:val="en-US"/>
        </w:rPr>
        <w:t xml:space="preserve">a </w:t>
      </w:r>
      <w:r w:rsidRPr="00F04787">
        <w:rPr>
          <w:lang w:val="en-US"/>
        </w:rPr>
        <w:t>within-host model to estimate the replication dynamics of the inoculating treatment-susceptible virus and treatment-resistant mutant virus since infection, as well as the effectiveness of antiviral treatment to suppress treatment-susceptible virus replication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treatment</m:t>
            </m:r>
          </m:sub>
        </m:sSub>
      </m:oMath>
      <w:r w:rsidRPr="00F04787">
        <w:rPr>
          <w:lang w:val="en-US"/>
        </w:rPr>
        <w:t xml:space="preserve">): </w:t>
      </w:r>
    </w:p>
    <w:p w14:paraId="56616D2A" w14:textId="77777777" w:rsidR="00A446F7" w:rsidRPr="00F04787" w:rsidRDefault="00A446F7" w:rsidP="00A446F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35"/>
      </w:tblGrid>
      <w:tr w:rsidR="00A446F7" w:rsidRPr="00F04787" w14:paraId="4358F49C" w14:textId="77777777" w:rsidTr="001B626F">
        <w:tc>
          <w:tcPr>
            <w:tcW w:w="8075" w:type="dxa"/>
            <w:vAlign w:val="center"/>
          </w:tcPr>
          <w:p w14:paraId="38788511" w14:textId="77777777" w:rsidR="00A446F7" w:rsidRPr="00F04787" w:rsidRDefault="00C3343E" w:rsidP="001B626F">
            <w:pPr>
              <w:jc w:val="center"/>
              <w:rPr>
                <w:lang w:val="en-US"/>
              </w:rPr>
            </w:pPr>
            <m:oMathPara>
              <m:oMath>
                <m:f>
                  <m:fPr>
                    <m:ctrlPr>
                      <w:rPr>
                        <w:rFonts w:ascii="Cambria Math" w:hAnsi="Cambria Math"/>
                        <w:i/>
                        <w:lang w:val="en-US"/>
                      </w:rPr>
                    </m:ctrlPr>
                  </m:fPr>
                  <m:num>
                    <m:r>
                      <w:rPr>
                        <w:rFonts w:ascii="Cambria Math" w:hAnsi="Cambria Math"/>
                        <w:lang w:val="en-US"/>
                      </w:rPr>
                      <m:t>dT</m:t>
                    </m:r>
                  </m:num>
                  <m:den>
                    <m:r>
                      <w:rPr>
                        <w:rFonts w:ascii="Cambria Math" w:hAnsi="Cambria Math"/>
                        <w:lang w:val="en-US"/>
                      </w:rPr>
                      <m:t>dt</m:t>
                    </m:r>
                  </m:den>
                </m:f>
                <m:r>
                  <m:rPr>
                    <m:aln/>
                  </m:rPr>
                  <w:rPr>
                    <w:rFonts w:ascii="Cambria Math" w:hAnsi="Cambria Math"/>
                    <w:lang w:val="en-US"/>
                  </w:rPr>
                  <m:t>=-T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m:t>
                        </m:r>
                      </m:sub>
                    </m:sSub>
                  </m:e>
                </m:d>
                <m:r>
                  <m:rPr>
                    <m:scr m:val="script"/>
                  </m:rPr>
                  <w:rPr>
                    <w:rFonts w:ascii="Cambria Math" w:hAnsi="Cambria Math"/>
                    <w:lang w:val="en-US"/>
                  </w:rPr>
                  <m:t>-l</m:t>
                </m:r>
                <m:r>
                  <w:rPr>
                    <w:rFonts w:ascii="Cambria Math" w:hAnsi="Cambria Math"/>
                    <w:lang w:val="en-US"/>
                  </w:rPr>
                  <m:t>TF+rR</m:t>
                </m:r>
              </m:oMath>
            </m:oMathPara>
          </w:p>
        </w:tc>
        <w:tc>
          <w:tcPr>
            <w:tcW w:w="935" w:type="dxa"/>
            <w:vAlign w:val="center"/>
          </w:tcPr>
          <w:p w14:paraId="0295AEA0" w14:textId="77777777" w:rsidR="00A446F7" w:rsidRPr="00F04787" w:rsidRDefault="00A446F7" w:rsidP="001B626F">
            <w:pPr>
              <w:jc w:val="center"/>
              <w:rPr>
                <w:lang w:val="en-US"/>
              </w:rPr>
            </w:pPr>
            <m:oMathPara>
              <m:oMath>
                <m:r>
                  <w:rPr>
                    <w:rFonts w:ascii="Cambria Math" w:hAnsi="Cambria Math"/>
                    <w:lang w:val="en-US"/>
                  </w:rPr>
                  <m:t>(1)</m:t>
                </m:r>
              </m:oMath>
            </m:oMathPara>
          </w:p>
        </w:tc>
      </w:tr>
      <w:tr w:rsidR="00A446F7" w:rsidRPr="00F04787" w14:paraId="58C593EF" w14:textId="77777777" w:rsidTr="001B62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075" w:type="dxa"/>
            <w:tcBorders>
              <w:top w:val="nil"/>
              <w:left w:val="nil"/>
              <w:bottom w:val="nil"/>
              <w:right w:val="nil"/>
            </w:tcBorders>
          </w:tcPr>
          <w:p w14:paraId="46ACDF43" w14:textId="77777777" w:rsidR="00A446F7" w:rsidRPr="00F04787" w:rsidRDefault="00C3343E" w:rsidP="001B626F">
            <w:pPr>
              <w:jc w:val="center"/>
              <w:rPr>
                <w:rFonts w:eastAsia="DengXian"/>
                <w:lang w:val="en-US"/>
              </w:rPr>
            </w:pPr>
            <m:oMathPara>
              <m:oMath>
                <m:f>
                  <m:fPr>
                    <m:ctrlPr>
                      <w:rPr>
                        <w:rFonts w:ascii="Cambria Math" w:hAnsi="Cambria Math"/>
                        <w:i/>
                        <w:lang w:val="en-US"/>
                      </w:rPr>
                    </m:ctrlPr>
                  </m:fPr>
                  <m:num>
                    <m:r>
                      <w:rPr>
                        <w:rFonts w:ascii="Cambria Math" w:hAnsi="Cambria Math"/>
                        <w:lang w:val="en-US"/>
                      </w:rPr>
                      <m:t>dR</m:t>
                    </m:r>
                  </m:num>
                  <m:den>
                    <m:r>
                      <w:rPr>
                        <w:rFonts w:ascii="Cambria Math" w:hAnsi="Cambria Math"/>
                        <w:lang w:val="en-US"/>
                      </w:rPr>
                      <m:t>dt</m:t>
                    </m:r>
                  </m:den>
                </m:f>
                <m:r>
                  <m:rPr>
                    <m:scr m:val="script"/>
                    <m:aln/>
                  </m:rPr>
                  <w:rPr>
                    <w:rFonts w:ascii="Cambria Math" w:hAnsi="Cambria Math"/>
                    <w:lang w:val="en-US"/>
                  </w:rPr>
                  <m:t>=l</m:t>
                </m:r>
                <m:r>
                  <w:rPr>
                    <w:rFonts w:ascii="Cambria Math" w:hAnsi="Cambria Math"/>
                    <w:lang w:val="en-US"/>
                  </w:rPr>
                  <m:t>TF-rR</m:t>
                </m:r>
              </m:oMath>
            </m:oMathPara>
          </w:p>
        </w:tc>
        <w:tc>
          <w:tcPr>
            <w:tcW w:w="935" w:type="dxa"/>
            <w:tcBorders>
              <w:top w:val="nil"/>
              <w:left w:val="nil"/>
              <w:bottom w:val="nil"/>
              <w:right w:val="nil"/>
            </w:tcBorders>
          </w:tcPr>
          <w:p w14:paraId="70FDEEF8" w14:textId="77777777" w:rsidR="00A446F7" w:rsidRPr="00F04787" w:rsidRDefault="00A446F7" w:rsidP="001B626F">
            <w:pPr>
              <w:jc w:val="center"/>
              <w:rPr>
                <w:rFonts w:eastAsia="DengXian"/>
                <w:lang w:val="en-US"/>
              </w:rPr>
            </w:pPr>
            <m:oMathPara>
              <m:oMath>
                <m:r>
                  <w:rPr>
                    <w:rFonts w:ascii="Cambria Math" w:hAnsi="Cambria Math"/>
                    <w:lang w:val="en-US"/>
                  </w:rPr>
                  <m:t>(2)</m:t>
                </m:r>
              </m:oMath>
            </m:oMathPara>
          </w:p>
        </w:tc>
      </w:tr>
      <w:tr w:rsidR="00A446F7" w:rsidRPr="00F04787" w14:paraId="6245DF68" w14:textId="77777777" w:rsidTr="001B62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075" w:type="dxa"/>
            <w:tcBorders>
              <w:top w:val="nil"/>
              <w:left w:val="nil"/>
              <w:bottom w:val="nil"/>
              <w:right w:val="nil"/>
            </w:tcBorders>
          </w:tcPr>
          <w:p w14:paraId="2EC90AC5" w14:textId="77777777" w:rsidR="00A446F7" w:rsidRPr="00F04787" w:rsidRDefault="00C3343E" w:rsidP="001B626F">
            <w:pPr>
              <w:jc w:val="center"/>
              <w:rPr>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I</m:t>
                        </m:r>
                      </m:e>
                      <m:sub>
                        <m:r>
                          <m:rPr>
                            <m:scr m:val="script"/>
                          </m:rPr>
                          <w:rPr>
                            <w:rFonts w:ascii="Cambria Math" w:hAnsi="Cambria Math"/>
                            <w:lang w:val="en-US"/>
                          </w:rPr>
                          <m:t>V</m:t>
                        </m:r>
                      </m:sub>
                    </m:sSub>
                  </m:num>
                  <m:den>
                    <m:r>
                      <w:rPr>
                        <w:rFonts w:ascii="Cambria Math" w:hAnsi="Cambria Math"/>
                        <w:lang w:val="en-US"/>
                      </w:rPr>
                      <m:t>dt</m:t>
                    </m:r>
                  </m:den>
                </m:f>
                <m:r>
                  <m:rPr>
                    <m:aln/>
                  </m:rP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m:rPr>
                        <m:scr m:val="script"/>
                      </m:rPr>
                      <w:rPr>
                        <w:rFonts w:ascii="Cambria Math" w:hAnsi="Cambria Math"/>
                        <w:lang w:val="en-US"/>
                      </w:rPr>
                      <m:t>V</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V</m:t>
                    </m:r>
                  </m:e>
                  <m:sub>
                    <m:r>
                      <m:rPr>
                        <m:scr m:val="script"/>
                      </m:rPr>
                      <w:rPr>
                        <w:rFonts w:ascii="Cambria Math" w:hAnsi="Cambria Math"/>
                        <w:lang w:val="en-US"/>
                      </w:rPr>
                      <m:t>V</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C</m:t>
                    </m:r>
                  </m:sub>
                </m:sSub>
                <m:sSub>
                  <m:sSubPr>
                    <m:ctrlPr>
                      <w:rPr>
                        <w:rFonts w:ascii="Cambria Math" w:hAnsi="Cambria Math"/>
                        <w:i/>
                        <w:lang w:val="en-US"/>
                      </w:rPr>
                    </m:ctrlPr>
                  </m:sSubPr>
                  <m:e>
                    <m:r>
                      <w:rPr>
                        <w:rFonts w:ascii="Cambria Math" w:hAnsi="Cambria Math"/>
                        <w:lang w:val="en-US"/>
                      </w:rPr>
                      <m:t>I</m:t>
                    </m:r>
                  </m:e>
                  <m:sub>
                    <m:r>
                      <m:rPr>
                        <m:scr m:val="script"/>
                      </m:rPr>
                      <w:rPr>
                        <w:rFonts w:ascii="Cambria Math" w:hAnsi="Cambria Math"/>
                        <w:lang w:val="en-US"/>
                      </w:rPr>
                      <m:t>V</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I</m:t>
                    </m:r>
                  </m:e>
                  <m:sub>
                    <m:r>
                      <m:rPr>
                        <m:scr m:val="script"/>
                      </m:rPr>
                      <w:rPr>
                        <w:rFonts w:ascii="Cambria Math" w:hAnsi="Cambria Math"/>
                        <w:lang w:val="en-US"/>
                      </w:rPr>
                      <m:t>V</m:t>
                    </m:r>
                  </m:sub>
                </m:sSub>
                <m:r>
                  <w:rPr>
                    <w:rFonts w:ascii="Cambria Math" w:hAnsi="Cambria Math"/>
                    <w:lang w:val="en-US"/>
                  </w:rPr>
                  <m:t xml:space="preserve">F             ∀ </m:t>
                </m:r>
                <m:r>
                  <m:rPr>
                    <m:scr m:val="script"/>
                  </m:rPr>
                  <w:rPr>
                    <w:rFonts w:ascii="Cambria Math" w:hAnsi="Cambria Math"/>
                    <w:lang w:val="en-US"/>
                  </w:rPr>
                  <m:t>V∈</m:t>
                </m:r>
                <m:d>
                  <m:dPr>
                    <m:begChr m:val="{"/>
                    <m:endChr m:val="}"/>
                    <m:ctrlPr>
                      <w:rPr>
                        <w:rFonts w:ascii="Cambria Math" w:hAnsi="Cambria Math"/>
                        <w:i/>
                        <w:lang w:val="en-US"/>
                      </w:rPr>
                    </m:ctrlPr>
                  </m:dPr>
                  <m:e>
                    <m:r>
                      <w:rPr>
                        <w:rFonts w:ascii="Cambria Math" w:hAnsi="Cambria Math"/>
                        <w:lang w:val="en-US"/>
                      </w:rPr>
                      <m:t>w,v</m:t>
                    </m:r>
                  </m:e>
                </m:d>
              </m:oMath>
            </m:oMathPara>
          </w:p>
        </w:tc>
        <w:tc>
          <w:tcPr>
            <w:tcW w:w="935" w:type="dxa"/>
            <w:tcBorders>
              <w:top w:val="nil"/>
              <w:left w:val="nil"/>
              <w:bottom w:val="nil"/>
              <w:right w:val="nil"/>
            </w:tcBorders>
          </w:tcPr>
          <w:p w14:paraId="71AF0453" w14:textId="77777777" w:rsidR="00A446F7" w:rsidRPr="00F04787" w:rsidRDefault="00A446F7" w:rsidP="001B626F">
            <w:pPr>
              <w:jc w:val="center"/>
              <w:rPr>
                <w:lang w:val="en-US"/>
              </w:rPr>
            </w:pPr>
            <m:oMathPara>
              <m:oMath>
                <m:r>
                  <w:rPr>
                    <w:rFonts w:ascii="Cambria Math" w:hAnsi="Cambria Math"/>
                    <w:lang w:val="en-US"/>
                  </w:rPr>
                  <m:t>(3)</m:t>
                </m:r>
              </m:oMath>
            </m:oMathPara>
          </w:p>
        </w:tc>
      </w:tr>
      <w:tr w:rsidR="00A446F7" w:rsidRPr="00F04787" w14:paraId="6B8C85E2" w14:textId="77777777" w:rsidTr="001B62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075" w:type="dxa"/>
            <w:tcBorders>
              <w:top w:val="nil"/>
              <w:left w:val="nil"/>
              <w:bottom w:val="nil"/>
              <w:right w:val="nil"/>
            </w:tcBorders>
          </w:tcPr>
          <w:p w14:paraId="2D989158" w14:textId="77777777" w:rsidR="00A446F7" w:rsidRPr="00F04787" w:rsidRDefault="00C3343E" w:rsidP="001B626F">
            <w:pPr>
              <w:jc w:val="center"/>
              <w:rPr>
                <w:lang w:val="en-US"/>
              </w:rPr>
            </w:pPr>
            <m:oMathPara>
              <m:oMath>
                <m:f>
                  <m:fPr>
                    <m:ctrlPr>
                      <w:rPr>
                        <w:rFonts w:ascii="Cambria Math" w:hAnsi="Cambria Math"/>
                        <w:i/>
                        <w:lang w:val="en-US"/>
                      </w:rPr>
                    </m:ctrlPr>
                  </m:fPr>
                  <m:num>
                    <m:r>
                      <w:rPr>
                        <w:rFonts w:ascii="Cambria Math" w:hAnsi="Cambria Math"/>
                        <w:lang w:val="en-US"/>
                      </w:rPr>
                      <m:t>dF</m:t>
                    </m:r>
                  </m:num>
                  <m:den>
                    <m:r>
                      <w:rPr>
                        <w:rFonts w:ascii="Cambria Math" w:hAnsi="Cambria Math"/>
                        <w:lang w:val="en-US"/>
                      </w:rPr>
                      <m:t>dt</m:t>
                    </m:r>
                  </m:den>
                </m:f>
                <m:r>
                  <m:rPr>
                    <m:aln/>
                  </m:rP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F</m:t>
                    </m:r>
                  </m:sub>
                </m:sSub>
                <m:r>
                  <w:rPr>
                    <w:rFonts w:ascii="Cambria Math" w:hAnsi="Cambria Math"/>
                    <w:lang w:val="en-US"/>
                  </w:rPr>
                  <m:t>F</m:t>
                </m:r>
              </m:oMath>
            </m:oMathPara>
          </w:p>
        </w:tc>
        <w:tc>
          <w:tcPr>
            <w:tcW w:w="935" w:type="dxa"/>
            <w:tcBorders>
              <w:top w:val="nil"/>
              <w:left w:val="nil"/>
              <w:bottom w:val="nil"/>
              <w:right w:val="nil"/>
            </w:tcBorders>
          </w:tcPr>
          <w:p w14:paraId="510C9A69" w14:textId="77777777" w:rsidR="00A446F7" w:rsidRPr="00F04787" w:rsidRDefault="00A446F7" w:rsidP="001B626F">
            <w:pPr>
              <w:jc w:val="center"/>
              <w:rPr>
                <w:lang w:val="en-US"/>
              </w:rPr>
            </w:pPr>
            <m:oMathPara>
              <m:oMath>
                <m:r>
                  <w:rPr>
                    <w:rFonts w:ascii="Cambria Math" w:hAnsi="Cambria Math"/>
                    <w:lang w:val="en-US"/>
                  </w:rPr>
                  <m:t>(4)</m:t>
                </m:r>
              </m:oMath>
            </m:oMathPara>
          </w:p>
        </w:tc>
      </w:tr>
      <w:tr w:rsidR="00A446F7" w:rsidRPr="00F04787" w14:paraId="4289BD96" w14:textId="77777777" w:rsidTr="001B62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075" w:type="dxa"/>
            <w:tcBorders>
              <w:top w:val="nil"/>
              <w:left w:val="nil"/>
              <w:bottom w:val="nil"/>
              <w:right w:val="nil"/>
            </w:tcBorders>
          </w:tcPr>
          <w:p w14:paraId="08F923D8" w14:textId="2D205F86" w:rsidR="00A446F7" w:rsidRPr="00F04787" w:rsidRDefault="00C3343E" w:rsidP="001B626F">
            <w:pPr>
              <w:jc w:val="center"/>
              <w:rPr>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w</m:t>
                        </m:r>
                      </m:sub>
                    </m:sSub>
                  </m:num>
                  <m:den>
                    <m:r>
                      <w:rPr>
                        <w:rFonts w:ascii="Cambria Math" w:hAnsi="Cambria Math"/>
                        <w:lang w:val="en-US"/>
                      </w:rPr>
                      <m:t>dt</m:t>
                    </m:r>
                  </m:den>
                </m:f>
                <m:r>
                  <m:rPr>
                    <m:aln/>
                  </m:rP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d>
                  <m:dPr>
                    <m:begChr m:val="["/>
                    <m:endChr m:val="]"/>
                    <m:ctrlPr>
                      <w:rPr>
                        <w:rFonts w:ascii="Cambria Math" w:hAnsi="Cambria Math"/>
                        <w:i/>
                        <w:lang w:val="en-US"/>
                      </w:rPr>
                    </m:ctrlPr>
                  </m:dPr>
                  <m:e>
                    <m:r>
                      <w:rPr>
                        <w:rFonts w:ascii="Cambria Math" w:hAnsi="Cambria Math"/>
                        <w:lang w:val="en-US"/>
                      </w:rPr>
                      <m:t>1-μδ</m:t>
                    </m:r>
                    <m:d>
                      <m:dPr>
                        <m:ctrlPr>
                          <w:rPr>
                            <w:rFonts w:ascii="Cambria Math" w:hAnsi="Cambria Math"/>
                            <w:i/>
                            <w:lang w:val="en-US"/>
                          </w:rPr>
                        </m:ctrlPr>
                      </m:dPr>
                      <m:e>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treatment</m:t>
                            </m:r>
                          </m:sub>
                        </m:sSub>
                      </m:e>
                    </m:d>
                  </m:e>
                </m:d>
                <m:d>
                  <m:dPr>
                    <m:begChr m:val="["/>
                    <m:endChr m:val="]"/>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treatment</m:t>
                        </m:r>
                      </m:sub>
                    </m:sSub>
                    <m:r>
                      <w:rPr>
                        <w:rFonts w:ascii="Cambria Math" w:hAnsi="Cambria Math"/>
                        <w:lang w:val="en-US"/>
                      </w:rPr>
                      <m:t>δ</m:t>
                    </m:r>
                    <m:d>
                      <m:dPr>
                        <m:ctrlPr>
                          <w:rPr>
                            <w:rFonts w:ascii="Cambria Math" w:hAnsi="Cambria Math"/>
                            <w:i/>
                            <w:lang w:val="en-US"/>
                          </w:rPr>
                        </m:ctrlPr>
                      </m:dPr>
                      <m:e>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treatment</m:t>
                            </m:r>
                          </m:sub>
                        </m:sSub>
                      </m:e>
                    </m:d>
                  </m:e>
                </m:d>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w</m:t>
                    </m:r>
                  </m:sub>
                </m:sSub>
              </m:oMath>
            </m:oMathPara>
          </w:p>
        </w:tc>
        <w:tc>
          <w:tcPr>
            <w:tcW w:w="935" w:type="dxa"/>
            <w:tcBorders>
              <w:top w:val="nil"/>
              <w:left w:val="nil"/>
              <w:bottom w:val="nil"/>
              <w:right w:val="nil"/>
            </w:tcBorders>
          </w:tcPr>
          <w:p w14:paraId="58E0C8F1" w14:textId="77777777" w:rsidR="00A446F7" w:rsidRPr="00F04787" w:rsidRDefault="00A446F7" w:rsidP="001B626F">
            <w:pPr>
              <w:jc w:val="center"/>
              <w:rPr>
                <w:lang w:val="en-US"/>
              </w:rPr>
            </w:pPr>
            <m:oMathPara>
              <m:oMath>
                <m:r>
                  <w:rPr>
                    <w:rFonts w:ascii="Cambria Math" w:hAnsi="Cambria Math"/>
                    <w:lang w:val="en-US"/>
                  </w:rPr>
                  <m:t>(5)</m:t>
                </m:r>
              </m:oMath>
            </m:oMathPara>
          </w:p>
        </w:tc>
      </w:tr>
      <w:tr w:rsidR="00A446F7" w:rsidRPr="00F04787" w14:paraId="67F1BA44" w14:textId="77777777" w:rsidTr="001B62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075" w:type="dxa"/>
            <w:tcBorders>
              <w:top w:val="nil"/>
              <w:left w:val="nil"/>
              <w:bottom w:val="nil"/>
              <w:right w:val="nil"/>
            </w:tcBorders>
          </w:tcPr>
          <w:p w14:paraId="393AFCE2" w14:textId="77777777" w:rsidR="00A446F7" w:rsidRPr="00F04787" w:rsidRDefault="00C3343E" w:rsidP="001B626F">
            <w:pPr>
              <w:jc w:val="center"/>
              <w:rPr>
                <w:rFonts w:eastAsia="DengXian"/>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m:t>
                        </m:r>
                      </m:sub>
                    </m:sSub>
                  </m:num>
                  <m:den>
                    <m:r>
                      <w:rPr>
                        <w:rFonts w:ascii="Cambria Math" w:hAnsi="Cambria Math"/>
                        <w:lang w:val="en-US"/>
                      </w:rPr>
                      <m:t>dt</m:t>
                    </m:r>
                  </m:den>
                </m:f>
                <m:r>
                  <m:rPr>
                    <m:aln/>
                  </m:rP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m:t>
                    </m:r>
                  </m:sub>
                </m:sSub>
                <m:r>
                  <w:rPr>
                    <w:rFonts w:ascii="Cambria Math" w:hAnsi="Cambria Math"/>
                    <w:lang w:val="en-US"/>
                  </w:rPr>
                  <m:t>μδ</m:t>
                </m:r>
                <m:d>
                  <m:dPr>
                    <m:ctrlPr>
                      <w:rPr>
                        <w:rFonts w:ascii="Cambria Math" w:hAnsi="Cambria Math"/>
                        <w:i/>
                        <w:lang w:val="en-US"/>
                      </w:rPr>
                    </m:ctrlPr>
                  </m:dPr>
                  <m:e>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treatment</m:t>
                        </m:r>
                      </m:sub>
                    </m:sSub>
                  </m:e>
                </m:d>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m:t>
                    </m:r>
                  </m:sub>
                </m:sSub>
              </m:oMath>
            </m:oMathPara>
          </w:p>
        </w:tc>
        <w:tc>
          <w:tcPr>
            <w:tcW w:w="935" w:type="dxa"/>
            <w:tcBorders>
              <w:top w:val="nil"/>
              <w:left w:val="nil"/>
              <w:bottom w:val="nil"/>
              <w:right w:val="nil"/>
            </w:tcBorders>
          </w:tcPr>
          <w:p w14:paraId="27043854" w14:textId="77777777" w:rsidR="00A446F7" w:rsidRPr="00F04787" w:rsidRDefault="00A446F7" w:rsidP="001B626F">
            <w:pPr>
              <w:jc w:val="center"/>
              <w:rPr>
                <w:rFonts w:eastAsia="DengXian"/>
                <w:lang w:val="en-US"/>
              </w:rPr>
            </w:pPr>
            <m:oMathPara>
              <m:oMath>
                <m:r>
                  <w:rPr>
                    <w:rFonts w:ascii="Cambria Math" w:hAnsi="Cambria Math"/>
                    <w:lang w:val="en-US"/>
                  </w:rPr>
                  <m:t>(6)</m:t>
                </m:r>
              </m:oMath>
            </m:oMathPara>
          </w:p>
        </w:tc>
      </w:tr>
    </w:tbl>
    <w:p w14:paraId="5F3AAB8F" w14:textId="77777777" w:rsidR="00A446F7" w:rsidRPr="00F04787" w:rsidRDefault="00A446F7" w:rsidP="00A446F7">
      <w:pPr>
        <w:rPr>
          <w:lang w:val="en-US"/>
        </w:rPr>
      </w:pPr>
    </w:p>
    <w:p w14:paraId="3E5527C2" w14:textId="140B7A2A" w:rsidR="00AB372B" w:rsidRPr="00F04787" w:rsidRDefault="00A446F7" w:rsidP="00A446F7">
      <w:pPr>
        <w:rPr>
          <w:lang w:val="en-US"/>
        </w:rPr>
      </w:pPr>
      <w:r w:rsidRPr="00F04787">
        <w:rPr>
          <w:lang w:val="en-US"/>
        </w:rPr>
        <w:t xml:space="preserve">where </w:t>
      </w:r>
      <m:oMath>
        <m:r>
          <w:rPr>
            <w:rFonts w:ascii="Cambria Math" w:hAnsi="Cambria Math"/>
            <w:lang w:val="en-US"/>
          </w:rPr>
          <m:t>T</m:t>
        </m:r>
      </m:oMath>
      <w:r w:rsidRPr="00F04787">
        <w:rPr>
          <w:lang w:val="en-US"/>
        </w:rPr>
        <w:t xml:space="preserve">, </w:t>
      </w:r>
      <m:oMath>
        <m:r>
          <w:rPr>
            <w:rFonts w:ascii="Cambria Math" w:hAnsi="Cambria Math"/>
            <w:lang w:val="en-US"/>
          </w:rPr>
          <m:t>R</m:t>
        </m:r>
      </m:oMath>
      <w:r w:rsidRPr="00F04787">
        <w:rPr>
          <w:lang w:val="en-US"/>
        </w:rPr>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w</m:t>
            </m:r>
          </m:sub>
        </m:sSub>
      </m:oMath>
      <w:r w:rsidRPr="00F04787">
        <w:rPr>
          <w:lang w:val="en-US"/>
        </w:rPr>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m:t>
            </m:r>
          </m:sub>
        </m:sSub>
      </m:oMath>
      <w:r w:rsidRPr="00F04787">
        <w:rPr>
          <w:lang w:val="en-US"/>
        </w:rPr>
        <w:t xml:space="preserve">, </w:t>
      </w:r>
      <m:oMath>
        <m:r>
          <w:rPr>
            <w:rFonts w:ascii="Cambria Math" w:hAnsi="Cambria Math"/>
            <w:lang w:val="en-US"/>
          </w:rPr>
          <m:t>F</m:t>
        </m:r>
      </m:oMath>
      <w:r w:rsidRPr="00F04787">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w</m:t>
            </m:r>
          </m:sub>
        </m:sSub>
      </m:oMath>
      <w:r w:rsidRPr="00F04787">
        <w:rPr>
          <w:lang w:val="en-US"/>
        </w:rPr>
        <w:t xml:space="preserve"> and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m:t>
            </m:r>
          </m:sub>
        </m:sSub>
      </m:oMath>
      <w:r w:rsidRPr="00F04787">
        <w:rPr>
          <w:lang w:val="en-US"/>
        </w:rPr>
        <w:t xml:space="preserve"> are the respective number of uninfected target cells, the number of cells that enter an antiviral state in which they are refractory to infection, the number of cells infected by the wild-type virus, the number of cells infected by the antiviral-resistant mutant virus, the level of interferon response, the amount of free wild-type and mutant viruses. The parameters </w:t>
      </w:r>
      <m:oMath>
        <m:sSub>
          <m:sSubPr>
            <m:ctrlPr>
              <w:rPr>
                <w:rFonts w:ascii="Cambria Math" w:hAnsi="Cambria Math"/>
                <w:i/>
                <w:lang w:val="en-US"/>
              </w:rPr>
            </m:ctrlPr>
          </m:sSubPr>
          <m:e>
            <m:r>
              <w:rPr>
                <w:rFonts w:ascii="Cambria Math" w:hAnsi="Cambria Math"/>
                <w:lang w:val="en-US"/>
              </w:rPr>
              <m:t>β</m:t>
            </m:r>
          </m:e>
          <m:sub>
            <m:r>
              <m:rPr>
                <m:scr m:val="script"/>
              </m:rPr>
              <w:rPr>
                <w:rFonts w:ascii="Cambria Math" w:hAnsi="Cambria Math"/>
                <w:lang w:val="en-US"/>
              </w:rPr>
              <m:t>V</m:t>
            </m:r>
          </m:sub>
        </m:sSub>
      </m:oMath>
      <w:r w:rsidRPr="00F04787">
        <w:rPr>
          <w:lang w:val="en-US"/>
        </w:rPr>
        <w:t xml:space="preserve">, </w:t>
      </w:r>
      <m:oMath>
        <m:r>
          <m:rPr>
            <m:scr m:val="script"/>
          </m:rPr>
          <w:rPr>
            <w:rFonts w:ascii="Cambria Math" w:hAnsi="Cambria Math"/>
            <w:lang w:val="en-US"/>
          </w:rPr>
          <m:t>l</m:t>
        </m:r>
      </m:oMath>
      <w:r w:rsidRPr="00F04787">
        <w:rPr>
          <w:lang w:val="en-US"/>
        </w:rPr>
        <w:t xml:space="preserve">, </w:t>
      </w:r>
      <m:oMath>
        <m:r>
          <w:rPr>
            <w:rFonts w:ascii="Cambria Math" w:hAnsi="Cambria Math"/>
            <w:lang w:val="en-US"/>
          </w:rPr>
          <m:t>r</m:t>
        </m:r>
      </m:oMath>
      <w:r w:rsidRPr="00F04787">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C</m:t>
            </m:r>
          </m:sub>
        </m:sSub>
      </m:oMath>
      <w:r w:rsidRPr="00F04787">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oMath>
      <w:r w:rsidRPr="00F04787">
        <w:rPr>
          <w:lang w:val="en-US"/>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oMath>
      <w:r w:rsidRPr="00F04787">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F</m:t>
            </m:r>
          </m:sub>
        </m:sSub>
      </m:oMath>
      <w:r w:rsidRPr="00F04787">
        <w:rPr>
          <w:lang w:val="en-US"/>
        </w:rPr>
        <w:t xml:space="preserve">, </w:t>
      </w:r>
      <m:oMath>
        <m:sSub>
          <m:sSubPr>
            <m:ctrlPr>
              <w:rPr>
                <w:rFonts w:ascii="Cambria Math" w:hAnsi="Cambria Math"/>
                <w:i/>
                <w:lang w:val="en-US"/>
              </w:rPr>
            </m:ctrlPr>
          </m:sSubPr>
          <m:e>
            <m:r>
              <w:rPr>
                <w:rFonts w:ascii="Cambria Math" w:hAnsi="Cambria Math"/>
                <w:lang w:val="en-US"/>
              </w:rPr>
              <m:t>p</m:t>
            </m:r>
          </m:e>
          <m:sub>
            <m:r>
              <m:rPr>
                <m:scr m:val="script"/>
              </m:rPr>
              <w:rPr>
                <w:rFonts w:ascii="Cambria Math" w:hAnsi="Cambria Math"/>
                <w:lang w:val="en-US"/>
              </w:rPr>
              <m:t>V</m:t>
            </m:r>
          </m:sub>
        </m:sSub>
      </m:oMath>
      <w:r w:rsidRPr="00F04787">
        <w:rPr>
          <w:lang w:val="en-US"/>
        </w:rPr>
        <w:t xml:space="preserve"> and </w:t>
      </w:r>
      <m:oMath>
        <m:sSub>
          <m:sSubPr>
            <m:ctrlPr>
              <w:rPr>
                <w:rFonts w:ascii="Cambria Math" w:hAnsi="Cambria Math"/>
                <w:i/>
                <w:lang w:val="en-US"/>
              </w:rPr>
            </m:ctrlPr>
          </m:sSubPr>
          <m:e>
            <m:r>
              <w:rPr>
                <w:rFonts w:ascii="Cambria Math" w:hAnsi="Cambria Math"/>
                <w:lang w:val="en-US"/>
              </w:rPr>
              <m:t>c</m:t>
            </m:r>
          </m:e>
          <m:sub>
            <m:r>
              <m:rPr>
                <m:scr m:val="script"/>
              </m:rPr>
              <w:rPr>
                <w:rFonts w:ascii="Cambria Math" w:hAnsi="Cambria Math"/>
                <w:lang w:val="en-US"/>
              </w:rPr>
              <m:t>V</m:t>
            </m:r>
          </m:sub>
        </m:sSub>
      </m:oMath>
      <w:r w:rsidRPr="00F04787">
        <w:rPr>
          <w:lang w:val="en-US"/>
        </w:rPr>
        <w:t xml:space="preserve"> refer to the respective target cell infection rate by variant virus </w:t>
      </w:r>
      <m:oMath>
        <m:r>
          <m:rPr>
            <m:scr m:val="script"/>
          </m:rPr>
          <w:rPr>
            <w:rFonts w:ascii="Cambria Math" w:hAnsi="Cambria Math"/>
            <w:lang w:val="en-US"/>
          </w:rPr>
          <m:t>V</m:t>
        </m:r>
      </m:oMath>
      <w:r w:rsidRPr="00F04787">
        <w:rPr>
          <w:lang w:val="en-US"/>
        </w:rPr>
        <w:t xml:space="preserve">, interferon-induced antiviral efficacy, reversion rate from antiviral state, virus-induced infected cell death rate, interferon-induced infected cell death rate, production rate of interferons, decay rate of interferons, replication rate and free virus death rate of variant virus </w:t>
      </w:r>
      <m:oMath>
        <m:r>
          <m:rPr>
            <m:scr m:val="script"/>
          </m:rPr>
          <w:rPr>
            <w:rFonts w:ascii="Cambria Math" w:hAnsi="Cambria Math"/>
            <w:lang w:val="en-US"/>
          </w:rPr>
          <m:t>V</m:t>
        </m:r>
      </m:oMath>
      <w:r w:rsidRPr="00F04787">
        <w:rPr>
          <w:lang w:val="en-US"/>
        </w:rPr>
        <w:t xml:space="preserve"> respectively. </w:t>
      </w:r>
      <m:oMath>
        <m:r>
          <w:rPr>
            <w:rFonts w:ascii="Cambria Math" w:hAnsi="Cambria Math"/>
            <w:lang w:val="en-US"/>
          </w:rPr>
          <m:t>δ</m:t>
        </m:r>
        <m:d>
          <m:dPr>
            <m:ctrlPr>
              <w:rPr>
                <w:rFonts w:ascii="Cambria Math" w:hAnsi="Cambria Math"/>
                <w:i/>
                <w:lang w:val="en-US"/>
              </w:rPr>
            </m:ctrlPr>
          </m:dPr>
          <m:e>
            <m:r>
              <w:rPr>
                <w:rFonts w:ascii="Cambria Math" w:hAnsi="Cambria Math"/>
                <w:lang w:val="en-US"/>
              </w:rPr>
              <m:t>t</m:t>
            </m:r>
          </m:e>
        </m:d>
        <m:r>
          <w:rPr>
            <w:rFonts w:ascii="Cambria Math" w:hAnsi="Cambria Math"/>
            <w:lang w:val="en-US"/>
          </w:rPr>
          <m:t>=1</m:t>
        </m:r>
      </m:oMath>
      <w:r w:rsidRPr="00F04787">
        <w:rPr>
          <w:lang w:val="en-US"/>
        </w:rPr>
        <w:t xml:space="preserve"> when and after the antiviral was administered at time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treatment</m:t>
            </m:r>
          </m:sub>
        </m:sSub>
      </m:oMath>
      <w:r w:rsidRPr="00F04787">
        <w:rPr>
          <w:lang w:val="en-US"/>
        </w:rPr>
        <w:t xml:space="preserve">, and is otherwise zero.  </w:t>
      </w:r>
    </w:p>
    <w:p w14:paraId="3AC547E1" w14:textId="77777777" w:rsidR="00A446F7" w:rsidRPr="00F04787" w:rsidRDefault="00A446F7" w:rsidP="00A446F7">
      <w:pPr>
        <w:rPr>
          <w:lang w:val="en-US"/>
        </w:rPr>
      </w:pPr>
    </w:p>
    <w:p w14:paraId="339922BD" w14:textId="1AB35C0B" w:rsidR="00257ABA" w:rsidRDefault="00A446F7" w:rsidP="00C86312">
      <w:pPr>
        <w:rPr>
          <w:lang w:val="en-US"/>
        </w:rPr>
      </w:pPr>
      <w:r w:rsidRPr="00F04787">
        <w:rPr>
          <w:lang w:val="en-US"/>
        </w:rPr>
        <w:t xml:space="preserve">We fitted the within-host model to viral load data measured since initiation of different treatment regimens (i.e. placebo, </w:t>
      </w:r>
      <w:r w:rsidR="00D04F44" w:rsidRPr="00F04787">
        <w:rPr>
          <w:lang w:val="en-US"/>
        </w:rPr>
        <w:t>baloxavir marboxil (BXM)</w:t>
      </w:r>
      <w:r w:rsidRPr="00F04787">
        <w:rPr>
          <w:lang w:val="en-US"/>
        </w:rPr>
        <w:t xml:space="preserve"> or oseltamivir) with</w:t>
      </w:r>
      <w:r w:rsidR="00052441">
        <w:rPr>
          <w:lang w:val="en-US"/>
        </w:rPr>
        <w:t xml:space="preserve"> </w:t>
      </w:r>
      <w:r w:rsidRPr="00F04787">
        <w:rPr>
          <w:lang w:val="en-US"/>
        </w:rPr>
        <w:t>and without the emergence of BXM-resistant viruses</w:t>
      </w:r>
      <w:r w:rsidR="00052441">
        <w:rPr>
          <w:lang w:val="en-US"/>
        </w:rPr>
        <w:t xml:space="preserve"> </w:t>
      </w:r>
      <w:r w:rsidRPr="00F04787">
        <w:rPr>
          <w:lang w:val="en-US"/>
        </w:rPr>
        <w:t xml:space="preserve">from </w:t>
      </w:r>
      <w:r w:rsidR="00636B99">
        <w:rPr>
          <w:lang w:val="en-US"/>
        </w:rPr>
        <w:t>a</w:t>
      </w:r>
      <w:r w:rsidRPr="00F04787">
        <w:rPr>
          <w:lang w:val="en-US"/>
        </w:rPr>
        <w:t xml:space="preserve"> phase 3 clinical</w:t>
      </w:r>
      <w:r w:rsidR="00E57054" w:rsidRPr="00F04787">
        <w:rPr>
          <w:lang w:val="en-US"/>
        </w:rPr>
        <w:t xml:space="preserve"> </w:t>
      </w:r>
      <w:r w:rsidRPr="00F04787">
        <w:rPr>
          <w:lang w:val="en-US"/>
        </w:rPr>
        <w:t>trial</w:t>
      </w:r>
      <w:r w:rsidR="00E57054" w:rsidRPr="00F04787">
        <w:rPr>
          <w:lang w:val="en-US"/>
        </w:rPr>
        <w:t xml:space="preserve"> (CAPSTONE-1)</w:t>
      </w:r>
      <w:r w:rsidRPr="00F04787">
        <w:rPr>
          <w:lang w:val="en-US"/>
        </w:rPr>
        <w:t>.</w:t>
      </w:r>
      <w:r w:rsidR="00052441">
        <w:rPr>
          <w:lang w:val="en-US"/>
        </w:rPr>
        <w:fldChar w:fldCharType="begin"/>
      </w:r>
      <w:r w:rsidR="00052441">
        <w:rPr>
          <w:lang w:val="en-US"/>
        </w:rPr>
        <w:instrText xml:space="preserve"> ADDIN ZOTERO_ITEM CSL_CITATION {"citationID":"FGAdnuT4","properties":{"formattedCitation":"\\super 1,2\\nosupersub{}","plainCitation":"1,2","noteIndex":0},"citationItems":[{"id":14,"uris":["http://zotero.org/users/local/0pdZPGmr/items/Q75YUA7U"],"itemData":{"id":14,"type":"article-journal","abstract":"Single-dose baloxavir rapidly reduces influenza virus titers and symptoms in patients with uncomplicated influenza, but viruses with reduced in vitro susceptibility due to amino acid substitutions at position 38 of polymerase acidic protein (PA/I38X) sometimes emerge.We evaluated the kinetics, risk factors, and effects on clinical and virologic outcomes of emergence of PA/I38X-substituted viruses.Viruses containing PA/I38X substitutions were identified 3–9 days after baloxavir treatment in 9.7% (36/370) of patients, of whom 85.3% had transient virus titer rises. Median time to sustained cessation of infectious virus detection was 192, 48, and 96 hours in the baloxavir recipients with PA/I38X-substituted viruses, without PA/I38X-substituted viruses, and placebo recipients, respectively. The corresponding median times to alleviation of symptoms were 63.1, 51.0, and 80.2 hours, respectively. After day 5, symptom increases occurred in 11.5%, 8.0%, and 13.0%, respectively, and in 8.9% of oseltamivir recipients. Variant virus emergence was associated with lower baseline neutralizing antibody titers.The emergence of viruses with PA/I38X substitutions following baloxavir treatment was associated with transient rises in infectious virus titers, prolongation of virus detectability, initial delay in symptom alleviation, and uncommonly with symptom rebound. The potential transmissibility of PA/I38X-substituted viruses requires careful study.NCT02954354.","container-title":"The Journal of Infectious Diseases","DOI":"10.1093/infdis/jiz244","ISSN":"0022-1899","issue":"3","journalAbbreviation":"The Journal of Infectious Diseases","page":"346-355","title":"Treatment-Emergent Influenza Variant Viruses With Reduced Baloxavir Susceptibility: Impact on Clinical and Virologic Outcomes in Uncomplicated Influenza","volume":"221","author":[{"family":"Uehara","given":"Takeki"},{"family":"Hayden","given":"Frederick G"},{"family":"Kawaguchi","given":"Keiko"},{"family":"Omoto","given":"Shinya"},{"family":"Hurt","given":"Aeron C"},{"family":"De Jong","given":"Menno D"},{"family":"Hirotsu","given":"Nobuo"},{"family":"Sugaya","given":"Norio"},{"family":"Lee","given":"Nelson"},{"family":"Baba","given":"Keiko"},{"family":"Shishido","given":"Takao"},{"family":"Tsuchiya","given":"Kenji"},{"family":"Portsmouth","given":"Simon"},{"family":"Kida","given":"Hiroshi"}],"issued":{"date-parts":[["2020",1,14]]}}},{"id":9,"uris":["http://zotero.org/users/local/0pdZPGmr/items/LU5QH5UX"],"itemData":{"id":9,"type":"article-journal","abstract":"In phase 2 and 3 randomized, controlled trials, baloxavir — an inhibitor of influenza cap-dependent endonuclease — showed evidence of clinical symptom relief and antiviral activity against influenza. However, influenza-resistant variants appeared to develop with treatment.","container-title":"New England Journal of Medicine","DOI":"10.1056/NEJMoa1716197","issue":"10","note":"publisher: Massachusetts Medical Society\n_eprint: https://www.nejm.org/doi/pdf/10.1056/NEJMoa1716197","page":"913-923","source":"Taylor and Francis+NEJM","title":"Baloxavir Marboxil for Uncomplicated Influenza in Adults and Adolescents","volume":"379","author":[{"literal":"Hayden Frederick G."},{"literal":"Sugaya Norio"},{"literal":"Hirotsu Nobuo"},{"literal":"Lee Nelson"},{"literal":"de Jong Menno D."},{"literal":"Hurt Aeron C."},{"literal":"Ishida Tadashi"},{"literal":"Sekino Hisakuni"},{"literal":"Yamada Kota"},{"literal":"Portsmouth Simon"},{"literal":"Kawaguchi Keiko"},{"literal":"Shishido Takao"},{"literal":"Arai Masatsugu"},{"literal":"Tsuchiya Kenji"},{"literal":"Uehara Takeki"},{"literal":"Watanabe Akira"}],"issued":{"date-parts":[["2018",9,6]]}}}],"schema":"https://github.com/citation-style-language/schema/raw/master/csl-citation.json"} </w:instrText>
      </w:r>
      <w:r w:rsidR="00052441">
        <w:rPr>
          <w:lang w:val="en-US"/>
        </w:rPr>
        <w:fldChar w:fldCharType="separate"/>
      </w:r>
      <w:r w:rsidR="00052441" w:rsidRPr="00052441">
        <w:rPr>
          <w:vertAlign w:val="superscript"/>
          <w:lang w:val="en-US"/>
        </w:rPr>
        <w:t>1,2</w:t>
      </w:r>
      <w:r w:rsidR="00052441">
        <w:rPr>
          <w:lang w:val="en-US"/>
        </w:rPr>
        <w:fldChar w:fldCharType="end"/>
      </w:r>
      <w:r w:rsidRPr="00F04787">
        <w:rPr>
          <w:lang w:val="en-US"/>
        </w:rPr>
        <w:t xml:space="preserve"> For the </w:t>
      </w:r>
      <w:r w:rsidR="00665C8F">
        <w:rPr>
          <w:lang w:val="en-US"/>
        </w:rPr>
        <w:t>BXM-resistance</w:t>
      </w:r>
      <w:r w:rsidRPr="00F04787">
        <w:rPr>
          <w:lang w:val="en-US"/>
        </w:rPr>
        <w:t>, the rebound in viral load was dominated by BXM-resistant virions based on the estimated within-host mutation frequencies.</w:t>
      </w:r>
      <w:r w:rsidRPr="00F04787">
        <w:rPr>
          <w:lang w:val="en-US"/>
        </w:rPr>
        <w:fldChar w:fldCharType="begin"/>
      </w:r>
      <w:r w:rsidR="007B5913" w:rsidRPr="00F04787">
        <w:rPr>
          <w:lang w:val="en-US"/>
        </w:rPr>
        <w:instrText xml:space="preserve"> ADDIN ZOTERO_ITEM CSL_CITATION {"citationID":"nAdataXL","properties":{"formattedCitation":"\\super 1\\nosupersub{}","plainCitation":"1","noteIndex":0},"citationItems":[{"id":14,"uris":["http://zotero.org/users/local/0pdZPGmr/items/Q75YUA7U"],"itemData":{"id":14,"type":"article-journal","abstract":"Single-dose baloxavir rapidly reduces influenza virus titers and symptoms in patients with uncomplicated influenza, but viruses with reduced in vitro susceptibility due to amino acid substitutions at position 38 of polymerase acidic protein (PA/I38X) sometimes emerge.We evaluated the kinetics, risk factors, and effects on clinical and virologic outcomes of emergence of PA/I38X-substituted viruses.Viruses containing PA/I38X substitutions were identified 3–9 days after baloxavir treatment in 9.7% (36/370) of patients, of whom 85.3% had transient virus titer rises. Median time to sustained cessation of infectious virus detection was 192, 48, and 96 hours in the baloxavir recipients with PA/I38X-substituted viruses, without PA/I38X-substituted viruses, and placebo recipients, respectively. The corresponding median times to alleviation of symptoms were 63.1, 51.0, and 80.2 hours, respectively. After day 5, symptom increases occurred in 11.5%, 8.0%, and 13.0%, respectively, and in 8.9% of oseltamivir recipients. Variant virus emergence was associated with lower baseline neutralizing antibody titers.The emergence of viruses with PA/I38X substitutions following baloxavir treatment was associated with transient rises in infectious virus titers, prolongation of virus detectability, initial delay in symptom alleviation, and uncommonly with symptom rebound. The potential transmissibility of PA/I38X-substituted viruses requires careful study.NCT02954354.","container-title":"The Journal of Infectious Diseases","DOI":"10.1093/infdis/jiz244","ISSN":"0022-1899","issue":"3","journalAbbreviation":"The Journal of Infectious Diseases","page":"346-355","title":"Treatment-Emergent Influenza Variant Viruses With Reduced Baloxavir Susceptibility: Impact on Clinical and Virologic Outcomes in Uncomplicated Influenza","volume":"221","author":[{"family":"Uehara","given":"Takeki"},{"family":"Hayden","given":"Frederick G"},{"family":"Kawaguchi","given":"Keiko"},{"family":"Omoto","given":"Shinya"},{"family":"Hurt","given":"Aeron C"},{"family":"De Jong","given":"Menno D"},{"family":"Hirotsu","given":"Nobuo"},{"family":"Sugaya","given":"Norio"},{"family":"Lee","given":"Nelson"},{"family":"Baba","given":"Keiko"},{"family":"Shishido","given":"Takao"},{"family":"Tsuchiya","given":"Kenji"},{"family":"Portsmouth","given":"Simon"},{"family":"Kida","given":"Hiroshi"}],"issued":{"date-parts":[["2020",1,14]]}}}],"schema":"https://github.com/citation-style-language/schema/raw/master/csl-citation.json"} </w:instrText>
      </w:r>
      <w:r w:rsidRPr="00F04787">
        <w:rPr>
          <w:lang w:val="en-US"/>
        </w:rPr>
        <w:fldChar w:fldCharType="separate"/>
      </w:r>
      <w:r w:rsidR="001C1DC0" w:rsidRPr="00F04787">
        <w:rPr>
          <w:vertAlign w:val="superscript"/>
          <w:lang w:val="en-US"/>
        </w:rPr>
        <w:t>1</w:t>
      </w:r>
      <w:r w:rsidRPr="00F04787">
        <w:rPr>
          <w:lang w:val="en-US"/>
        </w:rPr>
        <w:fldChar w:fldCharType="end"/>
      </w:r>
      <w:r w:rsidRPr="00F04787">
        <w:rPr>
          <w:lang w:val="en-US"/>
        </w:rPr>
        <w:t xml:space="preserve"> </w:t>
      </w:r>
      <w:r w:rsidR="00665C8F">
        <w:rPr>
          <w:lang w:val="en-US"/>
        </w:rPr>
        <w:t>To fit the model,</w:t>
      </w:r>
      <w:r w:rsidRPr="00F04787">
        <w:rPr>
          <w:lang w:val="en-US"/>
        </w:rPr>
        <w:t xml:space="preserve"> </w:t>
      </w:r>
      <w:r w:rsidR="00636B99">
        <w:rPr>
          <w:lang w:val="en-US"/>
        </w:rPr>
        <w:t>f</w:t>
      </w:r>
      <w:r w:rsidR="00636B99" w:rsidRPr="00F04787">
        <w:rPr>
          <w:lang w:val="en-US"/>
        </w:rPr>
        <w:t>irst</w:t>
      </w:r>
      <w:r w:rsidRPr="00F04787">
        <w:rPr>
          <w:lang w:val="en-US"/>
        </w:rPr>
        <w:t xml:space="preserve">, we fitted pooled data of the time of symptom onset since influenza virus infection to a lognormal distribution (i.e. mean = 0.35, standard deviation = 0.41; </w:t>
      </w:r>
      <w:r w:rsidR="008E626F" w:rsidRPr="00F04787">
        <w:rPr>
          <w:lang w:val="en-US"/>
        </w:rPr>
        <w:t>Figure S</w:t>
      </w:r>
      <w:r w:rsidR="00DB71F3" w:rsidRPr="00F04787">
        <w:rPr>
          <w:lang w:val="en-US"/>
        </w:rPr>
        <w:t>5</w:t>
      </w:r>
      <w:r w:rsidRPr="00F04787">
        <w:rPr>
          <w:lang w:val="en-US"/>
        </w:rPr>
        <w:t>A).</w:t>
      </w:r>
      <w:r w:rsidRPr="00F04787">
        <w:rPr>
          <w:lang w:val="en-US"/>
        </w:rPr>
        <w:fldChar w:fldCharType="begin"/>
      </w:r>
      <w:r w:rsidR="007B5913" w:rsidRPr="00F04787">
        <w:rPr>
          <w:lang w:val="en-US"/>
        </w:rPr>
        <w:instrText xml:space="preserve"> ADDIN ZOTERO_ITEM CSL_CITATION {"citationID":"Kun0eGlM","properties":{"formattedCitation":"\\super 3\\nosupersub{}","plainCitation":"3","noteIndex":0},"citationItems":[{"id":11,"uris":["http://zotero.org/users/local/0pdZPGmr/items/5IH5IJHG"],"itemData":{"id":11,"type":"article-journal","container-title":"The Lancet Infectious Diseases","DOI":"10.1016/S1473-3099(09)70069-6","ISSN":"1473-3099, 1474-4457","issue":"5","journalAbbreviation":"The Lancet Infectious Diseases","language":"English","note":"publisher: Elsevier\nPMID: 19393959","page":"291-300","source":"www.thelancet.com","title":"Incubation periods of acute respiratory viral infections: a systematic review","title-short":"Incubation periods of acute respiratory viral infections","volume":"9","author":[{"family":"Lessler","given":"Justin"},{"family":"Reich","given":"Nicholas G."},{"family":"Brookmeyer","given":"Ron"},{"family":"Perl","given":"Trish M."},{"family":"Nelson","given":"Kenrad E."},{"family":"Cummings","given":"Derek AT"}],"issued":{"date-parts":[["2009",5,1]]}}}],"schema":"https://github.com/citation-style-language/schema/raw/master/csl-citation.json"} </w:instrText>
      </w:r>
      <w:r w:rsidRPr="00F04787">
        <w:rPr>
          <w:lang w:val="en-US"/>
        </w:rPr>
        <w:fldChar w:fldCharType="separate"/>
      </w:r>
      <w:r w:rsidR="001C1DC0" w:rsidRPr="00F04787">
        <w:rPr>
          <w:sz w:val="24"/>
          <w:vertAlign w:val="superscript"/>
          <w:lang w:val="en-US"/>
        </w:rPr>
        <w:t>3</w:t>
      </w:r>
      <w:r w:rsidRPr="00F04787">
        <w:rPr>
          <w:lang w:val="en-US"/>
        </w:rPr>
        <w:fldChar w:fldCharType="end"/>
      </w:r>
      <w:r w:rsidRPr="00F04787">
        <w:rPr>
          <w:lang w:val="en-US"/>
        </w:rPr>
        <w:t xml:space="preserve"> Second, we fitted the time of treatment initiation since symptom onset reported in the clinical trial to a Gamma distribution (i.e. placebo, shape = 2.91, scale = 8.31; BXM, shape = 2.40, scale = 10.12; oseltamivir, shape = 2.87, scale = 8.53; </w:t>
      </w:r>
      <w:r w:rsidR="008E626F" w:rsidRPr="00F04787">
        <w:rPr>
          <w:lang w:val="en-US"/>
        </w:rPr>
        <w:t>Figure</w:t>
      </w:r>
      <w:r w:rsidRPr="00F04787">
        <w:rPr>
          <w:lang w:val="en-US"/>
        </w:rPr>
        <w:t xml:space="preserve"> </w:t>
      </w:r>
      <w:r w:rsidR="008E626F" w:rsidRPr="00F04787">
        <w:rPr>
          <w:lang w:val="en-US"/>
        </w:rPr>
        <w:t>S</w:t>
      </w:r>
      <w:r w:rsidR="00DB71F3" w:rsidRPr="00F04787">
        <w:rPr>
          <w:lang w:val="en-US"/>
        </w:rPr>
        <w:t>5</w:t>
      </w:r>
      <w:r w:rsidRPr="00F04787">
        <w:rPr>
          <w:lang w:val="en-US"/>
        </w:rPr>
        <w:t>B</w:t>
      </w:r>
      <w:r w:rsidR="00804B8B" w:rsidRPr="00F04787">
        <w:rPr>
          <w:lang w:val="en-US"/>
        </w:rPr>
        <w:t>-D</w:t>
      </w:r>
      <w:r w:rsidRPr="00F04787">
        <w:rPr>
          <w:lang w:val="en-US"/>
        </w:rPr>
        <w:t xml:space="preserve">). We then simulated the number of individuals assigned to each treatment regime as per the </w:t>
      </w:r>
      <w:r w:rsidR="006B3EE9" w:rsidRPr="00F04787">
        <w:rPr>
          <w:lang w:val="en-US"/>
        </w:rPr>
        <w:t>CAPSTONE-1</w:t>
      </w:r>
      <w:r w:rsidRPr="00F04787">
        <w:rPr>
          <w:lang w:val="en-US"/>
        </w:rPr>
        <w:t xml:space="preserve"> trial (i.e. </w:t>
      </w:r>
      <m:oMath>
        <m:r>
          <w:rPr>
            <w:rFonts w:ascii="Cambria Math" w:hAnsi="Cambria Math"/>
            <w:lang w:val="en-US"/>
          </w:rPr>
          <m:t>n=</m:t>
        </m:r>
      </m:oMath>
      <w:r w:rsidRPr="00F04787">
        <w:rPr>
          <w:lang w:val="en-US"/>
        </w:rPr>
        <w:t xml:space="preserve"> 210, 427 and 377 individuals administered with a course of placebo, BXM and oseltamivir respectively;</w:t>
      </w:r>
      <w:r w:rsidRPr="00F04787">
        <w:rPr>
          <w:lang w:val="en-US"/>
        </w:rPr>
        <w:fldChar w:fldCharType="begin"/>
      </w:r>
      <w:r w:rsidR="007B5913" w:rsidRPr="00F04787">
        <w:rPr>
          <w:lang w:val="en-US"/>
        </w:rPr>
        <w:instrText xml:space="preserve"> ADDIN ZOTERO_ITEM CSL_CITATION {"citationID":"Q1bQRncG","properties":{"formattedCitation":"\\super 2\\nosupersub{}","plainCitation":"2","noteIndex":0},"citationItems":[{"id":9,"uris":["http://zotero.org/users/local/0pdZPGmr/items/LU5QH5UX"],"itemData":{"id":9,"type":"article-journal","abstract":"In phase 2 and 3 randomized, controlled trials, baloxavir — an inhibitor of influenza cap-dependent endonuclease — showed evidence of clinical symptom relief and antiviral activity against influenza. However, influenza-resistant variants appeared to develop with treatment.","container-title":"New England Journal of Medicine","DOI":"10.1056/NEJMoa1716197","issue":"10","note":"publisher: Massachusetts Medical Society\n_eprint: https://www.nejm.org/doi/pdf/10.1056/NEJMoa1716197","page":"913-923","source":"Taylor and Francis+NEJM","title":"Baloxavir Marboxil for Uncomplicated Influenza in Adults and Adolescents","volume":"379","author":[{"literal":"Hayden Frederick G."},{"literal":"Sugaya Norio"},{"literal":"Hirotsu Nobuo"},{"literal":"Lee Nelson"},{"literal":"de Jong Menno D."},{"literal":"Hurt Aeron C."},{"literal":"Ishida Tadashi"},{"literal":"Sekino Hisakuni"},{"literal":"Yamada Kota"},{"literal":"Portsmouth Simon"},{"literal":"Kawaguchi Keiko"},{"literal":"Shishido Takao"},{"literal":"Arai Masatsugu"},{"literal":"Tsuchiya Kenji"},{"literal":"Uehara Takeki"},{"literal":"Watanabe Akira"}],"issued":{"date-parts":[["2018",9,6]]}}}],"schema":"https://github.com/citation-style-language/schema/raw/master/csl-citation.json"} </w:instrText>
      </w:r>
      <w:r w:rsidRPr="00F04787">
        <w:rPr>
          <w:lang w:val="en-US"/>
        </w:rPr>
        <w:fldChar w:fldCharType="separate"/>
      </w:r>
      <w:r w:rsidR="001C1DC0" w:rsidRPr="00F04787">
        <w:rPr>
          <w:vertAlign w:val="superscript"/>
          <w:lang w:val="en-US"/>
        </w:rPr>
        <w:t>2</w:t>
      </w:r>
      <w:r w:rsidRPr="00F04787">
        <w:rPr>
          <w:lang w:val="en-US"/>
        </w:rPr>
        <w:fldChar w:fldCharType="end"/>
      </w:r>
      <w:r w:rsidRPr="00F04787">
        <w:rPr>
          <w:lang w:val="en-US"/>
        </w:rPr>
        <w:t xml:space="preserve"> </w:t>
      </w:r>
      <m:oMath>
        <m:r>
          <w:rPr>
            <w:rFonts w:ascii="Cambria Math" w:hAnsi="Cambria Math"/>
            <w:lang w:val="en-US"/>
          </w:rPr>
          <m:t>n=</m:t>
        </m:r>
      </m:oMath>
      <w:r w:rsidRPr="00F04787">
        <w:rPr>
          <w:lang w:val="en-US"/>
        </w:rPr>
        <w:t xml:space="preserve"> 34 individuals with treatment-emergent BXM-resistant mutant viruses),</w:t>
      </w:r>
      <w:r w:rsidRPr="00F04787">
        <w:rPr>
          <w:lang w:val="en-US"/>
        </w:rPr>
        <w:fldChar w:fldCharType="begin"/>
      </w:r>
      <w:r w:rsidR="007B5913" w:rsidRPr="00F04787">
        <w:rPr>
          <w:lang w:val="en-US"/>
        </w:rPr>
        <w:instrText xml:space="preserve"> ADDIN ZOTERO_ITEM CSL_CITATION {"citationID":"xMyM6X0S","properties":{"formattedCitation":"\\super 1\\nosupersub{}","plainCitation":"1","noteIndex":0},"citationItems":[{"id":14,"uris":["http://zotero.org/users/local/0pdZPGmr/items/Q75YUA7U"],"itemData":{"id":14,"type":"article-journal","abstract":"Single-dose baloxavir rapidly reduces influenza virus titers and symptoms in patients with uncomplicated influenza, but viruses with reduced in vitro susceptibility due to amino acid substitutions at position 38 of polymerase acidic protein (PA/I38X) sometimes emerge.We evaluated the kinetics, risk factors, and effects on clinical and virologic outcomes of emergence of PA/I38X-substituted viruses.Viruses containing PA/I38X substitutions were identified 3–9 days after baloxavir treatment in 9.7% (36/370) of patients, of whom 85.3% had transient virus titer rises. Median time to sustained cessation of infectious virus detection was 192, 48, and 96 hours in the baloxavir recipients with PA/I38X-substituted viruses, without PA/I38X-substituted viruses, and placebo recipients, respectively. The corresponding median times to alleviation of symptoms were 63.1, 51.0, and 80.2 hours, respectively. After day 5, symptom increases occurred in 11.5%, 8.0%, and 13.0%, respectively, and in 8.9% of oseltamivir recipients. Variant virus emergence was associated with lower baseline neutralizing antibody titers.The emergence of viruses with PA/I38X substitutions following baloxavir treatment was associated with transient rises in infectious virus titers, prolongation of virus detectability, initial delay in symptom alleviation, and uncommonly with symptom rebound. The potential transmissibility of PA/I38X-substituted viruses requires careful study.NCT02954354.","container-title":"The Journal of Infectious Diseases","DOI":"10.1093/infdis/jiz244","ISSN":"0022-1899","issue":"3","journalAbbreviation":"The Journal of Infectious Diseases","page":"346-355","title":"Treatment-Emergent Influenza Variant Viruses With Reduced Baloxavir Susceptibility: Impact on Clinical and Virologic Outcomes in Uncomplicated Influenza","volume":"221","author":[{"family":"Uehara","given":"Takeki"},{"family":"Hayden","given":"Frederick G"},{"family":"Kawaguchi","given":"Keiko"},{"family":"Omoto","given":"Shinya"},{"family":"Hurt","given":"Aeron C"},{"family":"De Jong","given":"Menno D"},{"family":"Hirotsu","given":"Nobuo"},{"family":"Sugaya","given":"Norio"},{"family":"Lee","given":"Nelson"},{"family":"Baba","given":"Keiko"},{"family":"Shishido","given":"Takao"},{"family":"Tsuchiya","given":"Kenji"},{"family":"Portsmouth","given":"Simon"},{"family":"Kida","given":"Hiroshi"}],"issued":{"date-parts":[["2020",1,14]]}}}],"schema":"https://github.com/citation-style-language/schema/raw/master/csl-citation.json"} </w:instrText>
      </w:r>
      <w:r w:rsidRPr="00F04787">
        <w:rPr>
          <w:lang w:val="en-US"/>
        </w:rPr>
        <w:fldChar w:fldCharType="separate"/>
      </w:r>
      <w:r w:rsidR="001C1DC0" w:rsidRPr="00F04787">
        <w:rPr>
          <w:vertAlign w:val="superscript"/>
          <w:lang w:val="en-US"/>
        </w:rPr>
        <w:t>1</w:t>
      </w:r>
      <w:r w:rsidRPr="00F04787">
        <w:rPr>
          <w:lang w:val="en-US"/>
        </w:rPr>
        <w:fldChar w:fldCharType="end"/>
      </w:r>
      <w:r w:rsidRPr="00F04787">
        <w:rPr>
          <w:lang w:val="en-US"/>
        </w:rPr>
        <w:t xml:space="preserve"> randomly drawing the time of symptom onset and treatment initiation from the aforementioned fitted distributions. The </w:t>
      </w:r>
      <w:r w:rsidR="006B3EE9" w:rsidRPr="00F04787">
        <w:rPr>
          <w:lang w:val="en-US"/>
        </w:rPr>
        <w:t>CAPSTONE-1</w:t>
      </w:r>
      <w:r w:rsidRPr="00F04787">
        <w:rPr>
          <w:lang w:val="en-US"/>
        </w:rPr>
        <w:t xml:space="preserve"> trial reported the viral load distribution of participants in different treatment regimen each day for 7 days since treatment initiation.</w:t>
      </w:r>
      <w:r w:rsidRPr="00F04787">
        <w:rPr>
          <w:lang w:val="en-US"/>
        </w:rPr>
        <w:fldChar w:fldCharType="begin"/>
      </w:r>
      <w:r w:rsidR="007B5913" w:rsidRPr="00F04787">
        <w:rPr>
          <w:lang w:val="en-US"/>
        </w:rPr>
        <w:instrText xml:space="preserve"> ADDIN ZOTERO_ITEM CSL_CITATION {"citationID":"uare20Mt","properties":{"formattedCitation":"\\super 2\\nosupersub{}","plainCitation":"2","noteIndex":0},"citationItems":[{"id":9,"uris":["http://zotero.org/users/local/0pdZPGmr/items/LU5QH5UX"],"itemData":{"id":9,"type":"article-journal","abstract":"In phase 2 and 3 randomized, controlled trials, baloxavir — an inhibitor of influenza cap-dependent endonuclease — showed evidence of clinical symptom relief and antiviral activity against influenza. However, influenza-resistant variants appeared to develop with treatment.","container-title":"New England Journal of Medicine","DOI":"10.1056/NEJMoa1716197","issue":"10","note":"publisher: Massachusetts Medical Society\n_eprint: https://www.nejm.org/doi/pdf/10.1056/NEJMoa1716197","page":"913-923","source":"Taylor and Francis+NEJM","title":"Baloxavir Marboxil for Uncomplicated Influenza in Adults and Adolescents","volume":"379","author":[{"literal":"Hayden Frederick G."},{"literal":"Sugaya Norio"},{"literal":"Hirotsu Nobuo"},{"literal":"Lee Nelson"},{"literal":"de Jong Menno D."},{"literal":"Hurt Aeron C."},{"literal":"Ishida Tadashi"},{"literal":"Sekino Hisakuni"},{"literal":"Yamada Kota"},{"literal":"Portsmouth Simon"},{"literal":"Kawaguchi Keiko"},{"literal":"Shishido Takao"},{"literal":"Arai Masatsugu"},{"literal":"Tsuchiya Kenji"},{"literal":"Uehara Takeki"},{"literal":"Watanabe Akira"}],"issued":{"date-parts":[["2018",9,6]]}}}],"schema":"https://github.com/citation-style-language/schema/raw/master/csl-citation.json"} </w:instrText>
      </w:r>
      <w:r w:rsidRPr="00F04787">
        <w:rPr>
          <w:lang w:val="en-US"/>
        </w:rPr>
        <w:fldChar w:fldCharType="separate"/>
      </w:r>
      <w:r w:rsidR="001C1DC0" w:rsidRPr="00F04787">
        <w:rPr>
          <w:vertAlign w:val="superscript"/>
          <w:lang w:val="en-US"/>
        </w:rPr>
        <w:t>2</w:t>
      </w:r>
      <w:r w:rsidRPr="00F04787">
        <w:rPr>
          <w:lang w:val="en-US"/>
        </w:rPr>
        <w:fldChar w:fldCharType="end"/>
      </w:r>
      <w:r w:rsidRPr="00F04787">
        <w:rPr>
          <w:lang w:val="en-US"/>
        </w:rPr>
        <w:t xml:space="preserve"> In turn, we randomly generated the timing when viral samples were collected for each individual assuming a uniform distribution within a 12-hour collection time window each day. We then fitted the within-host model to the viral load dynamics simulated individuals, estimating all parameters except for the initial uninfected target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oMath>
      <w:r w:rsidRPr="00F04787">
        <w:rPr>
          <w:lang w:val="en-US"/>
        </w:rPr>
        <w:t>) and infected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sidRPr="00F04787">
        <w:rPr>
          <w:lang w:val="en-US"/>
        </w:rPr>
        <w:t xml:space="preserve">) cell populations which were assumed to be </w:t>
      </w:r>
      <m:oMath>
        <m:r>
          <w:rPr>
            <w:rFonts w:ascii="Cambria Math" w:hAnsi="Cambria Math"/>
            <w:lang w:val="en-US"/>
          </w:rPr>
          <m:t>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oMath>
      <w:r w:rsidRPr="00F04787">
        <w:rPr>
          <w:lang w:val="en-US"/>
        </w:rPr>
        <w:t xml:space="preserve"> and 0 cells respectively.</w:t>
      </w:r>
      <w:r w:rsidRPr="00F04787">
        <w:rPr>
          <w:lang w:val="en-US"/>
        </w:rPr>
        <w:fldChar w:fldCharType="begin"/>
      </w:r>
      <w:r w:rsidR="007B5913" w:rsidRPr="00F04787">
        <w:rPr>
          <w:lang w:val="en-US"/>
        </w:rPr>
        <w:instrText xml:space="preserve"> ADDIN ZOTERO_ITEM CSL_CITATION {"citationID":"viada25g","properties":{"formattedCitation":"\\super 4\\nosupersub{}","plainCitation":"4","noteIndex":0},"citationItems":[{"id":8,"uris":["http://zotero.org/users/local/0pdZPGmr/items/E92QFFH2"],"itemData":{"id":8,"type":"article-journal","abstract":"Author Summary   Neuraminidase Inhibitors (NI) are currently the most effective drugs against influenza. Recent cases of NI resistance are a cause for concern. A number of studies have reported the fraction of treated patients from which resistant virus could be isolated. While these results provide some assessment of the danger of NI resistance, a more quantitative understanding is preferable. We specifically want to know how likely it is that an infected, treated patient infects another person with the resistant strain, and how likely it is that the resistant strain subsequently spreads. Knowing these quantities is important for studies of the population-wide emergence of resistance. While these parameters can often be estimated from epidemiological data, such data is lacking for NI resistance in influenza. Here, we use an alternative approach that combines data from influenza infections of human volunteers with a mathematical framework. We find that the initial generation of resistant cases is most likely lower than the fraction of resistant cases reported. However, our study also clearly shows that the results depend strongly on the role the immune response plays, an issue that needs to be addressed in future studies.","container-title":"PLOS Computational Biology","DOI":"10.1371/journal.pcbi.0030240","issue":"12","journalAbbreviation":"PLOS Computational Biology","note":"publisher: Public Library of Science","page":"e240","title":"Neuraminidase Inhibitor Resistance in Influenza: Assessing the Danger of Its Generation and Spread","volume":"3","author":[{"family":"Handel","given":"Andreas"},{"family":"Longini","given":"Ira M","suffix":"Jr."},{"family":"Antia","given":"Rustom"}],"issued":{"date-parts":[["2007",12,7]]}}}],"schema":"https://github.com/citation-style-language/schema/raw/master/csl-citation.json"} </w:instrText>
      </w:r>
      <w:r w:rsidRPr="00F04787">
        <w:rPr>
          <w:lang w:val="en-US"/>
        </w:rPr>
        <w:fldChar w:fldCharType="separate"/>
      </w:r>
      <w:r w:rsidR="001C1DC0" w:rsidRPr="00F04787">
        <w:rPr>
          <w:sz w:val="24"/>
          <w:vertAlign w:val="superscript"/>
          <w:lang w:val="en-US"/>
        </w:rPr>
        <w:t>4</w:t>
      </w:r>
      <w:r w:rsidRPr="00F04787">
        <w:rPr>
          <w:lang w:val="en-US"/>
        </w:rPr>
        <w:fldChar w:fldCharType="end"/>
      </w:r>
      <w:r w:rsidRPr="00F04787">
        <w:rPr>
          <w:lang w:val="en-US"/>
        </w:rPr>
        <w:t xml:space="preserve"> We used differential evolution to iteratively search for parameter values that maximize the joint Gaussian likelihood of the viral load data reported in the </w:t>
      </w:r>
      <w:r w:rsidR="006B3EE9" w:rsidRPr="00F04787">
        <w:rPr>
          <w:lang w:val="en-US"/>
        </w:rPr>
        <w:t>CAPSTONE-1</w:t>
      </w:r>
      <w:r w:rsidRPr="00F04787">
        <w:rPr>
          <w:lang w:val="en-US"/>
        </w:rPr>
        <w:t xml:space="preserve"> trial</w:t>
      </w:r>
      <w:r w:rsidRPr="00F04787">
        <w:rPr>
          <w:lang w:val="en-US"/>
        </w:rPr>
        <w:fldChar w:fldCharType="begin"/>
      </w:r>
      <w:r w:rsidR="007B5913" w:rsidRPr="00F04787">
        <w:rPr>
          <w:lang w:val="en-US"/>
        </w:rPr>
        <w:instrText xml:space="preserve"> ADDIN ZOTERO_ITEM CSL_CITATION {"citationID":"G0wef8n7","properties":{"formattedCitation":"\\super 2\\nosupersub{}","plainCitation":"2","noteIndex":0},"citationItems":[{"id":9,"uris":["http://zotero.org/users/local/0pdZPGmr/items/LU5QH5UX"],"itemData":{"id":9,"type":"article-journal","abstract":"In phase 2 and 3 randomized, controlled trials, baloxavir — an inhibitor of influenza cap-dependent endonuclease — showed evidence of clinical symptom relief and antiviral activity against influenza. However, influenza-resistant variants appeared to develop with treatment.","container-title":"New England Journal of Medicine","DOI":"10.1056/NEJMoa1716197","issue":"10","note":"publisher: Massachusetts Medical Society\n_eprint: https://www.nejm.org/doi/pdf/10.1056/NEJMoa1716197","page":"913-923","source":"Taylor and Francis+NEJM","title":"Baloxavir Marboxil for Uncomplicated Influenza in Adults and Adolescents","volume":"379","author":[{"literal":"Hayden Frederick G."},{"literal":"Sugaya Norio"},{"literal":"Hirotsu Nobuo"},{"literal":"Lee Nelson"},{"literal":"de Jong Menno D."},{"literal":"Hurt Aeron C."},{"literal":"Ishida Tadashi"},{"literal":"Sekino Hisakuni"},{"literal":"Yamada Kota"},{"literal":"Portsmouth Simon"},{"literal":"Kawaguchi Keiko"},{"literal":"Shishido Takao"},{"literal":"Arai Masatsugu"},{"literal":"Tsuchiya Kenji"},{"literal":"Uehara Takeki"},{"literal":"Watanabe Akira"}],"issued":{"date-parts":[["2018",9,6]]}}}],"schema":"https://github.com/citation-style-language/schema/raw/master/csl-citation.json"} </w:instrText>
      </w:r>
      <w:r w:rsidRPr="00F04787">
        <w:rPr>
          <w:lang w:val="en-US"/>
        </w:rPr>
        <w:fldChar w:fldCharType="separate"/>
      </w:r>
      <w:r w:rsidR="001C1DC0" w:rsidRPr="00F04787">
        <w:rPr>
          <w:vertAlign w:val="superscript"/>
          <w:lang w:val="en-US"/>
        </w:rPr>
        <w:t>2</w:t>
      </w:r>
      <w:r w:rsidRPr="00F04787">
        <w:rPr>
          <w:lang w:val="en-US"/>
        </w:rPr>
        <w:fldChar w:fldCharType="end"/>
      </w:r>
      <w:r w:rsidRPr="00F04787">
        <w:rPr>
          <w:lang w:val="en-US"/>
        </w:rPr>
        <w:t xml:space="preserve"> and in Uehara et al</w:t>
      </w:r>
      <w:r w:rsidR="00A72AA3" w:rsidRPr="00F04787">
        <w:rPr>
          <w:lang w:val="en-US"/>
        </w:rPr>
        <w:t xml:space="preserve"> (Figure S</w:t>
      </w:r>
      <w:r w:rsidR="00DB71F3" w:rsidRPr="00F04787">
        <w:rPr>
          <w:lang w:val="en-US"/>
        </w:rPr>
        <w:t>6</w:t>
      </w:r>
      <w:r w:rsidR="00A72AA3" w:rsidRPr="00F04787">
        <w:rPr>
          <w:lang w:val="en-US"/>
        </w:rPr>
        <w:t>)</w:t>
      </w:r>
      <w:r w:rsidRPr="00F04787">
        <w:rPr>
          <w:lang w:val="en-US"/>
        </w:rPr>
        <w:t>.</w:t>
      </w:r>
      <w:r w:rsidRPr="00F04787">
        <w:rPr>
          <w:lang w:val="en-US"/>
        </w:rPr>
        <w:fldChar w:fldCharType="begin"/>
      </w:r>
      <w:r w:rsidR="007B5913" w:rsidRPr="00F04787">
        <w:rPr>
          <w:lang w:val="en-US"/>
        </w:rPr>
        <w:instrText xml:space="preserve"> ADDIN ZOTERO_ITEM CSL_CITATION {"citationID":"U4d9gmOd","properties":{"formattedCitation":"\\super 1\\nosupersub{}","plainCitation":"1","noteIndex":0},"citationItems":[{"id":14,"uris":["http://zotero.org/users/local/0pdZPGmr/items/Q75YUA7U"],"itemData":{"id":14,"type":"article-journal","abstract":"Single-dose baloxavir rapidly reduces influenza virus titers and symptoms in patients with uncomplicated influenza, but viruses with reduced in vitro susceptibility due to amino acid substitutions at position 38 of polymerase acidic protein (PA/I38X) sometimes emerge.We evaluated the kinetics, risk factors, and effects on clinical and virologic outcomes of emergence of PA/I38X-substituted viruses.Viruses containing PA/I38X substitutions were identified 3–9 days after baloxavir treatment in 9.7% (36/370) of patients, of whom 85.3% had transient virus titer rises. Median time to sustained cessation of infectious virus detection was 192, 48, and 96 hours in the baloxavir recipients with PA/I38X-substituted viruses, without PA/I38X-substituted viruses, and placebo recipients, respectively. The corresponding median times to alleviation of symptoms were 63.1, 51.0, and 80.2 hours, respectively. After day 5, symptom increases occurred in 11.5%, 8.0%, and 13.0%, respectively, and in 8.9% of oseltamivir recipients. Variant virus emergence was associated with lower baseline neutralizing antibody titers.The emergence of viruses with PA/I38X substitutions following baloxavir treatment was associated with transient rises in infectious virus titers, prolongation of virus detectability, initial delay in symptom alleviation, and uncommonly with symptom rebound. The potential transmissibility of PA/I38X-substituted viruses requires careful study.NCT02954354.","container-title":"The Journal of Infectious Diseases","DOI":"10.1093/infdis/jiz244","ISSN":"0022-1899","issue":"3","journalAbbreviation":"The Journal of Infectious Diseases","page":"346-355","title":"Treatment-Emergent Influenza Variant Viruses With Reduced Baloxavir Susceptibility: Impact on Clinical and Virologic Outcomes in Uncomplicated Influenza","volume":"221","author":[{"family":"Uehara","given":"Takeki"},{"family":"Hayden","given":"Frederick G"},{"family":"Kawaguchi","given":"Keiko"},{"family":"Omoto","given":"Shinya"},{"family":"Hurt","given":"Aeron C"},{"family":"De Jong","given":"Menno D"},{"family":"Hirotsu","given":"Nobuo"},{"family":"Sugaya","given":"Norio"},{"family":"Lee","given":"Nelson"},{"family":"Baba","given":"Keiko"},{"family":"Shishido","given":"Takao"},{"family":"Tsuchiya","given":"Kenji"},{"family":"Portsmouth","given":"Simon"},{"family":"Kida","given":"Hiroshi"}],"issued":{"date-parts":[["2020",1,14]]}}}],"schema":"https://github.com/citation-style-language/schema/raw/master/csl-citation.json"} </w:instrText>
      </w:r>
      <w:r w:rsidRPr="00F04787">
        <w:rPr>
          <w:lang w:val="en-US"/>
        </w:rPr>
        <w:fldChar w:fldCharType="separate"/>
      </w:r>
      <w:r w:rsidR="001C1DC0" w:rsidRPr="00F04787">
        <w:rPr>
          <w:vertAlign w:val="superscript"/>
          <w:lang w:val="en-US"/>
        </w:rPr>
        <w:t>1</w:t>
      </w:r>
      <w:r w:rsidRPr="00F04787">
        <w:rPr>
          <w:lang w:val="en-US"/>
        </w:rPr>
        <w:fldChar w:fldCharType="end"/>
      </w:r>
    </w:p>
    <w:p w14:paraId="03911E15" w14:textId="77777777" w:rsidR="00257ABA" w:rsidRPr="00F04787" w:rsidRDefault="00257ABA" w:rsidP="00C86312">
      <w:pPr>
        <w:rPr>
          <w:lang w:val="en-US"/>
        </w:rPr>
      </w:pPr>
    </w:p>
    <w:p w14:paraId="451622D7" w14:textId="4F134B58" w:rsidR="00A446F7" w:rsidRPr="00F04787" w:rsidRDefault="00A446F7" w:rsidP="0055385D">
      <w:pPr>
        <w:pStyle w:val="Heading2"/>
      </w:pPr>
      <w:bookmarkStart w:id="1" w:name="_Toc189816097"/>
      <w:r w:rsidRPr="00F04787">
        <w:t>Infectiousness estimates from within-host viral load</w:t>
      </w:r>
      <w:bookmarkEnd w:id="1"/>
      <w:r w:rsidRPr="00F04787">
        <w:t xml:space="preserve"> </w:t>
      </w:r>
    </w:p>
    <w:p w14:paraId="7D436C17" w14:textId="797E328C" w:rsidR="00A446F7" w:rsidRPr="00F04787" w:rsidRDefault="001F1788" w:rsidP="00A446F7">
      <w:pPr>
        <w:rPr>
          <w:lang w:val="en-US"/>
        </w:rPr>
      </w:pPr>
      <w:r w:rsidRPr="00F04787">
        <w:rPr>
          <w:lang w:val="en-US"/>
        </w:rPr>
        <w:t>To correlate</w:t>
      </w:r>
      <w:r w:rsidR="00A446F7" w:rsidRPr="00F04787">
        <w:rPr>
          <w:lang w:val="en-US"/>
        </w:rPr>
        <w:t xml:space="preserve"> within-host viral dynamics </w:t>
      </w:r>
      <w:r w:rsidRPr="00F04787">
        <w:rPr>
          <w:lang w:val="en-US"/>
        </w:rPr>
        <w:t>to infectiousness</w:t>
      </w:r>
      <w:r w:rsidR="00A446F7" w:rsidRPr="00F04787">
        <w:rPr>
          <w:lang w:val="en-US"/>
        </w:rPr>
        <w:t>,</w:t>
      </w:r>
      <w:r w:rsidR="00A446F7" w:rsidRPr="00F04787">
        <w:rPr>
          <w:lang w:val="en-US"/>
        </w:rPr>
        <w:fldChar w:fldCharType="begin"/>
      </w:r>
      <w:r w:rsidR="007B5913" w:rsidRPr="00F04787">
        <w:rPr>
          <w:lang w:val="en-US"/>
        </w:rPr>
        <w:instrText xml:space="preserve"> ADDIN ZOTERO_ITEM CSL_CITATION {"citationID":"Fc2kSy4m","properties":{"formattedCitation":"\\super 5\\nosupersub{}","plainCitation":"5","noteIndex":0},"citationItems":[{"id":62,"uris":["http://zotero.org/users/local/0pdZPGmr/items/SMLQE5RT"],"itemData":{"id":62,"type":"article-journal","container-title":"Philosophical Transactions of the Royal Society B: Biological Sciences","DOI":"10.1098/rstb.2014.0302","issue":"1675","journalAbbreviation":"Philosophical Transactions of the Royal Society B: Biological Sciences","note":"publisher: Royal Society","page":"20140302","title":"Crossing the scale from within-host infection dynamics to between-host transmission fitness: a discussion of current assumptions and knowledge","volume":"370","author":[{"family":"Handel","given":"Andreas"},{"family":"Rohani","given":"Pejman"}],"issued":{"date-parts":[["2015",8,19]]}}}],"schema":"https://github.com/citation-style-language/schema/raw/master/csl-citation.json"} </w:instrText>
      </w:r>
      <w:r w:rsidR="00A446F7" w:rsidRPr="00F04787">
        <w:rPr>
          <w:lang w:val="en-US"/>
        </w:rPr>
        <w:fldChar w:fldCharType="separate"/>
      </w:r>
      <w:r w:rsidR="001C1DC0" w:rsidRPr="00F04787">
        <w:rPr>
          <w:sz w:val="24"/>
          <w:vertAlign w:val="superscript"/>
          <w:lang w:val="en-US"/>
        </w:rPr>
        <w:t>5</w:t>
      </w:r>
      <w:r w:rsidR="00A446F7" w:rsidRPr="00F04787">
        <w:rPr>
          <w:lang w:val="en-US"/>
        </w:rPr>
        <w:fldChar w:fldCharType="end"/>
      </w:r>
      <w:r w:rsidR="00A446F7" w:rsidRPr="00F04787">
        <w:rPr>
          <w:lang w:val="en-US"/>
        </w:rPr>
        <w:t xml:space="preserve"> we explored three different models that were previously applied to respiratory viral pathogens to estimate infectiousness (</w:t>
      </w:r>
      <m:oMath>
        <m:r>
          <w:rPr>
            <w:rFonts w:ascii="Cambria Math" w:hAnsi="Cambria Math"/>
            <w:lang w:val="en-US"/>
          </w:rPr>
          <m:t>ω</m:t>
        </m:r>
        <m:d>
          <m:dPr>
            <m:ctrlPr>
              <w:rPr>
                <w:rFonts w:ascii="Cambria Math" w:hAnsi="Cambria Math"/>
                <w:i/>
                <w:lang w:val="en-US"/>
              </w:rPr>
            </m:ctrlPr>
          </m:dPr>
          <m:e>
            <m:r>
              <w:rPr>
                <w:rFonts w:ascii="Cambria Math" w:hAnsi="Cambria Math"/>
                <w:lang w:val="en-US"/>
              </w:rPr>
              <m:t>t</m:t>
            </m:r>
          </m:e>
        </m:d>
      </m:oMath>
      <w:r w:rsidR="00A446F7" w:rsidRPr="00F04787">
        <w:rPr>
          <w:lang w:val="en-US"/>
        </w:rPr>
        <w:t>) from the simulated viral load (</w:t>
      </w:r>
      <m:oMath>
        <m:r>
          <w:rPr>
            <w:rFonts w:ascii="Cambria Math" w:hAnsi="Cambria Math"/>
            <w:lang w:val="en-US"/>
          </w:rPr>
          <m:t>V</m:t>
        </m:r>
        <m:d>
          <m:dPr>
            <m:ctrlPr>
              <w:rPr>
                <w:rFonts w:ascii="Cambria Math" w:hAnsi="Cambria Math"/>
                <w:i/>
                <w:lang w:val="en-US"/>
              </w:rPr>
            </m:ctrlPr>
          </m:dPr>
          <m:e>
            <m:r>
              <w:rPr>
                <w:rFonts w:ascii="Cambria Math" w:hAnsi="Cambria Math"/>
                <w:lang w:val="en-US"/>
              </w:rPr>
              <m:t>t</m:t>
            </m:r>
          </m:e>
        </m:d>
      </m:oMath>
      <w:r w:rsidR="00A446F7" w:rsidRPr="00F04787">
        <w:rPr>
          <w:lang w:val="en-US"/>
        </w:rPr>
        <w:t xml:space="preserve">) at time </w:t>
      </w:r>
      <m:oMath>
        <m:r>
          <w:rPr>
            <w:rFonts w:ascii="Cambria Math" w:hAnsi="Cambria Math"/>
            <w:lang w:val="en-US"/>
          </w:rPr>
          <m:t>t</m:t>
        </m:r>
      </m:oMath>
      <w:r w:rsidR="00A446F7" w:rsidRPr="00F04787">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521"/>
        <w:gridCol w:w="793"/>
      </w:tblGrid>
      <w:tr w:rsidR="00A446F7" w:rsidRPr="00F04787" w14:paraId="1200B331" w14:textId="77777777" w:rsidTr="001B626F">
        <w:trPr>
          <w:trHeight w:val="1644"/>
        </w:trPr>
        <w:tc>
          <w:tcPr>
            <w:tcW w:w="1696" w:type="dxa"/>
            <w:vAlign w:val="center"/>
          </w:tcPr>
          <w:p w14:paraId="1E96B454" w14:textId="53503CB4" w:rsidR="00A446F7" w:rsidRPr="00F04787" w:rsidRDefault="00A446F7" w:rsidP="001B626F">
            <w:pPr>
              <w:spacing w:line="276" w:lineRule="auto"/>
              <w:jc w:val="center"/>
              <w:rPr>
                <w:lang w:val="en-US"/>
              </w:rPr>
            </w:pPr>
            <w:r w:rsidRPr="00F04787">
              <w:rPr>
                <w:lang w:val="en-US"/>
              </w:rPr>
              <w:lastRenderedPageBreak/>
              <w:t>Hill equation</w:t>
            </w:r>
            <w:r w:rsidRPr="00F04787">
              <w:rPr>
                <w:lang w:val="en-US"/>
              </w:rPr>
              <w:fldChar w:fldCharType="begin"/>
            </w:r>
            <w:r w:rsidRPr="00F04787">
              <w:rPr>
                <w:lang w:val="en-US"/>
              </w:rPr>
              <w:instrText xml:space="preserve"> ADDIN ZOTERO_ITEM CSL_CITATION {"citationID":"XMYUWUYr","properties":{"formattedCitation":"\\super 4,6\\nosupersub{}","plainCitation":"4,6","noteIndex":0},"citationItems":[{"id":8,"uris":["http://zotero.org/users/local/0pdZPGmr/items/E92QFFH2"],"itemData":{"id":8,"type":"article-journal","abstract":"Author Summary   Neuraminidase Inhibitors (NI) are currently the most effective drugs against influenza. Recent cases of NI resistance are a cause for concern. A number of studies have reported the fraction of treated patients from which resistant virus could be isolated. While these results provide some assessment of the danger of NI resistance, a more quantitative understanding is preferable. We specifically want to know how likely it is that an infected, treated patient infects another person with the resistant strain, and how likely it is that the resistant strain subsequently spreads. Knowing these quantities is important for studies of the population-wide emergence of resistance. While these parameters can often be estimated from epidemiological data, such data is lacking for NI resistance in influenza. Here, we use an alternative approach that combines data from influenza infections of human volunteers with a mathematical framework. We find that the initial generation of resistant cases is most likely lower than the fraction of resistant cases reported. However, our study also clearly shows that the results depend strongly on the role the immune response plays, an issue that needs to be addressed in future studies.","container-title":"PLOS Computational Biology","DOI":"10.1371/journal.pcbi.0030240","issue":"12","journalAbbreviation":"PLOS Computational Biology","note":"publisher: Public Library of Science","page":"e240","title":"Neuraminidase Inhibitor Resistance in Influenza: Assessing the Danger of Its Generation and Spread","volume":"3","author":[{"family":"Handel","given":"Andreas"},{"family":"Longini","given":"Ira M","suffix":"Jr."},{"family":"Antia","given":"Rustom"}],"issued":{"date-parts":[["2007",12,7]]}}},{"id":57,"uris":["http://zotero.org/users/local/0pdZPGmr/items/WPNZDR5S"],"itemData":{"id":57,"type":"article-journal","abstract":"SARS-CoV-2 is difficult to contain because many transmissions occur during pre-symptomatic infection. Unlike influenza, most SARS-CoV-2-infected people do not transmit while a small percentage infect large numbers of people. We designed mathematical models which link observed viral loads with epidemiologic features of each virus, including distribution of transmissions attributed to each infected person and duration between symptom onset in the transmitter and secondarily infected person. We identify that people infected with SARS-CoV-2 or influenza can be highly contagious for less than 1 day, congruent with peak viral load. SARS-CoV-2 super-spreader events occur when an infected person is shedding at a very high viral load and has a high number of exposed contacts. The higher predisposition of SARS-CoV-2 toward super-spreading events cannot be attributed to additional weeks of shedding relative to influenza. Rather, a person infected with SARS-CoV-2 exposes more people within equivalent physical contact networks, likely due to aerosolization.","container-title":"eLife","DOI":"10.7554/eLife.63537","ISSN":"2050-084X","note":"publisher: eLife Sciences Publications, Ltd","page":"e63537","title":"Viral load and contact heterogeneity predict SARS-CoV-2 transmission and super-spreading events","volume":"10","author":[{"family":"Goyal","given":"Ashish"},{"family":"Reeves","given":"Daniel B"},{"family":"Cardozo-Ojeda","given":"E Fabian"},{"family":"Schiffer","given":"Joshua T"},{"family":"Mayer","given":"Bryan T"}],"editor":[{"family":"Walczak","given":"Aleksandra M"},{"family":"Childs","given":"Lauren"},{"family":"Forde","given":"Jonathan"}],"issued":{"date-parts":[["2021",2,23]]}}}],"schema":"https://github.com/citation-style-language/schema/raw/master/csl-citation.json"} </w:instrText>
            </w:r>
            <w:r w:rsidRPr="00F04787">
              <w:rPr>
                <w:lang w:val="en-US"/>
              </w:rPr>
              <w:fldChar w:fldCharType="separate"/>
            </w:r>
            <w:r w:rsidR="001C1DC0" w:rsidRPr="00F04787">
              <w:rPr>
                <w:sz w:val="24"/>
                <w:vertAlign w:val="superscript"/>
                <w:lang w:val="en-US"/>
              </w:rPr>
              <w:t>4,6</w:t>
            </w:r>
            <w:r w:rsidRPr="00F04787">
              <w:rPr>
                <w:lang w:val="en-US"/>
              </w:rPr>
              <w:fldChar w:fldCharType="end"/>
            </w:r>
          </w:p>
        </w:tc>
        <w:tc>
          <w:tcPr>
            <w:tcW w:w="6521" w:type="dxa"/>
            <w:vAlign w:val="center"/>
          </w:tcPr>
          <w:p w14:paraId="1690CBAA" w14:textId="77777777" w:rsidR="00A446F7" w:rsidRPr="00F04787" w:rsidRDefault="00A446F7" w:rsidP="001B626F">
            <w:pPr>
              <w:spacing w:line="276" w:lineRule="auto"/>
              <w:jc w:val="center"/>
              <w:rPr>
                <w:lang w:val="en-US"/>
              </w:rPr>
            </w:pPr>
            <m:oMathPara>
              <m:oMath>
                <m:r>
                  <w:rPr>
                    <w:rFonts w:ascii="Cambria Math" w:hAnsi="Cambria Math"/>
                    <w:lang w:val="en-US"/>
                  </w:rPr>
                  <m:t>ω</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d>
                          <m:dPr>
                            <m:begChr m:val="["/>
                            <m:endChr m:val="]"/>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num>
                              <m:den>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ctrlPr>
                                          <w:rPr>
                                            <w:rFonts w:ascii="Cambria Math" w:hAnsi="Cambria Math"/>
                                            <w:lang w:val="en-US"/>
                                          </w:rPr>
                                        </m:ctrlPr>
                                      </m:e>
                                      <m:sub>
                                        <m:r>
                                          <w:rPr>
                                            <w:rFonts w:ascii="Cambria Math" w:hAnsi="Cambria Math"/>
                                            <w:lang w:val="en-US"/>
                                          </w:rPr>
                                          <m:t>10</m:t>
                                        </m:r>
                                        <m:ctrlPr>
                                          <w:rPr>
                                            <w:rFonts w:ascii="Cambria Math" w:hAnsi="Cambria Math"/>
                                            <w:lang w:val="en-US"/>
                                          </w:rPr>
                                        </m:ctrlPr>
                                      </m:sub>
                                    </m:sSub>
                                  </m:fName>
                                  <m:e>
                                    <m:d>
                                      <m:dPr>
                                        <m:begChr m:val="{"/>
                                        <m:endChr m:val="}"/>
                                        <m:ctrlPr>
                                          <w:rPr>
                                            <w:rFonts w:ascii="Cambria Math" w:hAnsi="Cambria Math"/>
                                            <w:i/>
                                            <w:lang w:val="en-US"/>
                                          </w:rPr>
                                        </m:ctrlPr>
                                      </m:dPr>
                                      <m:e>
                                        <m:r>
                                          <w:rPr>
                                            <w:rFonts w:ascii="Cambria Math" w:hAnsi="Cambria Math"/>
                                            <w:lang w:val="en-US"/>
                                          </w:rPr>
                                          <m:t>V</m:t>
                                        </m:r>
                                        <m:d>
                                          <m:dPr>
                                            <m:ctrlPr>
                                              <w:rPr>
                                                <w:rFonts w:ascii="Cambria Math" w:hAnsi="Cambria Math"/>
                                                <w:i/>
                                                <w:lang w:val="en-US"/>
                                              </w:rPr>
                                            </m:ctrlPr>
                                          </m:dPr>
                                          <m:e>
                                            <m:r>
                                              <w:rPr>
                                                <w:rFonts w:ascii="Cambria Math" w:hAnsi="Cambria Math"/>
                                                <w:lang w:val="en-US"/>
                                              </w:rPr>
                                              <m:t>t</m:t>
                                            </m:r>
                                          </m:e>
                                        </m:d>
                                      </m:e>
                                    </m:d>
                                  </m:e>
                                </m:func>
                              </m:den>
                            </m:f>
                          </m:e>
                        </m:d>
                      </m:e>
                      <m:sup>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up>
                    </m:sSup>
                  </m:den>
                </m:f>
              </m:oMath>
            </m:oMathPara>
          </w:p>
          <w:p w14:paraId="1DD9334F" w14:textId="77777777" w:rsidR="00803464" w:rsidRPr="00F04787" w:rsidRDefault="00803464" w:rsidP="002A34EA">
            <w:pPr>
              <w:spacing w:line="276" w:lineRule="auto"/>
              <w:rPr>
                <w:lang w:val="en-US"/>
              </w:rPr>
            </w:pPr>
          </w:p>
          <w:p w14:paraId="4BE207BB" w14:textId="78C7A386" w:rsidR="00A446F7" w:rsidRPr="00F04787" w:rsidRDefault="00A446F7" w:rsidP="001B626F">
            <w:pPr>
              <w:spacing w:line="276" w:lineRule="auto"/>
              <w:jc w:val="center"/>
              <w:rPr>
                <w:lang w:val="en-US"/>
              </w:rPr>
            </w:pPr>
            <w:r w:rsidRPr="00F04787">
              <w:rPr>
                <w:lang w:val="en-US"/>
              </w:rPr>
              <w:t xml:space="preserve">where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oMath>
            <w:r w:rsidRPr="00F04787">
              <w:rPr>
                <w:lang w:val="en-US"/>
              </w:rPr>
              <w:t xml:space="preserve"> is the viral load value leading to 50% infectiousness and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oMath>
            <w:r w:rsidRPr="00F04787">
              <w:rPr>
                <w:lang w:val="en-US"/>
              </w:rPr>
              <w:t xml:space="preserve"> is the Hill coefficient.</w:t>
            </w:r>
          </w:p>
          <w:p w14:paraId="394F7C02" w14:textId="77777777" w:rsidR="00A446F7" w:rsidRPr="00F04787" w:rsidRDefault="00A446F7" w:rsidP="001B626F">
            <w:pPr>
              <w:spacing w:line="276" w:lineRule="auto"/>
              <w:jc w:val="center"/>
              <w:rPr>
                <w:lang w:val="en-US"/>
              </w:rPr>
            </w:pPr>
          </w:p>
        </w:tc>
        <w:tc>
          <w:tcPr>
            <w:tcW w:w="793" w:type="dxa"/>
            <w:vAlign w:val="center"/>
          </w:tcPr>
          <w:p w14:paraId="395521DB" w14:textId="77777777" w:rsidR="00A446F7" w:rsidRPr="00F04787" w:rsidRDefault="00A446F7" w:rsidP="001B626F">
            <w:pPr>
              <w:jc w:val="center"/>
              <w:rPr>
                <w:lang w:val="en-US"/>
              </w:rPr>
            </w:pPr>
            <m:oMathPara>
              <m:oMath>
                <m:r>
                  <w:rPr>
                    <w:rFonts w:ascii="Cambria Math" w:hAnsi="Cambria Math"/>
                    <w:lang w:val="en-US"/>
                  </w:rPr>
                  <m:t>(7)</m:t>
                </m:r>
              </m:oMath>
            </m:oMathPara>
          </w:p>
        </w:tc>
      </w:tr>
      <w:tr w:rsidR="00A446F7" w:rsidRPr="00F04787" w14:paraId="77607072" w14:textId="77777777" w:rsidTr="001B626F">
        <w:trPr>
          <w:trHeight w:val="1644"/>
        </w:trPr>
        <w:tc>
          <w:tcPr>
            <w:tcW w:w="1696" w:type="dxa"/>
            <w:vAlign w:val="center"/>
          </w:tcPr>
          <w:p w14:paraId="3FE7101B" w14:textId="33F86399" w:rsidR="00A446F7" w:rsidRPr="00F04787" w:rsidRDefault="00A446F7" w:rsidP="001B626F">
            <w:pPr>
              <w:spacing w:line="276" w:lineRule="auto"/>
              <w:jc w:val="center"/>
              <w:rPr>
                <w:lang w:val="en-US"/>
              </w:rPr>
            </w:pPr>
            <w:r w:rsidRPr="00F04787">
              <w:rPr>
                <w:lang w:val="en-US"/>
              </w:rPr>
              <w:t>Logit function</w:t>
            </w:r>
            <w:r w:rsidRPr="00F04787">
              <w:rPr>
                <w:lang w:val="en-US"/>
              </w:rPr>
              <w:fldChar w:fldCharType="begin"/>
            </w:r>
            <w:r w:rsidRPr="00F04787">
              <w:rPr>
                <w:lang w:val="en-US"/>
              </w:rPr>
              <w:instrText xml:space="preserve"> ADDIN ZOTERO_ITEM CSL_CITATION {"citationID":"prcGK9LX","properties":{"formattedCitation":"\\super 7\\nosupersub{}","plainCitation":"7","noteIndex":0},"citationItems":[{"id":58,"uris":["http://zotero.org/users/local/0pdZPGmr/items/5LK3SCWQ"],"itemData":{"id":58,"type":"article-journal","abstract":"The relationship between SARS-CoV-2 viral load and infectiousness is poorly known. Using data from a cohort of cases and high-risk contacts, we reconstructed viral load at the time of contact and inferred the probability of infection. The effect of viral load was larger in household contacts than in non-household contacts, with a transmission probability as large as 48% when the viral load was greater than 1010 copies per mL. The transmission probability peaked at symptom onset, with a mean probability of transmission of 29%, with large individual variations. The model also projects the effects of variants on disease transmission. Based on the current knowledge that viral load is increased by two- to eightfold with variants of concern and assuming no changes in the pattern of contacts across variants, the model predicts that larger viral load levels could lead to a relative increase in the probability of transmission of 24% to 58% in household contacts, and of 15% to 39% in non-household contacts.","container-title":"eLife","DOI":"10.7554/eLife.69302","ISSN":"2050-084X","note":"publisher: eLife Sciences Publications, Ltd","page":"e69302","title":"Quantifying the relationship between SARS-CoV-2 viral load and infectiousness","volume":"10","author":[{"family":"Marc","given":"Aurélien"},{"family":"Kerioui","given":"Marion"},{"family":"Blanquart","given":"François"},{"family":"Bertrand","given":"Julie"},{"family":"Mitjà","given":"Oriol"},{"family":"Corbacho-Monné","given":"Marc"},{"family":"Marks","given":"Michael"},{"family":"Guedj","given":"Jeremie"}],"editor":[{"family":"Cobey","given":"Sarah E"},{"family":"Van der Meer","given":"Jos W"}],"issued":{"date-parts":[["2021",9,27]]}}}],"schema":"https://github.com/citation-style-language/schema/raw/master/csl-citation.json"} </w:instrText>
            </w:r>
            <w:r w:rsidRPr="00F04787">
              <w:rPr>
                <w:lang w:val="en-US"/>
              </w:rPr>
              <w:fldChar w:fldCharType="separate"/>
            </w:r>
            <w:r w:rsidR="001C1DC0" w:rsidRPr="00F04787">
              <w:rPr>
                <w:sz w:val="24"/>
                <w:vertAlign w:val="superscript"/>
                <w:lang w:val="en-US"/>
              </w:rPr>
              <w:t>7</w:t>
            </w:r>
            <w:r w:rsidRPr="00F04787">
              <w:rPr>
                <w:lang w:val="en-US"/>
              </w:rPr>
              <w:fldChar w:fldCharType="end"/>
            </w:r>
          </w:p>
        </w:tc>
        <w:tc>
          <w:tcPr>
            <w:tcW w:w="6521" w:type="dxa"/>
            <w:vAlign w:val="center"/>
          </w:tcPr>
          <w:p w14:paraId="1E61A338" w14:textId="77777777" w:rsidR="00A446F7" w:rsidRPr="00052441" w:rsidRDefault="00A446F7" w:rsidP="001B626F">
            <w:pPr>
              <w:spacing w:line="276" w:lineRule="auto"/>
              <w:jc w:val="center"/>
              <w:rPr>
                <w:rFonts w:eastAsia="DengXian"/>
                <w:lang w:val="en-US"/>
              </w:rPr>
            </w:pPr>
            <m:oMathPara>
              <m:oMath>
                <m:r>
                  <m:rPr>
                    <m:nor/>
                  </m:rPr>
                  <w:rPr>
                    <w:rFonts w:ascii="Cambria Math" w:hAnsi="Cambria Math"/>
                    <w:lang w:val="en-US"/>
                  </w:rPr>
                  <m:t>logit</m:t>
                </m:r>
                <m:d>
                  <m:dPr>
                    <m:begChr m:val="["/>
                    <m:endChr m:val="]"/>
                    <m:ctrlPr>
                      <w:rPr>
                        <w:rFonts w:ascii="Cambria Math" w:hAnsi="Cambria Math"/>
                        <w:i/>
                        <w:lang w:val="en-US"/>
                      </w:rPr>
                    </m:ctrlPr>
                  </m:dPr>
                  <m:e>
                    <m:r>
                      <w:rPr>
                        <w:rFonts w:ascii="Cambria Math" w:hAnsi="Cambria Math"/>
                        <w:lang w:val="en-US"/>
                      </w:rPr>
                      <m:t>ω</m:t>
                    </m:r>
                    <m:d>
                      <m:dPr>
                        <m:ctrlPr>
                          <w:rPr>
                            <w:rFonts w:ascii="Cambria Math" w:hAnsi="Cambria Math"/>
                            <w:i/>
                            <w:lang w:val="en-US"/>
                          </w:rPr>
                        </m:ctrlPr>
                      </m:dPr>
                      <m:e>
                        <m:r>
                          <w:rPr>
                            <w:rFonts w:ascii="Cambria Math" w:hAnsi="Cambria Math"/>
                            <w:lang w:val="en-US"/>
                          </w:rPr>
                          <m:t>t</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d>
                  <m:dPr>
                    <m:begChr m:val="["/>
                    <m:endChr m:val="]"/>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ctrlPr>
                              <w:rPr>
                                <w:rFonts w:ascii="Cambria Math" w:hAnsi="Cambria Math"/>
                                <w:lang w:val="en-US"/>
                              </w:rPr>
                            </m:ctrlPr>
                          </m:e>
                          <m:sub>
                            <m:r>
                              <w:rPr>
                                <w:rFonts w:ascii="Cambria Math" w:hAnsi="Cambria Math"/>
                                <w:lang w:val="en-US"/>
                              </w:rPr>
                              <m:t>10</m:t>
                            </m:r>
                            <m:ctrlPr>
                              <w:rPr>
                                <w:rFonts w:ascii="Cambria Math" w:hAnsi="Cambria Math"/>
                                <w:lang w:val="en-US"/>
                              </w:rPr>
                            </m:ctrlPr>
                          </m:sub>
                        </m:sSub>
                      </m:fName>
                      <m:e>
                        <m:d>
                          <m:dPr>
                            <m:begChr m:val="{"/>
                            <m:endChr m:val="}"/>
                            <m:ctrlPr>
                              <w:rPr>
                                <w:rFonts w:ascii="Cambria Math" w:hAnsi="Cambria Math"/>
                                <w:i/>
                                <w:lang w:val="en-US"/>
                              </w:rPr>
                            </m:ctrlPr>
                          </m:dPr>
                          <m:e>
                            <m:r>
                              <w:rPr>
                                <w:rFonts w:ascii="Cambria Math" w:hAnsi="Cambria Math"/>
                                <w:lang w:val="en-US"/>
                              </w:rPr>
                              <m:t>V</m:t>
                            </m:r>
                            <m:d>
                              <m:dPr>
                                <m:ctrlPr>
                                  <w:rPr>
                                    <w:rFonts w:ascii="Cambria Math" w:hAnsi="Cambria Math"/>
                                    <w:i/>
                                    <w:lang w:val="en-US"/>
                                  </w:rPr>
                                </m:ctrlPr>
                              </m:dPr>
                              <m:e>
                                <m:r>
                                  <w:rPr>
                                    <w:rFonts w:ascii="Cambria Math" w:hAnsi="Cambria Math"/>
                                    <w:lang w:val="en-US"/>
                                  </w:rPr>
                                  <m:t>t</m:t>
                                </m:r>
                              </m:e>
                            </m:d>
                          </m:e>
                        </m:d>
                      </m:e>
                    </m:func>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r>
                  <w:rPr>
                    <w:rFonts w:ascii="Cambria Math" w:hAnsi="Cambria Math"/>
                    <w:lang w:val="en-US"/>
                  </w:rPr>
                  <m:t xml:space="preserve">    ∀</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ctrlPr>
                          <w:rPr>
                            <w:rFonts w:ascii="Cambria Math" w:hAnsi="Cambria Math"/>
                            <w:lang w:val="en-US"/>
                          </w:rPr>
                        </m:ctrlPr>
                      </m:e>
                      <m:sub>
                        <m:r>
                          <w:rPr>
                            <w:rFonts w:ascii="Cambria Math" w:hAnsi="Cambria Math"/>
                            <w:lang w:val="en-US"/>
                          </w:rPr>
                          <m:t>10</m:t>
                        </m:r>
                        <m:ctrlPr>
                          <w:rPr>
                            <w:rFonts w:ascii="Cambria Math" w:hAnsi="Cambria Math"/>
                            <w:lang w:val="en-US"/>
                          </w:rPr>
                        </m:ctrlPr>
                      </m:sub>
                    </m:sSub>
                  </m:fName>
                  <m:e>
                    <m:d>
                      <m:dPr>
                        <m:begChr m:val="{"/>
                        <m:endChr m:val="}"/>
                        <m:ctrlPr>
                          <w:rPr>
                            <w:rFonts w:ascii="Cambria Math" w:hAnsi="Cambria Math"/>
                            <w:i/>
                            <w:lang w:val="en-US"/>
                          </w:rPr>
                        </m:ctrlPr>
                      </m:dPr>
                      <m:e>
                        <m:r>
                          <w:rPr>
                            <w:rFonts w:ascii="Cambria Math" w:hAnsi="Cambria Math"/>
                            <w:lang w:val="en-US"/>
                          </w:rPr>
                          <m:t>V</m:t>
                        </m:r>
                        <m:d>
                          <m:dPr>
                            <m:ctrlPr>
                              <w:rPr>
                                <w:rFonts w:ascii="Cambria Math" w:hAnsi="Cambria Math"/>
                                <w:i/>
                                <w:lang w:val="en-US"/>
                              </w:rPr>
                            </m:ctrlPr>
                          </m:dPr>
                          <m:e>
                            <m:r>
                              <w:rPr>
                                <w:rFonts w:ascii="Cambria Math" w:hAnsi="Cambria Math"/>
                                <w:lang w:val="en-US"/>
                              </w:rPr>
                              <m:t>t</m:t>
                            </m:r>
                          </m:e>
                        </m:d>
                      </m:e>
                    </m:d>
                  </m:e>
                </m:func>
                <m:r>
                  <w:rPr>
                    <w:rFonts w:ascii="Cambria Math" w:hAnsi="Cambria Math"/>
                    <w:lang w:val="en-US"/>
                  </w:rPr>
                  <m:t>&gt;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oMath>
            </m:oMathPara>
          </w:p>
          <w:p w14:paraId="22BF52CB" w14:textId="77777777" w:rsidR="00A446F7" w:rsidRPr="00052441" w:rsidRDefault="00A446F7" w:rsidP="001B626F">
            <w:pPr>
              <w:spacing w:line="276" w:lineRule="auto"/>
              <w:jc w:val="center"/>
              <w:rPr>
                <w:rFonts w:eastAsia="DengXian"/>
                <w:lang w:val="en-US"/>
              </w:rPr>
            </w:pPr>
            <m:oMathPara>
              <m:oMath>
                <m:r>
                  <m:rPr>
                    <m:nor/>
                  </m:rPr>
                  <w:rPr>
                    <w:rFonts w:ascii="Cambria Math" w:hAnsi="Cambria Math"/>
                    <w:lang w:val="en-US"/>
                  </w:rPr>
                  <m:t>logit</m:t>
                </m:r>
                <m:d>
                  <m:dPr>
                    <m:begChr m:val="["/>
                    <m:endChr m:val="]"/>
                    <m:ctrlPr>
                      <w:rPr>
                        <w:rFonts w:ascii="Cambria Math" w:hAnsi="Cambria Math"/>
                        <w:i/>
                        <w:lang w:val="en-US"/>
                      </w:rPr>
                    </m:ctrlPr>
                  </m:dPr>
                  <m:e>
                    <m:r>
                      <w:rPr>
                        <w:rFonts w:ascii="Cambria Math" w:hAnsi="Cambria Math"/>
                        <w:lang w:val="en-US"/>
                      </w:rPr>
                      <m:t>ω</m:t>
                    </m:r>
                    <m:d>
                      <m:dPr>
                        <m:ctrlPr>
                          <w:rPr>
                            <w:rFonts w:ascii="Cambria Math" w:hAnsi="Cambria Math"/>
                            <w:i/>
                            <w:lang w:val="en-US"/>
                          </w:rPr>
                        </m:ctrlPr>
                      </m:dPr>
                      <m:e>
                        <m:r>
                          <w:rPr>
                            <w:rFonts w:ascii="Cambria Math" w:hAnsi="Cambria Math"/>
                            <w:lang w:val="en-US"/>
                          </w:rPr>
                          <m:t>t</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r>
                  <w:rPr>
                    <w:rFonts w:ascii="Cambria Math" w:hAnsi="Cambria Math"/>
                    <w:lang w:val="en-US"/>
                  </w:rPr>
                  <m:t xml:space="preserve">   ∀</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ctrlPr>
                          <w:rPr>
                            <w:rFonts w:ascii="Cambria Math" w:hAnsi="Cambria Math"/>
                            <w:lang w:val="en-US"/>
                          </w:rPr>
                        </m:ctrlPr>
                      </m:e>
                      <m:sub>
                        <m:r>
                          <w:rPr>
                            <w:rFonts w:ascii="Cambria Math" w:hAnsi="Cambria Math"/>
                            <w:lang w:val="en-US"/>
                          </w:rPr>
                          <m:t>10</m:t>
                        </m:r>
                        <m:ctrlPr>
                          <w:rPr>
                            <w:rFonts w:ascii="Cambria Math" w:hAnsi="Cambria Math"/>
                            <w:lang w:val="en-US"/>
                          </w:rPr>
                        </m:ctrlPr>
                      </m:sub>
                    </m:sSub>
                  </m:fName>
                  <m:e>
                    <m:d>
                      <m:dPr>
                        <m:begChr m:val="{"/>
                        <m:endChr m:val="}"/>
                        <m:ctrlPr>
                          <w:rPr>
                            <w:rFonts w:ascii="Cambria Math" w:hAnsi="Cambria Math"/>
                            <w:i/>
                            <w:lang w:val="en-US"/>
                          </w:rPr>
                        </m:ctrlPr>
                      </m:dPr>
                      <m:e>
                        <m:r>
                          <w:rPr>
                            <w:rFonts w:ascii="Cambria Math" w:hAnsi="Cambria Math"/>
                            <w:lang w:val="en-US"/>
                          </w:rPr>
                          <m:t>V</m:t>
                        </m:r>
                        <m:d>
                          <m:dPr>
                            <m:ctrlPr>
                              <w:rPr>
                                <w:rFonts w:ascii="Cambria Math" w:hAnsi="Cambria Math"/>
                                <w:i/>
                                <w:lang w:val="en-US"/>
                              </w:rPr>
                            </m:ctrlPr>
                          </m:dPr>
                          <m:e>
                            <m:r>
                              <w:rPr>
                                <w:rFonts w:ascii="Cambria Math" w:hAnsi="Cambria Math"/>
                                <w:lang w:val="en-US"/>
                              </w:rPr>
                              <m:t>t</m:t>
                            </m:r>
                          </m:e>
                        </m:d>
                      </m:e>
                    </m:d>
                  </m:e>
                </m:func>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oMath>
            </m:oMathPara>
          </w:p>
          <w:p w14:paraId="6FE02F0D" w14:textId="77777777" w:rsidR="00803464" w:rsidRPr="00052441" w:rsidRDefault="00803464" w:rsidP="001B626F">
            <w:pPr>
              <w:spacing w:line="276" w:lineRule="auto"/>
              <w:jc w:val="center"/>
              <w:rPr>
                <w:lang w:val="en-US"/>
              </w:rPr>
            </w:pPr>
          </w:p>
          <w:p w14:paraId="20D7F91C" w14:textId="30921945" w:rsidR="00A446F7" w:rsidRPr="00F04787" w:rsidRDefault="00A446F7" w:rsidP="001B626F">
            <w:pPr>
              <w:spacing w:line="276" w:lineRule="auto"/>
              <w:jc w:val="center"/>
              <w:rPr>
                <w:rFonts w:eastAsia="DengXian"/>
                <w:lang w:val="en-US"/>
              </w:rPr>
            </w:pPr>
            <w:r w:rsidRPr="00F04787">
              <w:rPr>
                <w:lang w:val="en-US"/>
              </w:rPr>
              <w:t xml:space="preserve">where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oMath>
            <w:r w:rsidRPr="00F04787">
              <w:rPr>
                <w:lang w:val="en-US"/>
              </w:rPr>
              <w:t xml:space="preserve"> and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oMath>
            <w:r w:rsidRPr="00F04787">
              <w:rPr>
                <w:lang w:val="en-US"/>
              </w:rPr>
              <w:t xml:space="preserve"> are the transmission coefficient and baseline log-odds respectively.</w:t>
            </w:r>
          </w:p>
        </w:tc>
        <w:tc>
          <w:tcPr>
            <w:tcW w:w="793" w:type="dxa"/>
            <w:vAlign w:val="center"/>
          </w:tcPr>
          <w:p w14:paraId="187C65F7" w14:textId="77777777" w:rsidR="00A446F7" w:rsidRPr="00F04787" w:rsidRDefault="00A446F7" w:rsidP="001B626F">
            <w:pPr>
              <w:jc w:val="center"/>
              <w:rPr>
                <w:rFonts w:eastAsia="DengXian"/>
                <w:lang w:val="en-US"/>
              </w:rPr>
            </w:pPr>
            <m:oMathPara>
              <m:oMath>
                <m:r>
                  <w:rPr>
                    <w:rFonts w:ascii="Cambria Math" w:hAnsi="Cambria Math"/>
                    <w:lang w:val="en-US"/>
                  </w:rPr>
                  <m:t>(8)</m:t>
                </m:r>
              </m:oMath>
            </m:oMathPara>
          </w:p>
        </w:tc>
      </w:tr>
      <w:tr w:rsidR="00A446F7" w:rsidRPr="00F04787" w14:paraId="131A19C8" w14:textId="77777777" w:rsidTr="001B626F">
        <w:trPr>
          <w:trHeight w:val="1644"/>
        </w:trPr>
        <w:tc>
          <w:tcPr>
            <w:tcW w:w="1696" w:type="dxa"/>
            <w:vAlign w:val="center"/>
          </w:tcPr>
          <w:p w14:paraId="49C6BCB3" w14:textId="73C9BC17" w:rsidR="00A446F7" w:rsidRPr="00F04787" w:rsidRDefault="00A446F7" w:rsidP="001B626F">
            <w:pPr>
              <w:spacing w:line="276" w:lineRule="auto"/>
              <w:jc w:val="center"/>
              <w:rPr>
                <w:lang w:val="en-US"/>
              </w:rPr>
            </w:pPr>
            <w:r w:rsidRPr="00F04787">
              <w:rPr>
                <w:lang w:val="en-US"/>
              </w:rPr>
              <w:t>Logarithmic function</w:t>
            </w:r>
            <w:r w:rsidRPr="00F04787">
              <w:rPr>
                <w:lang w:val="en-US"/>
              </w:rPr>
              <w:fldChar w:fldCharType="begin"/>
            </w:r>
            <w:r w:rsidRPr="00F04787">
              <w:rPr>
                <w:lang w:val="en-US"/>
              </w:rPr>
              <w:instrText xml:space="preserve"> ADDIN ZOTERO_ITEM CSL_CITATION {"citationID":"1S0zHKAY","properties":{"formattedCitation":"\\super 8\\nosupersub{}","plainCitation":"8","noteIndex":0},"citationItems":[{"id":64,"uris":["http://zotero.org/users/local/0pdZPGmr/items/SXF4GCBA"],"itemData":{"id":64,"type":"article-journal","abstract":"Author Summary Infectious diseases vary widely in how they affect those who get infected and how they are transmitted. As an example, the duration of a single infection can range from days to years, while transmission can occur via the respiratory route, water or sexual contact. Measles and HIV are contrasting examples—both are caused by RNA viruses, but one is a genetically diverse, lethal sexually transmitted infection (STI) while the other is a relatively mild respiratory childhood disease with low antigenic diversity. We investigate why the most transmissible respiratory diseases such as measles and rubella are antigenically static, meaning immunity is lifelong, while other diseases—such as influenza, or the sexually transmitted diseases—seem to trade transmissibility for the ability to generate multiple diverse strains so as to evade host immunity. We use mathematical models of disease progression and evolution within the infected host coupled with models of transmission between hosts to explore how transmission modes, host contact rates and network structure determine antigenic diversity, infectiousness and duration of infection. In doing so, we classify infections into three types—measles-like (high transmissibility, but antigenically static), flu-like (lower transmissibility, but more antigenically diverse), and STI-like (very antigenically diverse, long lived infection, but low overall transmissibility).","container-title":"PLOS Computational Biology","DOI":"10.1371/journal.pcbi.1000536","issue":"10","journalAbbreviation":"PLOS Computational Biology","note":"publisher: Public Library of Science","page":"e1000536","title":"Antigenic Diversity, Transmission Mechanisms, and the Evolution of Pathogens","volume":"5","author":[{"family":"Lange","given":"Alexander"},{"family":"Ferguson","given":"Neil M."}],"issued":{"date-parts":[["2009",10,16]]}}}],"schema":"https://github.com/citation-style-language/schema/raw/master/csl-citation.json"} </w:instrText>
            </w:r>
            <w:r w:rsidRPr="00F04787">
              <w:rPr>
                <w:lang w:val="en-US"/>
              </w:rPr>
              <w:fldChar w:fldCharType="separate"/>
            </w:r>
            <w:r w:rsidR="001C1DC0" w:rsidRPr="00F04787">
              <w:rPr>
                <w:sz w:val="24"/>
                <w:vertAlign w:val="superscript"/>
                <w:lang w:val="en-US"/>
              </w:rPr>
              <w:t>8</w:t>
            </w:r>
            <w:r w:rsidRPr="00F04787">
              <w:rPr>
                <w:lang w:val="en-US"/>
              </w:rPr>
              <w:fldChar w:fldCharType="end"/>
            </w:r>
          </w:p>
        </w:tc>
        <w:tc>
          <w:tcPr>
            <w:tcW w:w="6521" w:type="dxa"/>
            <w:vAlign w:val="center"/>
          </w:tcPr>
          <w:p w14:paraId="6841FF75" w14:textId="6A14B808" w:rsidR="00A446F7" w:rsidRPr="00F04787" w:rsidRDefault="00A446F7" w:rsidP="001B626F">
            <w:pPr>
              <w:spacing w:line="276" w:lineRule="auto"/>
              <w:jc w:val="center"/>
              <w:rPr>
                <w:rFonts w:eastAsia="DengXian"/>
                <w:lang w:val="en-US"/>
              </w:rPr>
            </w:pPr>
            <m:oMathPara>
              <m:oMath>
                <m:r>
                  <w:rPr>
                    <w:rFonts w:ascii="Cambria Math" w:hAnsi="Cambria Math"/>
                    <w:lang w:val="en-US"/>
                  </w:rPr>
                  <m:t>ω</m:t>
                </m:r>
                <m:d>
                  <m:dPr>
                    <m:ctrlPr>
                      <w:rPr>
                        <w:rFonts w:ascii="Cambria Math" w:hAnsi="Cambria Math"/>
                        <w:i/>
                        <w:lang w:val="en-US"/>
                      </w:rPr>
                    </m:ctrlPr>
                  </m:dPr>
                  <m:e>
                    <m:r>
                      <w:rPr>
                        <w:rFonts w:ascii="Cambria Math" w:hAnsi="Cambria Math"/>
                        <w:lang w:val="en-US"/>
                      </w:rPr>
                      <m:t>t</m:t>
                    </m:r>
                  </m:e>
                </m:d>
                <m:r>
                  <w:rPr>
                    <w:rFonts w:ascii="Cambria Math" w:hAnsi="Cambria Math"/>
                    <w:lang w:val="en-US"/>
                  </w:rPr>
                  <m:t>=1-</m:t>
                </m:r>
                <m:func>
                  <m:funcPr>
                    <m:ctrlPr>
                      <w:rPr>
                        <w:rFonts w:ascii="Cambria Math" w:hAnsi="Cambria Math"/>
                        <w:i/>
                        <w:lang w:val="en-US"/>
                      </w:rPr>
                    </m:ctrlPr>
                  </m:funcPr>
                  <m:fName>
                    <m:r>
                      <m:rPr>
                        <m:sty m:val="p"/>
                      </m:rPr>
                      <w:rPr>
                        <w:rFonts w:ascii="Cambria Math" w:hAnsi="Cambria Math"/>
                        <w:lang w:val="en-US"/>
                      </w:rPr>
                      <m:t>exp</m:t>
                    </m:r>
                  </m:fName>
                  <m:e>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ctrlPr>
                                      <w:rPr>
                                        <w:rFonts w:ascii="Cambria Math" w:hAnsi="Cambria Math"/>
                                        <w:lang w:val="en-US"/>
                                      </w:rPr>
                                    </m:ctrlPr>
                                  </m:e>
                                  <m:sub>
                                    <m:r>
                                      <w:rPr>
                                        <w:rFonts w:ascii="Cambria Math" w:hAnsi="Cambria Math"/>
                                        <w:lang w:val="en-US"/>
                                      </w:rPr>
                                      <m:t>10</m:t>
                                    </m:r>
                                    <m:ctrlPr>
                                      <w:rPr>
                                        <w:rFonts w:ascii="Cambria Math" w:hAnsi="Cambria Math"/>
                                        <w:lang w:val="en-US"/>
                                      </w:rPr>
                                    </m:ctrlPr>
                                  </m:sub>
                                </m:sSub>
                              </m:fName>
                              <m:e>
                                <m:d>
                                  <m:dPr>
                                    <m:begChr m:val="["/>
                                    <m:endChr m:val="]"/>
                                    <m:ctrlPr>
                                      <w:rPr>
                                        <w:rFonts w:ascii="Cambria Math" w:hAnsi="Cambria Math"/>
                                        <w:i/>
                                        <w:lang w:val="en-US"/>
                                      </w:rPr>
                                    </m:ctrlPr>
                                  </m:dPr>
                                  <m:e>
                                    <m:r>
                                      <w:rPr>
                                        <w:rFonts w:ascii="Cambria Math" w:hAnsi="Cambria Math"/>
                                        <w:lang w:val="en-US"/>
                                      </w:rPr>
                                      <m:t>V</m:t>
                                    </m:r>
                                    <m:d>
                                      <m:dPr>
                                        <m:ctrlPr>
                                          <w:rPr>
                                            <w:rFonts w:ascii="Cambria Math" w:hAnsi="Cambria Math"/>
                                            <w:i/>
                                            <w:lang w:val="en-US"/>
                                          </w:rPr>
                                        </m:ctrlPr>
                                      </m:dPr>
                                      <m:e>
                                        <m:r>
                                          <w:rPr>
                                            <w:rFonts w:ascii="Cambria Math" w:hAnsi="Cambria Math"/>
                                            <w:lang w:val="en-US"/>
                                          </w:rPr>
                                          <m:t>t</m:t>
                                        </m:r>
                                      </m:e>
                                    </m:d>
                                  </m:e>
                                </m:d>
                              </m:e>
                            </m:func>
                          </m:num>
                          <m:den>
                            <m:r>
                              <w:rPr>
                                <w:rFonts w:ascii="Cambria Math" w:hAnsi="Cambria Math"/>
                                <w:lang w:val="en-US"/>
                              </w:rPr>
                              <m:t>k</m:t>
                            </m:r>
                          </m:den>
                        </m:f>
                      </m:e>
                    </m:d>
                  </m:e>
                </m:func>
              </m:oMath>
            </m:oMathPara>
          </w:p>
          <w:p w14:paraId="56E85097" w14:textId="77777777" w:rsidR="00803464" w:rsidRPr="00F04787" w:rsidRDefault="00803464" w:rsidP="001B626F">
            <w:pPr>
              <w:spacing w:line="276" w:lineRule="auto"/>
              <w:jc w:val="center"/>
              <w:rPr>
                <w:lang w:val="en-US"/>
              </w:rPr>
            </w:pPr>
          </w:p>
          <w:p w14:paraId="46F222F1" w14:textId="5FEB09EA" w:rsidR="00A446F7" w:rsidRPr="00F04787" w:rsidRDefault="00A446F7" w:rsidP="001B626F">
            <w:pPr>
              <w:spacing w:line="276" w:lineRule="auto"/>
              <w:jc w:val="center"/>
              <w:rPr>
                <w:rFonts w:eastAsia="DengXian"/>
                <w:lang w:val="en-US"/>
              </w:rPr>
            </w:pPr>
            <w:r w:rsidRPr="00F04787">
              <w:rPr>
                <w:lang w:val="en-US"/>
              </w:rPr>
              <w:t xml:space="preserve">where </w:t>
            </w:r>
            <m:oMath>
              <m:r>
                <w:rPr>
                  <w:rFonts w:ascii="Cambria Math" w:hAnsi="Cambria Math"/>
                  <w:lang w:val="en-US"/>
                </w:rPr>
                <m:t>k</m:t>
              </m:r>
            </m:oMath>
            <w:r w:rsidRPr="00F04787">
              <w:rPr>
                <w:lang w:val="en-US"/>
              </w:rPr>
              <w:t xml:space="preserve"> is the scaling factor.</w:t>
            </w:r>
          </w:p>
        </w:tc>
        <w:tc>
          <w:tcPr>
            <w:tcW w:w="793" w:type="dxa"/>
            <w:vAlign w:val="center"/>
          </w:tcPr>
          <w:p w14:paraId="52333F8E" w14:textId="77777777" w:rsidR="00A446F7" w:rsidRPr="00F04787" w:rsidRDefault="00A446F7" w:rsidP="001B626F">
            <w:pPr>
              <w:jc w:val="center"/>
              <w:rPr>
                <w:rFonts w:eastAsia="DengXian"/>
                <w:lang w:val="en-US"/>
              </w:rPr>
            </w:pPr>
            <m:oMathPara>
              <m:oMath>
                <m:r>
                  <w:rPr>
                    <w:rFonts w:ascii="Cambria Math" w:hAnsi="Cambria Math"/>
                    <w:lang w:val="en-US"/>
                  </w:rPr>
                  <m:t>(9)</m:t>
                </m:r>
              </m:oMath>
            </m:oMathPara>
          </w:p>
        </w:tc>
      </w:tr>
    </w:tbl>
    <w:p w14:paraId="1EA8FAFE" w14:textId="77777777" w:rsidR="00367494" w:rsidRDefault="00312DA6" w:rsidP="00A446F7">
      <w:pPr>
        <w:rPr>
          <w:lang w:val="en-US"/>
        </w:rPr>
      </w:pPr>
      <w:r w:rsidRPr="00F04787">
        <w:rPr>
          <w:lang w:val="en-US"/>
        </w:rPr>
        <w:t>Assuming</w:t>
      </w:r>
      <w:r w:rsidR="008D20B0" w:rsidRPr="00F04787">
        <w:rPr>
          <w:lang w:val="en-US"/>
        </w:rPr>
        <w:t xml:space="preserve"> that</w:t>
      </w:r>
      <w:r w:rsidR="00757807" w:rsidRPr="00F04787">
        <w:rPr>
          <w:lang w:val="en-US"/>
        </w:rPr>
        <w:t xml:space="preserve"> treatment with</w:t>
      </w:r>
      <w:r w:rsidR="008D20B0" w:rsidRPr="00F04787">
        <w:rPr>
          <w:lang w:val="en-US"/>
        </w:rPr>
        <w:t xml:space="preserve"> BXM within two days of symptom onset leads to </w:t>
      </w:r>
      <w:r w:rsidR="006B39C0" w:rsidRPr="00F04787">
        <w:rPr>
          <w:lang w:val="en-US"/>
        </w:rPr>
        <w:t>29% reduction in infectiousness</w:t>
      </w:r>
      <w:r w:rsidR="008D20B0" w:rsidRPr="00F04787">
        <w:rPr>
          <w:lang w:val="en-US"/>
        </w:rPr>
        <w:t xml:space="preserve"> </w:t>
      </w:r>
      <w:r w:rsidR="00757807" w:rsidRPr="00F04787">
        <w:rPr>
          <w:lang w:val="en-US"/>
        </w:rPr>
        <w:t>by five days post-treatment</w:t>
      </w:r>
      <w:r w:rsidR="006B39C0" w:rsidRPr="00F04787">
        <w:rPr>
          <w:lang w:val="en-US"/>
        </w:rPr>
        <w:t xml:space="preserve"> </w:t>
      </w:r>
      <w:r w:rsidR="008D20B0" w:rsidRPr="00F04787">
        <w:rPr>
          <w:lang w:val="en-US"/>
        </w:rPr>
        <w:t>as</w:t>
      </w:r>
      <w:r w:rsidR="00D07702" w:rsidRPr="00F04787">
        <w:rPr>
          <w:lang w:val="en-US"/>
        </w:rPr>
        <w:t xml:space="preserve"> reported in</w:t>
      </w:r>
      <w:r w:rsidR="00FC4C97" w:rsidRPr="00F04787">
        <w:rPr>
          <w:lang w:val="en-US"/>
        </w:rPr>
        <w:t xml:space="preserve"> the</w:t>
      </w:r>
      <w:r w:rsidR="00D07702" w:rsidRPr="00F04787">
        <w:rPr>
          <w:lang w:val="en-US"/>
        </w:rPr>
        <w:t xml:space="preserve"> phase 3 CENTERSTONE trial</w:t>
      </w:r>
      <w:r w:rsidRPr="00F04787">
        <w:rPr>
          <w:lang w:val="en-US"/>
        </w:rPr>
        <w:t>,</w:t>
      </w:r>
      <w:r w:rsidR="00FC4C97" w:rsidRPr="00F04787">
        <w:rPr>
          <w:lang w:val="en-US"/>
        </w:rPr>
        <w:fldChar w:fldCharType="begin"/>
      </w:r>
      <w:r w:rsidR="00FC4C97" w:rsidRPr="00F04787">
        <w:rPr>
          <w:lang w:val="en-US"/>
        </w:rPr>
        <w:instrText xml:space="preserve"> ADDIN ZOTERO_ITEM CSL_CITATION {"citationID":"PaNKfBTo","properties":{"formattedCitation":"\\super 9\\nosupersub{}","plainCitation":"9","noteIndex":0},"citationItems":[{"id":138,"uris":["http://zotero.org/users/local/0pdZPGmr/items/4NZB8IH8"],"itemData":{"id":138,"type":"speech","event-place":"Brisbane, Australia","event-title":"OPTIONS XII for the Control of Influenza","publisher-place":"Brisbane, Australia","title":"Phase III CENTERSTONE trial of single-dose baloxavir marboxil for the reduction of transmission of influenza in households","URL":"https://medically.roche.com/content/dam/pdmahub/restricted/infectious-disease/options-xii-2024/Options-XII-2024-presentation-monto-phase-III-CENTERSTONE-study-of-single-dose.pdf","author":[{"family":"Cowling","given":"Benjamin J"}],"issued":{"date-parts":[["2024",9,29]]}}}],"schema":"https://github.com/citation-style-language/schema/raw/master/csl-citation.json"} </w:instrText>
      </w:r>
      <w:r w:rsidR="00FC4C97" w:rsidRPr="00F04787">
        <w:rPr>
          <w:lang w:val="en-US"/>
        </w:rPr>
        <w:fldChar w:fldCharType="separate"/>
      </w:r>
      <w:r w:rsidR="00FC4C97" w:rsidRPr="00F04787">
        <w:rPr>
          <w:vertAlign w:val="superscript"/>
          <w:lang w:val="en-US"/>
        </w:rPr>
        <w:t>9</w:t>
      </w:r>
      <w:r w:rsidR="00FC4C97" w:rsidRPr="00F04787">
        <w:rPr>
          <w:lang w:val="en-US"/>
        </w:rPr>
        <w:fldChar w:fldCharType="end"/>
      </w:r>
      <w:r w:rsidRPr="00F04787">
        <w:rPr>
          <w:lang w:val="en-US"/>
        </w:rPr>
        <w:t xml:space="preserve"> we applied </w:t>
      </w:r>
      <w:r w:rsidR="00A446F7" w:rsidRPr="00F04787">
        <w:rPr>
          <w:lang w:val="en-US"/>
        </w:rPr>
        <w:t xml:space="preserve">each </w:t>
      </w:r>
      <w:r w:rsidR="006B39C0" w:rsidRPr="00F04787">
        <w:rPr>
          <w:lang w:val="en-US"/>
        </w:rPr>
        <w:t xml:space="preserve">infectiousness </w:t>
      </w:r>
      <w:r w:rsidR="00A446F7" w:rsidRPr="00F04787">
        <w:rPr>
          <w:lang w:val="en-US"/>
        </w:rPr>
        <w:t>model</w:t>
      </w:r>
      <w:r w:rsidR="006810A3" w:rsidRPr="00F04787">
        <w:rPr>
          <w:lang w:val="en-US"/>
        </w:rPr>
        <w:t xml:space="preserve"> to the</w:t>
      </w:r>
      <w:r w:rsidRPr="00F04787">
        <w:rPr>
          <w:lang w:val="en-US"/>
        </w:rPr>
        <w:t xml:space="preserve"> </w:t>
      </w:r>
      <w:r w:rsidR="006810A3" w:rsidRPr="00F04787">
        <w:rPr>
          <w:lang w:val="en-US"/>
        </w:rPr>
        <w:t>infectious viral load trajector</w:t>
      </w:r>
      <w:r w:rsidRPr="00F04787">
        <w:rPr>
          <w:lang w:val="en-US"/>
        </w:rPr>
        <w:t>y of BXM treatment as</w:t>
      </w:r>
      <w:r w:rsidR="006810A3" w:rsidRPr="00F04787">
        <w:rPr>
          <w:lang w:val="en-US"/>
        </w:rPr>
        <w:t xml:space="preserve"> estimated by </w:t>
      </w:r>
      <w:r w:rsidRPr="00F04787">
        <w:rPr>
          <w:lang w:val="en-US"/>
        </w:rPr>
        <w:t>our</w:t>
      </w:r>
      <w:r w:rsidR="006810A3" w:rsidRPr="00F04787">
        <w:rPr>
          <w:lang w:val="en-US"/>
        </w:rPr>
        <w:t xml:space="preserve"> within-host model</w:t>
      </w:r>
      <w:r w:rsidR="00B12788" w:rsidRPr="00F04787">
        <w:rPr>
          <w:lang w:val="en-US"/>
        </w:rPr>
        <w:t xml:space="preserve"> (Figure S</w:t>
      </w:r>
      <w:r w:rsidR="00D048B0" w:rsidRPr="00F04787">
        <w:rPr>
          <w:lang w:val="en-US"/>
        </w:rPr>
        <w:t>6</w:t>
      </w:r>
      <w:r w:rsidR="00B12788" w:rsidRPr="00F04787">
        <w:rPr>
          <w:lang w:val="en-US"/>
        </w:rPr>
        <w:t>)</w:t>
      </w:r>
      <w:r w:rsidRPr="00F04787">
        <w:rPr>
          <w:lang w:val="en-US"/>
        </w:rPr>
        <w:t xml:space="preserve"> and</w:t>
      </w:r>
      <w:r w:rsidR="001F1788" w:rsidRPr="00F04787">
        <w:rPr>
          <w:lang w:val="en-US"/>
        </w:rPr>
        <w:t xml:space="preserve"> fitted</w:t>
      </w:r>
      <w:r w:rsidRPr="00F04787">
        <w:rPr>
          <w:lang w:val="en-US"/>
        </w:rPr>
        <w:t xml:space="preserve"> the </w:t>
      </w:r>
      <m:oMath>
        <m:r>
          <w:rPr>
            <w:rFonts w:ascii="Cambria Math" w:hAnsi="Cambria Math"/>
            <w:lang w:val="en-US"/>
          </w:rPr>
          <m:t>k</m:t>
        </m:r>
      </m:oMath>
      <w:r w:rsidRPr="00F04787">
        <w:rPr>
          <w:lang w:val="en-US"/>
        </w:rPr>
        <w:t xml:space="preserve"> parameters</w:t>
      </w:r>
      <w:r w:rsidR="001F1788" w:rsidRPr="00F04787">
        <w:rPr>
          <w:lang w:val="en-US"/>
        </w:rPr>
        <w:t xml:space="preserve"> by differential evolution</w:t>
      </w:r>
      <w:r w:rsidR="00757807" w:rsidRPr="00F04787">
        <w:rPr>
          <w:lang w:val="en-US"/>
        </w:rPr>
        <w:t>.</w:t>
      </w:r>
      <w:r w:rsidR="000221BB" w:rsidRPr="00F04787">
        <w:rPr>
          <w:lang w:val="en-US"/>
        </w:rPr>
        <w:t xml:space="preserve"> </w:t>
      </w:r>
      <w:r w:rsidR="00BA1C34" w:rsidRPr="00F04787">
        <w:rPr>
          <w:lang w:val="en-US"/>
        </w:rPr>
        <w:t>We then appl</w:t>
      </w:r>
      <w:r w:rsidR="00321444" w:rsidRPr="00F04787">
        <w:rPr>
          <w:lang w:val="en-US"/>
        </w:rPr>
        <w:t>ied</w:t>
      </w:r>
      <w:r w:rsidR="00BA1C34" w:rsidRPr="00F04787">
        <w:rPr>
          <w:lang w:val="en-US"/>
        </w:rPr>
        <w:t xml:space="preserve"> the best-fit parameters to the within-host and infectiousness models to estimate the </w:t>
      </w:r>
      <w:r w:rsidR="00A16EA8" w:rsidRPr="00F04787">
        <w:rPr>
          <w:lang w:val="en-US"/>
        </w:rPr>
        <w:t xml:space="preserve">infectiousness </w:t>
      </w:r>
      <m:oMath>
        <m:r>
          <w:rPr>
            <w:rFonts w:ascii="Cambria Math" w:hAnsi="Cambria Math"/>
            <w:lang w:val="en-US"/>
          </w:rPr>
          <m:t>ω</m:t>
        </m:r>
      </m:oMath>
      <w:r w:rsidR="00A16EA8" w:rsidRPr="00F04787">
        <w:rPr>
          <w:lang w:val="en-US"/>
        </w:rPr>
        <w:t xml:space="preserve"> of</w:t>
      </w:r>
      <w:r w:rsidR="00BA1C34" w:rsidRPr="00F04787">
        <w:rPr>
          <w:lang w:val="en-US"/>
        </w:rPr>
        <w:t xml:space="preserve"> infected individuals who </w:t>
      </w:r>
      <w:r w:rsidR="0061685F" w:rsidRPr="00F04787">
        <w:rPr>
          <w:lang w:val="en-US"/>
        </w:rPr>
        <w:t>were</w:t>
      </w:r>
      <w:r w:rsidR="00BA1C34" w:rsidRPr="00F04787">
        <w:rPr>
          <w:lang w:val="en-US"/>
        </w:rPr>
        <w:t xml:space="preserve"> treated at different times during the course of their infection as a result of differences in time to symptom onset since infection, delays in treatment since symptom onset and whether or not resistant mutant viruses emerge after treatment. </w:t>
      </w:r>
    </w:p>
    <w:p w14:paraId="6203B34E" w14:textId="77777777" w:rsidR="00367494" w:rsidRDefault="00367494" w:rsidP="00A446F7">
      <w:pPr>
        <w:rPr>
          <w:lang w:val="en-US"/>
        </w:rPr>
      </w:pPr>
    </w:p>
    <w:p w14:paraId="0E53BC47" w14:textId="53B1AB41" w:rsidR="000C153F" w:rsidRPr="00F04787" w:rsidRDefault="00E6195E" w:rsidP="00A446F7">
      <w:pPr>
        <w:rPr>
          <w:lang w:val="en-US"/>
        </w:rPr>
      </w:pPr>
      <w:r>
        <w:rPr>
          <w:lang w:val="en-US"/>
        </w:rPr>
        <w:t>We find negligible difference</w:t>
      </w:r>
      <w:r w:rsidR="00373438">
        <w:rPr>
          <w:lang w:val="en-US"/>
        </w:rPr>
        <w:t xml:space="preserve"> (&lt;10% in total incidence)</w:t>
      </w:r>
      <w:r>
        <w:rPr>
          <w:lang w:val="en-US"/>
        </w:rPr>
        <w:t xml:space="preserve"> between all three infectiousness models when combined with the between-host </w:t>
      </w:r>
      <w:r w:rsidR="003A3CFC">
        <w:rPr>
          <w:lang w:val="en-US"/>
        </w:rPr>
        <w:t xml:space="preserve">transmission </w:t>
      </w:r>
      <w:r>
        <w:rPr>
          <w:lang w:val="en-US"/>
        </w:rPr>
        <w:t>model</w:t>
      </w:r>
      <w:r w:rsidR="003A3CFC">
        <w:rPr>
          <w:lang w:val="en-US"/>
        </w:rPr>
        <w:t xml:space="preserve"> (see below</w:t>
      </w:r>
      <w:r w:rsidR="009C68AF">
        <w:rPr>
          <w:lang w:val="en-US"/>
        </w:rPr>
        <w:t>)</w:t>
      </w:r>
      <w:r>
        <w:rPr>
          <w:lang w:val="en-US"/>
        </w:rPr>
        <w:t xml:space="preserve"> to estimate population transmission dynamics (Figure S7).</w:t>
      </w:r>
    </w:p>
    <w:p w14:paraId="1644C4E4" w14:textId="77777777" w:rsidR="00AB372B" w:rsidRPr="00F04787" w:rsidRDefault="00AB372B" w:rsidP="00A446F7">
      <w:pPr>
        <w:rPr>
          <w:lang w:val="en-US"/>
        </w:rPr>
      </w:pPr>
    </w:p>
    <w:p w14:paraId="0D8F4A98" w14:textId="3064C3CD" w:rsidR="00A446F7" w:rsidRPr="00F04787" w:rsidRDefault="00AE66B8" w:rsidP="00AE66B8">
      <w:pPr>
        <w:pStyle w:val="Heading1"/>
      </w:pPr>
      <w:bookmarkStart w:id="2" w:name="_Toc189816098"/>
      <w:r w:rsidRPr="00F04787">
        <w:t>Between-host transmission</w:t>
      </w:r>
      <w:r w:rsidR="00A446F7" w:rsidRPr="00F04787">
        <w:t xml:space="preserve"> model</w:t>
      </w:r>
      <w:bookmarkEnd w:id="2"/>
    </w:p>
    <w:p w14:paraId="4D2D6A2E" w14:textId="63C48B26" w:rsidR="00A446F7" w:rsidRPr="00F04787" w:rsidRDefault="00A446F7" w:rsidP="00A446F7">
      <w:pPr>
        <w:rPr>
          <w:lang w:val="en-US"/>
        </w:rPr>
      </w:pPr>
      <w:r w:rsidRPr="00F04787">
        <w:rPr>
          <w:lang w:val="en-US"/>
        </w:rPr>
        <w:t>We developed a discrete</w:t>
      </w:r>
      <w:r w:rsidR="0014604F" w:rsidRPr="00F04787">
        <w:rPr>
          <w:lang w:val="en-US"/>
        </w:rPr>
        <w:t>-time</w:t>
      </w:r>
      <w:r w:rsidR="002D69C7" w:rsidRPr="00F04787">
        <w:rPr>
          <w:lang w:val="en-US"/>
        </w:rPr>
        <w:t xml:space="preserve"> (i.e. timestep of one day)</w:t>
      </w:r>
      <w:r w:rsidRPr="00F04787">
        <w:rPr>
          <w:lang w:val="en-US"/>
        </w:rPr>
        <w:t>, multi-type renewal process equation model to compute</w:t>
      </w:r>
      <w:r w:rsidR="00DE746A" w:rsidRPr="00F04787">
        <w:rPr>
          <w:lang w:val="en-US"/>
        </w:rPr>
        <w:t xml:space="preserve"> between-hosts</w:t>
      </w:r>
      <w:r w:rsidR="00B77EFA" w:rsidRPr="00F04787">
        <w:rPr>
          <w:lang w:val="en-US"/>
        </w:rPr>
        <w:t xml:space="preserve"> </w:t>
      </w:r>
      <w:r w:rsidRPr="00F04787">
        <w:rPr>
          <w:lang w:val="en-US"/>
        </w:rPr>
        <w:t xml:space="preserve">transmissions over time </w:t>
      </w:r>
      <w:r w:rsidR="00B77EFA" w:rsidRPr="00F04787">
        <w:rPr>
          <w:lang w:val="en-US"/>
        </w:rPr>
        <w:t>to</w:t>
      </w:r>
      <w:r w:rsidRPr="00F04787">
        <w:rPr>
          <w:lang w:val="en-US"/>
        </w:rPr>
        <w:t xml:space="preserve"> individuals with different susceptibility, contact rates and infectiousness</w:t>
      </w:r>
      <w:r w:rsidR="00ED7E05" w:rsidRPr="00F04787">
        <w:rPr>
          <w:lang w:val="en-US"/>
        </w:rPr>
        <w:t xml:space="preserve"> profile</w:t>
      </w:r>
      <w:r w:rsidRPr="00F04787">
        <w:rPr>
          <w:lang w:val="en-US"/>
        </w:rPr>
        <w:t xml:space="preserve">. Assuming that the population is stratified into </w:t>
      </w:r>
      <m:oMath>
        <m:r>
          <w:rPr>
            <w:rFonts w:ascii="Cambria Math" w:hAnsi="Cambria Math"/>
            <w:lang w:val="en-US"/>
          </w:rPr>
          <m:t>n</m:t>
        </m:r>
      </m:oMath>
      <w:r w:rsidRPr="00F04787">
        <w:rPr>
          <w:lang w:val="en-US"/>
        </w:rPr>
        <w:t xml:space="preserve"> age groups and that </w:t>
      </w:r>
      <w:r w:rsidRPr="00F04787">
        <w:rPr>
          <w:i/>
          <w:lang w:val="en-US"/>
        </w:rPr>
        <w:t>infected</w:t>
      </w:r>
      <w:r w:rsidRPr="00F04787">
        <w:rPr>
          <w:lang w:val="en-US"/>
        </w:rPr>
        <w:t xml:space="preserve"> individuals </w:t>
      </w:r>
      <w:r w:rsidR="00194561" w:rsidRPr="00F04787">
        <w:rPr>
          <w:lang w:val="en-US"/>
        </w:rPr>
        <w:t>are</w:t>
      </w:r>
      <w:r w:rsidRPr="00F04787">
        <w:rPr>
          <w:lang w:val="en-US"/>
        </w:rPr>
        <w:t xml:space="preserve"> further distinguished by their</w:t>
      </w:r>
      <w:r w:rsidR="00194561" w:rsidRPr="00F04787">
        <w:rPr>
          <w:lang w:val="en-US"/>
        </w:rPr>
        <w:t xml:space="preserve"> diagnosis status and</w:t>
      </w:r>
      <w:r w:rsidRPr="00F04787">
        <w:rPr>
          <w:lang w:val="en-US"/>
        </w:rPr>
        <w:t xml:space="preserve"> infectiousness profile </w:t>
      </w:r>
      <m:oMath>
        <m:r>
          <w:rPr>
            <w:rFonts w:ascii="Cambria Math" w:hAnsi="Cambria Math"/>
            <w:lang w:val="en-US"/>
          </w:rPr>
          <m:t>y</m:t>
        </m:r>
      </m:oMath>
      <w:r w:rsidRPr="00F04787">
        <w:rPr>
          <w:lang w:val="en-US"/>
        </w:rPr>
        <w:t xml:space="preserve">, the mean incidence for individuals in group </w:t>
      </w:r>
      <m:oMath>
        <m:r>
          <w:rPr>
            <w:rFonts w:ascii="Cambria Math" w:hAnsi="Cambria Math"/>
            <w:lang w:val="en-US"/>
          </w:rPr>
          <m:t>a</m:t>
        </m:r>
      </m:oMath>
      <w:r w:rsidRPr="00F04787">
        <w:rPr>
          <w:lang w:val="en-US"/>
        </w:rPr>
        <w:t xml:space="preserve"> on day </w:t>
      </w:r>
      <m:oMath>
        <m:r>
          <w:rPr>
            <w:rFonts w:ascii="Cambria Math" w:hAnsi="Cambria Math"/>
            <w:lang w:val="en-US"/>
          </w:rPr>
          <m:t>t</m:t>
        </m:r>
      </m:oMath>
      <w:r w:rsidRPr="00F04787">
        <w:rPr>
          <w:lang w:val="en-US"/>
        </w:rPr>
        <w:t xml:space="preserve"> is modelled as:</w:t>
      </w:r>
    </w:p>
    <w:p w14:paraId="2770D6D0" w14:textId="77777777" w:rsidR="00861C80" w:rsidRPr="00F04787" w:rsidRDefault="00861C80" w:rsidP="00A446F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35"/>
      </w:tblGrid>
      <w:tr w:rsidR="00A446F7" w:rsidRPr="00F04787" w14:paraId="58D97F93" w14:textId="77777777" w:rsidTr="001B626F">
        <w:tc>
          <w:tcPr>
            <w:tcW w:w="8075" w:type="dxa"/>
            <w:vAlign w:val="center"/>
          </w:tcPr>
          <w:p w14:paraId="624F530E" w14:textId="381268AA" w:rsidR="00A446F7" w:rsidRPr="00F04787" w:rsidRDefault="00C3343E" w:rsidP="001B626F">
            <w:pPr>
              <w:jc w:val="center"/>
              <w:rPr>
                <w:lang w:val="en-US"/>
              </w:rPr>
            </w:pPr>
            <m:oMathPara>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t,a</m:t>
                    </m:r>
                  </m:sub>
                </m:sSub>
                <m:r>
                  <m:rPr>
                    <m:sty m:val="p"/>
                  </m:rPr>
                  <w:rPr>
                    <w:rFonts w:ascii="Cambria Math" w:hAnsi="Cambria Math"/>
                    <w:lang w:val="en-US"/>
                  </w:rPr>
                  <m:t>=</m:t>
                </m:r>
                <m:nary>
                  <m:naryPr>
                    <m:chr m:val="∑"/>
                    <m:limLoc m:val="undOvr"/>
                    <m:ctrlPr>
                      <w:rPr>
                        <w:rFonts w:ascii="Cambria Math" w:hAnsi="Cambria Math"/>
                        <w:lang w:val="en-US"/>
                      </w:rPr>
                    </m:ctrlPr>
                  </m:naryPr>
                  <m:sub>
                    <m:r>
                      <w:rPr>
                        <w:rFonts w:ascii="Cambria Math" w:hAnsi="Cambria Math"/>
                        <w:lang w:val="en-US"/>
                      </w:rPr>
                      <m:t>d=0</m:t>
                    </m:r>
                  </m:sub>
                  <m:sup>
                    <m:r>
                      <w:rPr>
                        <w:rFonts w:ascii="Cambria Math" w:hAnsi="Cambria Math"/>
                        <w:lang w:val="en-US"/>
                      </w:rPr>
                      <m:t>1</m:t>
                    </m:r>
                  </m:sup>
                  <m:e>
                    <m:nary>
                      <m:naryPr>
                        <m:chr m:val="∑"/>
                        <m:limLoc m:val="undOvr"/>
                        <m:ctrlPr>
                          <w:rPr>
                            <w:rFonts w:ascii="Cambria Math" w:hAnsi="Cambria Math"/>
                            <w:lang w:val="en-US"/>
                          </w:rPr>
                        </m:ctrlPr>
                      </m:naryPr>
                      <m:sub>
                        <m:r>
                          <w:rPr>
                            <w:rFonts w:ascii="Cambria Math" w:hAnsi="Cambria Math"/>
                            <w:lang w:val="en-US"/>
                          </w:rPr>
                          <m:t>α=1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y=0</m:t>
                            </m:r>
                          </m:sub>
                          <m:sup>
                            <m:r>
                              <w:rPr>
                                <w:rFonts w:ascii="Cambria Math" w:hAnsi="Cambria Math"/>
                                <w:lang w:val="en-US"/>
                              </w:rPr>
                              <m:t>Y</m:t>
                            </m:r>
                          </m:sup>
                          <m:e>
                            <m:nary>
                              <m:naryPr>
                                <m:chr m:val="∑"/>
                                <m:limLoc m:val="undOvr"/>
                                <m:ctrlPr>
                                  <w:rPr>
                                    <w:rFonts w:ascii="Cambria Math" w:hAnsi="Cambria Math"/>
                                    <w:lang w:val="en-US"/>
                                  </w:rPr>
                                </m:ctrlPr>
                              </m:naryPr>
                              <m:sub>
                                <m:r>
                                  <w:rPr>
                                    <w:rFonts w:ascii="Cambria Math" w:hAnsi="Cambria Math"/>
                                    <w:lang w:val="en-US"/>
                                  </w:rPr>
                                  <m:t>τ</m:t>
                                </m:r>
                                <m:r>
                                  <m:rPr>
                                    <m:sty m:val="p"/>
                                  </m:rPr>
                                  <w:rPr>
                                    <w:rFonts w:ascii="Cambria Math" w:hAnsi="Cambria Math"/>
                                    <w:lang w:val="en-US"/>
                                  </w:rPr>
                                  <m:t>=0</m:t>
                                </m:r>
                              </m:sub>
                              <m:sup>
                                <m:r>
                                  <w:rPr>
                                    <w:rFonts w:ascii="Cambria Math" w:hAnsi="Cambria Math"/>
                                    <w:lang w:val="en-US"/>
                                  </w:rPr>
                                  <m:t>t-1</m:t>
                                </m:r>
                              </m:sup>
                              <m:e>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t,y,α→a,d</m:t>
                                    </m:r>
                                  </m:sub>
                                </m:sSub>
                                <m:sSub>
                                  <m:sSubPr>
                                    <m:ctrlPr>
                                      <w:rPr>
                                        <w:rFonts w:ascii="Cambria Math" w:hAnsi="Cambria Math"/>
                                        <w:lang w:val="en-US"/>
                                      </w:rPr>
                                    </m:ctrlPr>
                                  </m:sSubPr>
                                  <m:e>
                                    <m:acc>
                                      <m:accPr>
                                        <m:ctrlPr>
                                          <w:rPr>
                                            <w:rFonts w:ascii="Cambria Math" w:hAnsi="Cambria Math"/>
                                            <w:i/>
                                            <w:lang w:val="en-US"/>
                                          </w:rPr>
                                        </m:ctrlPr>
                                      </m:accPr>
                                      <m:e>
                                        <m:r>
                                          <w:rPr>
                                            <w:rFonts w:ascii="Cambria Math" w:hAnsi="Cambria Math"/>
                                            <w:lang w:val="en-US"/>
                                          </w:rPr>
                                          <m:t>ω</m:t>
                                        </m:r>
                                      </m:e>
                                    </m:acc>
                                  </m:e>
                                  <m:sub>
                                    <m:r>
                                      <w:rPr>
                                        <w:rFonts w:ascii="Cambria Math" w:hAnsi="Cambria Math"/>
                                        <w:lang w:val="en-US"/>
                                      </w:rPr>
                                      <m:t>t</m:t>
                                    </m:r>
                                    <m:r>
                                      <m:rPr>
                                        <m:sty m:val="p"/>
                                      </m:rPr>
                                      <w:rPr>
                                        <w:rFonts w:ascii="Cambria Math" w:hAnsi="Cambria Math"/>
                                        <w:lang w:val="en-US"/>
                                      </w:rPr>
                                      <m:t>-</m:t>
                                    </m:r>
                                    <m:r>
                                      <w:rPr>
                                        <w:rFonts w:ascii="Cambria Math" w:hAnsi="Cambria Math"/>
                                        <w:lang w:val="en-US"/>
                                      </w:rPr>
                                      <m:t>τ</m:t>
                                    </m:r>
                                    <m:r>
                                      <m:rPr>
                                        <m:sty m:val="p"/>
                                      </m:rPr>
                                      <w:rPr>
                                        <w:rFonts w:ascii="Cambria Math" w:hAnsi="Cambria Math"/>
                                        <w:lang w:val="en-US"/>
                                      </w:rPr>
                                      <m:t xml:space="preserve">, </m:t>
                                    </m:r>
                                    <m:r>
                                      <w:rPr>
                                        <w:rFonts w:ascii="Cambria Math" w:hAnsi="Cambria Math"/>
                                        <w:lang w:val="en-US"/>
                                      </w:rPr>
                                      <m:t>y</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τ</m:t>
                                    </m:r>
                                    <m:r>
                                      <m:rPr>
                                        <m:sty m:val="p"/>
                                      </m:rPr>
                                      <w:rPr>
                                        <w:rFonts w:ascii="Cambria Math" w:hAnsi="Cambria Math"/>
                                        <w:lang w:val="en-US"/>
                                      </w:rPr>
                                      <m:t>,</m:t>
                                    </m:r>
                                    <m:r>
                                      <w:rPr>
                                        <w:rFonts w:ascii="Cambria Math" w:hAnsi="Cambria Math"/>
                                        <w:lang w:val="en-US"/>
                                      </w:rPr>
                                      <m:t>y,α,d</m:t>
                                    </m:r>
                                  </m:sub>
                                </m:sSub>
                              </m:e>
                            </m:nary>
                          </m:e>
                        </m:nary>
                      </m:e>
                    </m:nary>
                  </m:e>
                </m:nary>
              </m:oMath>
            </m:oMathPara>
          </w:p>
        </w:tc>
        <w:tc>
          <w:tcPr>
            <w:tcW w:w="935" w:type="dxa"/>
            <w:vAlign w:val="center"/>
          </w:tcPr>
          <w:p w14:paraId="183232F4" w14:textId="77777777" w:rsidR="00A446F7" w:rsidRPr="00F04787" w:rsidRDefault="00A446F7" w:rsidP="001B626F">
            <w:pPr>
              <w:jc w:val="center"/>
              <w:rPr>
                <w:lang w:val="en-US"/>
              </w:rPr>
            </w:pPr>
            <m:oMathPara>
              <m:oMath>
                <m:r>
                  <w:rPr>
                    <w:rFonts w:ascii="Cambria Math" w:hAnsi="Cambria Math"/>
                    <w:lang w:val="en-US"/>
                  </w:rPr>
                  <m:t>(10)</m:t>
                </m:r>
              </m:oMath>
            </m:oMathPara>
          </w:p>
        </w:tc>
      </w:tr>
    </w:tbl>
    <w:p w14:paraId="6E4967CF" w14:textId="77777777" w:rsidR="00861C80" w:rsidRPr="00F04787" w:rsidRDefault="00861C80" w:rsidP="00A446F7">
      <w:pPr>
        <w:rPr>
          <w:lang w:val="en-US"/>
        </w:rPr>
      </w:pPr>
    </w:p>
    <w:p w14:paraId="2B000870" w14:textId="7AF228E6" w:rsidR="00A446F7" w:rsidRPr="00F04787" w:rsidRDefault="00A446F7" w:rsidP="00A446F7">
      <w:pPr>
        <w:rPr>
          <w:lang w:val="en-US"/>
        </w:rPr>
      </w:pPr>
      <w:r w:rsidRPr="00F04787">
        <w:rPr>
          <w:lang w:val="en-US"/>
        </w:rPr>
        <w:t xml:space="preserve">where </w:t>
      </w:r>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t,y,α→a,d</m:t>
            </m:r>
          </m:sub>
        </m:sSub>
      </m:oMath>
      <w:r w:rsidRPr="00F04787">
        <w:rPr>
          <w:lang w:val="en-US"/>
        </w:rPr>
        <w:t xml:space="preserve"> is </w:t>
      </w:r>
      <w:r w:rsidR="00F6282C">
        <w:rPr>
          <w:lang w:val="en-US"/>
        </w:rPr>
        <w:t>mean</w:t>
      </w:r>
      <w:r w:rsidRPr="00F04787">
        <w:rPr>
          <w:lang w:val="en-US"/>
        </w:rPr>
        <w:t xml:space="preserve"> number of secondary infections in</w:t>
      </w:r>
      <w:r w:rsidR="000E4E2D" w:rsidRPr="00F04787">
        <w:rPr>
          <w:lang w:val="en-US"/>
        </w:rPr>
        <w:t xml:space="preserve"> age</w:t>
      </w:r>
      <w:r w:rsidRPr="00F04787">
        <w:rPr>
          <w:lang w:val="en-US"/>
        </w:rPr>
        <w:t xml:space="preserve"> group </w:t>
      </w:r>
      <m:oMath>
        <m:r>
          <w:rPr>
            <w:rFonts w:ascii="Cambria Math" w:hAnsi="Cambria Math"/>
            <w:lang w:val="en-US"/>
          </w:rPr>
          <m:t>a</m:t>
        </m:r>
      </m:oMath>
      <w:r w:rsidRPr="00F04787">
        <w:rPr>
          <w:lang w:val="en-US"/>
        </w:rPr>
        <w:t xml:space="preserve"> caused by an infector in</w:t>
      </w:r>
      <w:r w:rsidR="000E4E2D" w:rsidRPr="00F04787">
        <w:rPr>
          <w:lang w:val="en-US"/>
        </w:rPr>
        <w:t xml:space="preserve"> age</w:t>
      </w:r>
      <w:r w:rsidRPr="00F04787">
        <w:rPr>
          <w:lang w:val="en-US"/>
        </w:rPr>
        <w:t xml:space="preserve"> group </w:t>
      </w:r>
      <m:oMath>
        <m:r>
          <w:rPr>
            <w:rFonts w:ascii="Cambria Math" w:hAnsi="Cambria Math"/>
            <w:lang w:val="en-US"/>
          </w:rPr>
          <m:t>α</m:t>
        </m:r>
      </m:oMath>
      <w:r w:rsidRPr="00F04787">
        <w:rPr>
          <w:lang w:val="en-US"/>
        </w:rPr>
        <w:t xml:space="preserve"> with infectiousness profile </w:t>
      </w:r>
      <m:oMath>
        <m:r>
          <w:rPr>
            <w:rFonts w:ascii="Cambria Math" w:hAnsi="Cambria Math"/>
            <w:lang w:val="en-US"/>
          </w:rPr>
          <m:t>y</m:t>
        </m:r>
      </m:oMath>
      <w:r w:rsidRPr="00F04787">
        <w:rPr>
          <w:lang w:val="en-US"/>
        </w:rPr>
        <w:t xml:space="preserve"> on day </w:t>
      </w:r>
      <m:oMath>
        <m:r>
          <w:rPr>
            <w:rFonts w:ascii="Cambria Math" w:hAnsi="Cambria Math"/>
            <w:lang w:val="en-US"/>
          </w:rPr>
          <m:t>t</m:t>
        </m:r>
      </m:oMath>
      <w:r w:rsidRPr="00F04787">
        <w:rPr>
          <w:iCs/>
          <w:lang w:val="en-US"/>
        </w:rPr>
        <w:t xml:space="preserve"> with the</w:t>
      </w:r>
      <w:r w:rsidR="00D1096A" w:rsidRPr="00F04787">
        <w:rPr>
          <w:iCs/>
          <w:lang w:val="en-US"/>
        </w:rPr>
        <w:t xml:space="preserve"> boolean</w:t>
      </w:r>
      <w:r w:rsidRPr="00F04787">
        <w:rPr>
          <w:iCs/>
          <w:lang w:val="en-US"/>
        </w:rPr>
        <w:t xml:space="preserve"> status </w:t>
      </w:r>
      <m:oMath>
        <m:r>
          <w:rPr>
            <w:rFonts w:ascii="Cambria Math" w:hAnsi="Cambria Math"/>
            <w:lang w:val="en-US"/>
          </w:rPr>
          <m:t>d</m:t>
        </m:r>
      </m:oMath>
      <w:r w:rsidRPr="00F04787">
        <w:rPr>
          <w:iCs/>
          <w:lang w:val="en-US"/>
        </w:rPr>
        <w:t xml:space="preserve"> </w:t>
      </w:r>
      <w:r w:rsidR="00D1096A" w:rsidRPr="00F04787">
        <w:rPr>
          <w:iCs/>
          <w:lang w:val="en-US"/>
        </w:rPr>
        <w:t xml:space="preserve">indicating if their infection </w:t>
      </w:r>
      <w:r w:rsidR="002D69C7" w:rsidRPr="00F04787">
        <w:rPr>
          <w:iCs/>
          <w:lang w:val="en-US"/>
        </w:rPr>
        <w:t>is</w:t>
      </w:r>
      <w:r w:rsidR="00D1096A" w:rsidRPr="00F04787">
        <w:rPr>
          <w:iCs/>
          <w:lang w:val="en-US"/>
        </w:rPr>
        <w:t xml:space="preserve"> identified </w:t>
      </w:r>
      <w:r w:rsidR="002D69C7" w:rsidRPr="00F04787">
        <w:rPr>
          <w:iCs/>
          <w:lang w:val="en-US"/>
        </w:rPr>
        <w:t>either by</w:t>
      </w:r>
      <w:r w:rsidR="00D1096A" w:rsidRPr="00F04787">
        <w:rPr>
          <w:iCs/>
          <w:lang w:val="en-US"/>
        </w:rPr>
        <w:t xml:space="preserve"> testing or contact tracing</w:t>
      </w:r>
      <w:r w:rsidR="00D1096A" w:rsidRPr="00F04787">
        <w:rPr>
          <w:lang w:val="en-US"/>
        </w:rPr>
        <w:t xml:space="preserv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m:t>
            </m:r>
            <m:r>
              <w:rPr>
                <w:rFonts w:ascii="Cambria Math" w:hAnsi="Cambria Math"/>
                <w:lang w:val="en-US"/>
              </w:rPr>
              <m:t>y,α,d</m:t>
            </m:r>
          </m:sub>
        </m:sSub>
      </m:oMath>
      <w:r w:rsidRPr="00F04787">
        <w:rPr>
          <w:lang w:val="en-US"/>
        </w:rPr>
        <w:t xml:space="preserve"> is the number of infected individuals in </w:t>
      </w:r>
      <w:r w:rsidR="000E4E2D" w:rsidRPr="00F04787">
        <w:rPr>
          <w:lang w:val="en-US"/>
        </w:rPr>
        <w:t xml:space="preserve">age </w:t>
      </w:r>
      <w:r w:rsidRPr="00F04787">
        <w:rPr>
          <w:lang w:val="en-US"/>
        </w:rPr>
        <w:t xml:space="preserve">group </w:t>
      </w:r>
      <m:oMath>
        <m:r>
          <w:rPr>
            <w:rFonts w:ascii="Cambria Math" w:hAnsi="Cambria Math"/>
            <w:lang w:val="en-US"/>
          </w:rPr>
          <m:t>α</m:t>
        </m:r>
      </m:oMath>
      <w:r w:rsidRPr="00F04787">
        <w:rPr>
          <w:lang w:val="en-US"/>
        </w:rPr>
        <w:t xml:space="preserve"> with infectiousness profile </w:t>
      </w:r>
      <m:oMath>
        <m:r>
          <w:rPr>
            <w:rFonts w:ascii="Cambria Math" w:hAnsi="Cambria Math"/>
            <w:lang w:val="en-US"/>
          </w:rPr>
          <m:t>y</m:t>
        </m:r>
      </m:oMath>
      <w:r w:rsidRPr="00F04787">
        <w:rPr>
          <w:lang w:val="en-US"/>
        </w:rPr>
        <w:t xml:space="preserve"> on day </w:t>
      </w:r>
      <m:oMath>
        <m:r>
          <w:rPr>
            <w:rFonts w:ascii="Cambria Math" w:hAnsi="Cambria Math"/>
            <w:lang w:val="en-US"/>
          </w:rPr>
          <m:t>t</m:t>
        </m:r>
      </m:oMath>
      <w:r w:rsidRPr="00F04787">
        <w:rPr>
          <w:iCs/>
          <w:lang w:val="en-US"/>
        </w:rPr>
        <w:t xml:space="preserve"> with status </w:t>
      </w:r>
      <m:oMath>
        <m:r>
          <w:rPr>
            <w:rFonts w:ascii="Cambria Math" w:hAnsi="Cambria Math"/>
            <w:lang w:val="en-US"/>
          </w:rPr>
          <m:t>d</m:t>
        </m:r>
      </m:oMath>
      <w:r w:rsidR="00D1096A" w:rsidRPr="00F04787">
        <w:rPr>
          <w:lang w:val="en-US"/>
        </w:rPr>
        <w:t>; and</w:t>
      </w:r>
      <w:r w:rsidRPr="00F04787">
        <w:rPr>
          <w:lang w:val="en-US"/>
        </w:rPr>
        <w:t xml:space="preserve"> </w:t>
      </w:r>
      <m:oMath>
        <m:sSub>
          <m:sSubPr>
            <m:ctrlPr>
              <w:rPr>
                <w:rFonts w:ascii="Cambria Math" w:hAnsi="Cambria Math"/>
                <w:lang w:val="en-US"/>
              </w:rPr>
            </m:ctrlPr>
          </m:sSubPr>
          <m:e>
            <m:acc>
              <m:accPr>
                <m:ctrlPr>
                  <w:rPr>
                    <w:rFonts w:ascii="Cambria Math" w:hAnsi="Cambria Math"/>
                    <w:i/>
                    <w:lang w:val="en-US"/>
                  </w:rPr>
                </m:ctrlPr>
              </m:accPr>
              <m:e>
                <m:r>
                  <w:rPr>
                    <w:rFonts w:ascii="Cambria Math" w:hAnsi="Cambria Math"/>
                    <w:lang w:val="en-US"/>
                  </w:rPr>
                  <m:t>ω</m:t>
                </m:r>
              </m:e>
            </m:acc>
          </m:e>
          <m:sub>
            <m:r>
              <w:rPr>
                <w:rFonts w:ascii="Cambria Math" w:hAnsi="Cambria Math"/>
                <w:lang w:val="en-US"/>
              </w:rPr>
              <m:t>τ</m:t>
            </m:r>
            <m:r>
              <m:rPr>
                <m:sty m:val="p"/>
              </m:rPr>
              <w:rPr>
                <w:rFonts w:ascii="Cambria Math" w:hAnsi="Cambria Math"/>
                <w:lang w:val="en-US"/>
              </w:rPr>
              <m:t xml:space="preserve">, </m:t>
            </m:r>
            <m:r>
              <w:rPr>
                <w:rFonts w:ascii="Cambria Math" w:hAnsi="Cambria Math"/>
                <w:lang w:val="en-US"/>
              </w:rPr>
              <m:t>y</m:t>
            </m:r>
          </m:sub>
        </m:sSub>
      </m:oMath>
      <w:r w:rsidRPr="00F04787">
        <w:rPr>
          <w:lang w:val="en-US"/>
        </w:rPr>
        <w:t xml:space="preserve"> is the discretized, normali</w:t>
      </w:r>
      <w:r w:rsidR="00D74976" w:rsidRPr="00F04787">
        <w:rPr>
          <w:lang w:val="en-US"/>
        </w:rPr>
        <w:t>s</w:t>
      </w:r>
      <w:r w:rsidRPr="00F04787">
        <w:rPr>
          <w:lang w:val="en-US"/>
        </w:rPr>
        <w:t xml:space="preserve">ed infectiousness profile and only depends on profile </w:t>
      </w:r>
      <m:oMath>
        <m:r>
          <w:rPr>
            <w:rFonts w:ascii="Cambria Math" w:hAnsi="Cambria Math"/>
            <w:lang w:val="en-US"/>
          </w:rPr>
          <m:t>y</m:t>
        </m:r>
      </m:oMath>
      <w:r w:rsidRPr="00F04787">
        <w:rPr>
          <w:lang w:val="en-US"/>
        </w:rPr>
        <w:t>, given by:</w:t>
      </w:r>
    </w:p>
    <w:p w14:paraId="225FE9CB" w14:textId="77777777" w:rsidR="00861C80" w:rsidRPr="00F04787" w:rsidRDefault="00861C80" w:rsidP="00A446F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35"/>
      </w:tblGrid>
      <w:tr w:rsidR="00A446F7" w:rsidRPr="00F04787" w14:paraId="50494C2A" w14:textId="77777777" w:rsidTr="001B626F">
        <w:tc>
          <w:tcPr>
            <w:tcW w:w="8075" w:type="dxa"/>
            <w:vAlign w:val="center"/>
          </w:tcPr>
          <w:p w14:paraId="3B5088F4" w14:textId="097927DE" w:rsidR="00A446F7" w:rsidRPr="00F04787" w:rsidRDefault="00C3343E" w:rsidP="001B626F">
            <w:pPr>
              <w:jc w:val="center"/>
              <w:rPr>
                <w:lang w:val="en-US"/>
              </w:rPr>
            </w:pPr>
            <m:oMathPara>
              <m:oMath>
                <m:sSub>
                  <m:sSubPr>
                    <m:ctrlPr>
                      <w:rPr>
                        <w:rFonts w:ascii="Cambria Math" w:hAnsi="Cambria Math"/>
                        <w:lang w:val="en-US"/>
                      </w:rPr>
                    </m:ctrlPr>
                  </m:sSubPr>
                  <m:e>
                    <m:acc>
                      <m:accPr>
                        <m:ctrlPr>
                          <w:rPr>
                            <w:rFonts w:ascii="Cambria Math" w:hAnsi="Cambria Math"/>
                            <w:i/>
                            <w:lang w:val="en-US"/>
                          </w:rPr>
                        </m:ctrlPr>
                      </m:accPr>
                      <m:e>
                        <m:r>
                          <w:rPr>
                            <w:rFonts w:ascii="Cambria Math" w:hAnsi="Cambria Math"/>
                            <w:lang w:val="en-US"/>
                          </w:rPr>
                          <m:t>ω</m:t>
                        </m:r>
                      </m:e>
                    </m:acc>
                  </m:e>
                  <m:sub>
                    <m:r>
                      <w:rPr>
                        <w:rFonts w:ascii="Cambria Math" w:hAnsi="Cambria Math"/>
                        <w:lang w:val="en-US"/>
                      </w:rPr>
                      <m:t>τ</m:t>
                    </m:r>
                    <m:r>
                      <m:rPr>
                        <m:sty m:val="p"/>
                      </m:rPr>
                      <w:rPr>
                        <w:rFonts w:ascii="Cambria Math" w:hAnsi="Cambria Math"/>
                        <w:lang w:val="en-US"/>
                      </w:rPr>
                      <m:t xml:space="preserve">, </m:t>
                    </m:r>
                    <m:r>
                      <w:rPr>
                        <w:rFonts w:ascii="Cambria Math" w:hAnsi="Cambria Math"/>
                        <w:lang w:val="en-US"/>
                      </w:rPr>
                      <m:t>y</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nary>
                          <m:naryPr>
                            <m:limLoc m:val="subSup"/>
                            <m:ctrlPr>
                              <w:rPr>
                                <w:rFonts w:ascii="Cambria Math" w:hAnsi="Cambria Math"/>
                                <w:i/>
                                <w:lang w:val="en-US"/>
                              </w:rPr>
                            </m:ctrlPr>
                          </m:naryPr>
                          <m:sub>
                            <m:r>
                              <w:rPr>
                                <w:rFonts w:ascii="Cambria Math" w:hAnsi="Cambria Math"/>
                                <w:lang w:val="en-US"/>
                              </w:rPr>
                              <m:t>τ-0.5</m:t>
                            </m:r>
                          </m:sub>
                          <m:sup>
                            <m:r>
                              <w:rPr>
                                <w:rFonts w:ascii="Cambria Math" w:hAnsi="Cambria Math"/>
                                <w:lang w:val="en-US"/>
                              </w:rPr>
                              <m:t>τ+0.5</m:t>
                            </m:r>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y</m:t>
                                </m:r>
                              </m:sub>
                            </m:sSub>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r>
                          <w:rPr>
                            <w:rFonts w:ascii="Cambria Math" w:hAnsi="Cambria Math"/>
                            <w:lang w:val="en-US"/>
                          </w:rPr>
                          <m:t xml:space="preserve">     ∀ τ≥2</m:t>
                        </m:r>
                      </m:e>
                      <m:e>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1.5</m:t>
                            </m:r>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y</m:t>
                                </m:r>
                              </m:sub>
                            </m:sSub>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r>
                          <w:rPr>
                            <w:rFonts w:ascii="Cambria Math" w:hAnsi="Cambria Math"/>
                            <w:lang w:val="en-US"/>
                          </w:rPr>
                          <m:t xml:space="preserve">         ∀ τ=1</m:t>
                        </m:r>
                      </m:e>
                    </m:eqArr>
                  </m:e>
                </m:d>
              </m:oMath>
            </m:oMathPara>
          </w:p>
        </w:tc>
        <w:tc>
          <w:tcPr>
            <w:tcW w:w="935" w:type="dxa"/>
            <w:vAlign w:val="center"/>
          </w:tcPr>
          <w:p w14:paraId="1BA2D16F" w14:textId="77777777" w:rsidR="00A446F7" w:rsidRPr="00F04787" w:rsidRDefault="00A446F7" w:rsidP="001B626F">
            <w:pPr>
              <w:jc w:val="center"/>
              <w:rPr>
                <w:lang w:val="en-US"/>
              </w:rPr>
            </w:pPr>
            <m:oMathPara>
              <m:oMath>
                <m:r>
                  <w:rPr>
                    <w:rFonts w:ascii="Cambria Math" w:hAnsi="Cambria Math"/>
                    <w:lang w:val="en-US"/>
                  </w:rPr>
                  <m:t>(11)</m:t>
                </m:r>
              </m:oMath>
            </m:oMathPara>
          </w:p>
        </w:tc>
      </w:tr>
    </w:tbl>
    <w:p w14:paraId="06950EE3" w14:textId="77777777" w:rsidR="00861C80" w:rsidRPr="00F04787" w:rsidRDefault="00861C80" w:rsidP="00A446F7">
      <w:pPr>
        <w:rPr>
          <w:lang w:val="en-US"/>
        </w:rPr>
      </w:pPr>
    </w:p>
    <w:p w14:paraId="4294CE1C" w14:textId="77777777" w:rsidR="00A61A20" w:rsidRPr="00F04787" w:rsidRDefault="00A446F7" w:rsidP="00A61A20">
      <w:pPr>
        <w:rPr>
          <w:rFonts w:eastAsiaTheme="minorEastAsia"/>
          <w:lang w:val="en-US"/>
        </w:rPr>
      </w:pPr>
      <w:r w:rsidRPr="00F04787">
        <w:rPr>
          <w:lang w:val="en-US"/>
        </w:rPr>
        <w:lastRenderedPageBreak/>
        <w:t xml:space="preserve">where  </w:t>
      </w: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ω</m:t>
                    </m:r>
                  </m:e>
                </m:acc>
              </m:e>
              <m:sub>
                <m:r>
                  <w:rPr>
                    <w:rFonts w:ascii="Cambria Math" w:hAnsi="Cambria Math"/>
                    <w:lang w:val="en-US"/>
                  </w:rPr>
                  <m:t>y</m:t>
                </m:r>
              </m:sub>
            </m:sSub>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r>
          <w:rPr>
            <w:rFonts w:ascii="Cambria Math" w:hAnsi="Cambria Math"/>
            <w:lang w:val="en-US"/>
          </w:rPr>
          <m:t>=1</m:t>
        </m:r>
      </m:oMath>
      <w:r w:rsidRPr="00F04787">
        <w:rPr>
          <w:lang w:val="en-US"/>
        </w:rPr>
        <w:t>.</w:t>
      </w:r>
      <w:r w:rsidR="006810C3" w:rsidRPr="00F04787">
        <w:rPr>
          <w:lang w:val="en-US"/>
        </w:rPr>
        <w:t xml:space="preserve"> Note that </w:t>
      </w:r>
      <m:oMath>
        <m:r>
          <w:rPr>
            <w:rFonts w:ascii="Cambria Math" w:hAnsi="Cambria Math"/>
            <w:lang w:val="en-US"/>
          </w:rPr>
          <m:t>y=0</m:t>
        </m:r>
      </m:oMath>
      <w:r w:rsidR="006810C3" w:rsidRPr="00F04787">
        <w:rPr>
          <w:rFonts w:eastAsiaTheme="minorEastAsia"/>
          <w:lang w:val="en-US"/>
        </w:rPr>
        <w:t xml:space="preserve"> denotes</w:t>
      </w:r>
      <w:r w:rsidR="006E43E6" w:rsidRPr="00F04787">
        <w:rPr>
          <w:rFonts w:eastAsiaTheme="minorEastAsia"/>
          <w:lang w:val="en-US"/>
        </w:rPr>
        <w:t xml:space="preserve"> the</w:t>
      </w:r>
      <w:r w:rsidR="006810C3" w:rsidRPr="00F04787">
        <w:rPr>
          <w:rFonts w:eastAsiaTheme="minorEastAsia"/>
          <w:lang w:val="en-US"/>
        </w:rPr>
        <w:t xml:space="preserve"> untreated infectiousness profile. </w:t>
      </w:r>
    </w:p>
    <w:p w14:paraId="4A9999CA" w14:textId="77777777" w:rsidR="00A61A20" w:rsidRPr="00F04787" w:rsidRDefault="00A61A20" w:rsidP="00A61A20">
      <w:pPr>
        <w:rPr>
          <w:lang w:val="en-US"/>
        </w:rPr>
      </w:pPr>
    </w:p>
    <w:p w14:paraId="7DD47CED" w14:textId="662E89E9" w:rsidR="00521E7B" w:rsidRPr="00F04787" w:rsidRDefault="005938DB" w:rsidP="00A61A20">
      <w:pPr>
        <w:rPr>
          <w:lang w:val="en-US"/>
        </w:rPr>
      </w:pPr>
      <w:r w:rsidRPr="00F04787">
        <w:rPr>
          <w:lang w:val="en-US"/>
        </w:rPr>
        <w:t xml:space="preserve">Given the limited evidence that BXM resistant mutations may be fitter </w:t>
      </w:r>
      <w:r w:rsidR="00797095">
        <w:rPr>
          <w:lang w:val="en-US"/>
        </w:rPr>
        <w:t xml:space="preserve">or less fit </w:t>
      </w:r>
      <w:r w:rsidRPr="00F04787">
        <w:rPr>
          <w:lang w:val="en-US"/>
        </w:rPr>
        <w:t>tha</w:t>
      </w:r>
      <w:r w:rsidR="00797095">
        <w:rPr>
          <w:lang w:val="en-US"/>
        </w:rPr>
        <w:t>n</w:t>
      </w:r>
      <w:r w:rsidRPr="00F04787">
        <w:rPr>
          <w:lang w:val="en-US"/>
        </w:rPr>
        <w:t xml:space="preserve"> their wild-type BXM</w:t>
      </w:r>
      <w:r w:rsidR="00460BA9" w:rsidRPr="00F04787">
        <w:rPr>
          <w:lang w:val="en-US"/>
        </w:rPr>
        <w:t>-</w:t>
      </w:r>
      <w:r w:rsidRPr="00F04787">
        <w:rPr>
          <w:lang w:val="en-US"/>
        </w:rPr>
        <w:t>sensitive counterparts,</w:t>
      </w:r>
      <w:r w:rsidRPr="00F04787">
        <w:rPr>
          <w:lang w:val="en-US"/>
        </w:rPr>
        <w:fldChar w:fldCharType="begin"/>
      </w:r>
      <w:r w:rsidR="007508CC" w:rsidRPr="00F04787">
        <w:rPr>
          <w:lang w:val="en-US"/>
        </w:rPr>
        <w:instrText xml:space="preserve"> ADDIN ZOTERO_ITEM CSL_CITATION {"citationID":"PFIpqTRC","properties":{"formattedCitation":"\\super 10\\uc0\\u8211{}12\\nosupersub{}","plainCitation":"10–12","noteIndex":0},"citationItems":[{"id":80,"uris":["http://zotero.org/users/local/0pdZPGmr/items/I99EQBP6"],"itemData":{"id":80,"type":"article-journal","abstract":"Baloxavir is a cap-dependent inhibitor of the polymerase acid (PA) protein of influenza viruses. While appearing virologically superior to oseltamivir, baloxavir exhibits a low barrier of resistance. We sought to assess the impact of the common baloxavir-resistant I38T PA substitution on in vitro properties and virulence.Influenza A/Quebec/144147/2009 (H1N1)pdm09 and A/Switzerland/9715293/2013 (H3N2) recombinant viruses and their I38T PA mutants were compared in single and competitive infection experiments in ST6GalI-MDCK cells and C57/BL6 mice. Virus titers in cell culture supernatants and lung homogenates were determined by virus yield assays. Ratios of wild-type (WT) and I38T mutant were assessed by digital RT-PCR.I38T substitution did not alter the replication kinetics of A(H1N1)pdm09 and A(H3N2) viruses. In competition experiments, a 50%:50% mixture evolved to 70%:30% (WT/mutant) for A(H1N1) and 88%:12% for A(H3N2) viruses after a single cell passage. The I38T substitution remained stable after 4 passages in vitro. In mice, the WT and its I38T mutant induced similar weight loss with comparable lung titers in both viral subtypes. The mutant virus tended to predominate over the WT in mouse competition experiments.The fitness of baloxavir-resistant I38T PA mutants appears relatively unaltered in seasonal subtypes warranting surveillance for its dissemination.","container-title":"The Journal of Infectious Diseases","DOI":"10.1093/infdis/jiz418","ISSN":"0022-1899","issue":"1","journalAbbreviation":"The Journal of Infectious Diseases","page":"63-70","title":"Impact of the Baloxavir-Resistant Polymerase Acid I38T Substitution on the Fitness of Contemporary Influenza A(H1N1)pdm09 and A(H3N2) Strains","volume":"221","author":[{"family":"Checkmahomed","given":"Liva"},{"family":"M’hamdi","given":"Zeineb"},{"family":"Carbonneau","given":"Julie"},{"family":"Venable","given":"Marie-Christine"},{"family":"Baz","given":"Mariana"},{"family":"Abed","given":"Yacine"},{"family":"Boivin","given":"Guy"}],"issued":{"date-parts":[["2020",1,1]]}}},{"id":81,"uris":["http://zotero.org/users/local/0pdZPGmr/items/NLSUHSZQ"],"itemData":{"id":81,"type":"article-journal","abstract":"Author summary Baloxavir is a new and potent anti-influenza drug targeting essential functions of viral replication. Currently, the I38T polymerase acidic protein (PA) substitution is the major marker of reduced susceptibility and potential resistance to baloxavir, but the full baloxavir resistance profile remains unclear. Here, we demonstrated that PA E23G/K substitutions alone weaken baloxavir efficacy, but they also synergize with I38T to impair drug activity further. E23G/K substitutions are located close to the binding site of baloxavir and indirectly weaken key drug-binding interactions. This effect has some negative consequences for virus replication, but E23G/K viruses possess the capacity for airborne spread between naïve ferrets, the gold-standard model of human influenza transmission. Therefore, E23G/K viruses have the potential for community spread, which would adversely affect baloxavir clinical implementation. Our study supports ongoing surveillance for circulating human E23G/K viruses, and it may inform design of enhanced baloxavir-like drugs less susceptible to emergence of viral resistance.","container-title":"PLOS Pathogens","DOI":"10.1371/journal.ppat.1010698","issue":"7","journalAbbreviation":"PLOS Pathogens","note":"publisher: Public Library of Science","page":"e1010698","title":"Influenza A virus polymerase acidic protein E23G/K substitutions weaken key baloxavir drug-binding contacts with minimal impact on replication and transmission","volume":"18","author":[{"family":"Jones","given":"Jeremy C."},{"family":"Zagribelnyy","given":"Bogdan"},{"family":"Pascua","given":"Philippe Noriel Q."},{"family":"Bezrukov","given":"Dmitry S."},{"family":"Barman","given":"Subrata"},{"family":"Okda","given":"Faten"},{"family":"Webby","given":"Richard J."},{"family":"Ivanenkov","given":"Yan A."},{"family":"Govorkova","given":"Elena A."}],"issued":{"date-parts":[["2022",7,13]]}}},{"id":82,"uris":["http://zotero.org/users/local/0pdZPGmr/items/UZ2YKP77"],"itemData":{"id":82,"type":"article-journal","container-title":"Journal of Virology","DOI":"10.1128/jvi.00154-23","issue":"7","journalAbbreviation":"Journal of Virology","note":"publisher: American Society for Microbiology","page":"e00154-23","title":"Impact of Baloxavir Resistance-Associated Substitutions on Influenza Virus Growth and Drug Susceptibility","volume":"97","author":[{"literal":"Hickerson Brady T."},{"literal":"Petrovskaya Svetlana N."},{"literal":"Dickensheets Harold"},{"literal":"Donnelly Raymond P."},{"literal":"Ince William L."},{"literal":"Ilyushina Natalia A."}],"issued":{"date-parts":[["2023",7,5]]}}}],"schema":"https://github.com/citation-style-language/schema/raw/master/csl-citation.json"} </w:instrText>
      </w:r>
      <w:r w:rsidRPr="00F04787">
        <w:rPr>
          <w:lang w:val="en-US"/>
        </w:rPr>
        <w:fldChar w:fldCharType="separate"/>
      </w:r>
      <w:r w:rsidR="007508CC" w:rsidRPr="00F04787">
        <w:rPr>
          <w:vertAlign w:val="superscript"/>
          <w:lang w:val="en-US"/>
        </w:rPr>
        <w:t>10–12</w:t>
      </w:r>
      <w:r w:rsidRPr="00F04787">
        <w:rPr>
          <w:lang w:val="en-US"/>
        </w:rPr>
        <w:fldChar w:fldCharType="end"/>
      </w:r>
      <w:r w:rsidRPr="00F04787">
        <w:rPr>
          <w:lang w:val="en-US"/>
        </w:rPr>
        <w:t xml:space="preserve"> </w:t>
      </w:r>
      <w:r w:rsidR="002A34EA" w:rsidRPr="00F04787">
        <w:rPr>
          <w:lang w:val="en-US"/>
        </w:rPr>
        <w:t>we assumed that there is no difference in either within-host viral replication fitness or between-host transmission advantage between the drug-sensitive and resistant</w:t>
      </w:r>
      <w:r w:rsidR="00130EC9" w:rsidRPr="00F04787">
        <w:rPr>
          <w:lang w:val="en-US"/>
        </w:rPr>
        <w:t xml:space="preserve"> </w:t>
      </w:r>
      <w:r w:rsidR="002A34EA" w:rsidRPr="00F04787">
        <w:rPr>
          <w:lang w:val="en-US"/>
        </w:rPr>
        <w:t>virus. In turn, f</w:t>
      </w:r>
      <w:r w:rsidR="00A61A20" w:rsidRPr="00F04787">
        <w:rPr>
          <w:lang w:val="en-US"/>
        </w:rPr>
        <w:t xml:space="preserve">or individuals who </w:t>
      </w:r>
      <w:r w:rsidR="002A34EA" w:rsidRPr="00F04787">
        <w:rPr>
          <w:lang w:val="en-US"/>
        </w:rPr>
        <w:t>are</w:t>
      </w:r>
      <w:r w:rsidR="00A61A20" w:rsidRPr="00F04787">
        <w:rPr>
          <w:lang w:val="en-US"/>
        </w:rPr>
        <w:t xml:space="preserve"> infected by the drug-resistant variant virus, their infectiousness profiles </w:t>
      </w:r>
      <w:r w:rsidR="002A34EA" w:rsidRPr="00F04787">
        <w:rPr>
          <w:lang w:val="en-US"/>
        </w:rPr>
        <w:t>are similar computed by</w:t>
      </w:r>
      <w:r w:rsidR="00A61A20" w:rsidRPr="00F04787">
        <w:rPr>
          <w:lang w:val="en-US"/>
        </w:rPr>
        <w:t xml:space="preserve"> equation 11</w:t>
      </w:r>
      <w:r w:rsidR="002A34EA" w:rsidRPr="00F04787">
        <w:rPr>
          <w:lang w:val="en-US"/>
        </w:rPr>
        <w:t xml:space="preserve"> for the untreated infectiousness profile</w:t>
      </w:r>
      <w:r w:rsidR="00A61A20" w:rsidRPr="00F04787">
        <w:rPr>
          <w:lang w:val="en-US"/>
        </w:rPr>
        <w:t xml:space="preserve">. </w:t>
      </w:r>
      <w:r w:rsidR="002A34EA" w:rsidRPr="00F04787">
        <w:rPr>
          <w:lang w:val="en-US"/>
        </w:rPr>
        <w:t>F</w:t>
      </w:r>
      <w:r w:rsidR="003112BE" w:rsidRPr="00F04787">
        <w:rPr>
          <w:lang w:val="en-US"/>
        </w:rPr>
        <w:t xml:space="preserve">or individuals who </w:t>
      </w:r>
      <w:r w:rsidR="002A34EA" w:rsidRPr="00F04787">
        <w:rPr>
          <w:lang w:val="en-US"/>
        </w:rPr>
        <w:t>are</w:t>
      </w:r>
      <w:r w:rsidR="003112BE" w:rsidRPr="00F04787">
        <w:rPr>
          <w:lang w:val="en-US"/>
        </w:rPr>
        <w:t xml:space="preserve"> infected by the drug-sensitive virus but later develop</w:t>
      </w:r>
      <w:r w:rsidR="002A34EA" w:rsidRPr="00F04787">
        <w:rPr>
          <w:lang w:val="en-US"/>
        </w:rPr>
        <w:t>ed</w:t>
      </w:r>
      <w:r w:rsidR="003112BE" w:rsidRPr="00F04787">
        <w:rPr>
          <w:lang w:val="en-US"/>
        </w:rPr>
        <w:t xml:space="preserve"> treatment-emergent resistance</w:t>
      </w:r>
      <w:r w:rsidR="009D7F52" w:rsidRPr="00F04787">
        <w:rPr>
          <w:lang w:val="en-US"/>
        </w:rPr>
        <w:t>,</w:t>
      </w:r>
      <w:r w:rsidR="00952D9E" w:rsidRPr="00F04787">
        <w:rPr>
          <w:lang w:val="en-US"/>
        </w:rPr>
        <w:t xml:space="preserve"> given that influenza virus transmission bottleneck is likely tight such that either one variant </w:t>
      </w:r>
      <w:r w:rsidR="000B0833" w:rsidRPr="00F04787">
        <w:rPr>
          <w:lang w:val="en-US"/>
        </w:rPr>
        <w:t>is</w:t>
      </w:r>
      <w:r w:rsidR="00952D9E" w:rsidRPr="00F04787">
        <w:rPr>
          <w:lang w:val="en-US"/>
        </w:rPr>
        <w:t xml:space="preserve"> transmitted upon an infectious contact,</w:t>
      </w:r>
      <w:r w:rsidR="00B52477" w:rsidRPr="00F04787">
        <w:rPr>
          <w:lang w:val="en-US"/>
        </w:rPr>
        <w:fldChar w:fldCharType="begin"/>
      </w:r>
      <w:r w:rsidR="007508CC" w:rsidRPr="00F04787">
        <w:rPr>
          <w:lang w:val="en-US"/>
        </w:rPr>
        <w:instrText xml:space="preserve"> ADDIN ZOTERO_ITEM CSL_CITATION {"citationID":"MSIjw8Ea","properties":{"formattedCitation":"\\super 13\\nosupersub{}","plainCitation":"13","noteIndex":0},"citationItems":[{"id":54,"uris":["http://zotero.org/users/local/0pdZPGmr/items/ES3B3MLF"],"itemData":{"id":54,"type":"article-journal","abstract":"Seasonal influenza viruses create a persistent global disease burden by evolving to escape immunity induced by prior infections and vaccinations. New antigenic variants have a substantial selective advantage at the population level, but these variants are rarely selected within-host, even in previously immune individuals. Using a mathematical model, we show that the temporal asynchrony between within-host virus exponential growth and antibody-mediated selection could limit within-host antigenic evolution. If selection for new antigenic variants acts principally at the point of initial virus inoculation, where small virus populations encounter well-matched mucosal antibodies in previously-infected individuals, there can exist protection against reinfection that does not regularly produce observable new antigenic variants within individual infected hosts. Our results provide a theoretical explanation for how virus antigenic evolution can be highly selective at the global level but nearly neutral within-host. They also suggest new avenues for improving influenza control.","container-title":"eLife","DOI":"10.7554/eLife.62105","ISSN":"2050-084X","note":"publisher: eLife Sciences Publications, Ltd","page":"e62105","title":"Asynchrony between virus diversity and antibody selection limits influenza virus evolution","volume":"9","author":[{"family":"Morris","given":"Dylan H"},{"family":"Petrova","given":"Velislava N"},{"family":"Rossine","given":"Fernando W"},{"family":"Parker","given":"Edyth"},{"family":"Grenfell","given":"Bryan T"},{"family":"Neher","given":"Richard A"},{"family":"Levin","given":"Simon A"},{"family":"Russell","given":"Colin A"}],"editor":[{"family":"Walczak","given":"Aleksandra M"},{"family":"Nourmohammad","given":"Armita"},{"family":"Weissman","given":"Daniel B"},{"family":"Illingworth","given":"Christopher JR"}],"issued":{"date-parts":[["2020",11,11]]}}}],"schema":"https://github.com/citation-style-language/schema/raw/master/csl-citation.json"} </w:instrText>
      </w:r>
      <w:r w:rsidR="00B52477" w:rsidRPr="00F04787">
        <w:rPr>
          <w:lang w:val="en-US"/>
        </w:rPr>
        <w:fldChar w:fldCharType="separate"/>
      </w:r>
      <w:r w:rsidR="007508CC" w:rsidRPr="00F04787">
        <w:rPr>
          <w:vertAlign w:val="superscript"/>
          <w:lang w:val="en-US"/>
        </w:rPr>
        <w:t>13</w:t>
      </w:r>
      <w:r w:rsidR="00B52477" w:rsidRPr="00F04787">
        <w:rPr>
          <w:lang w:val="en-US"/>
        </w:rPr>
        <w:fldChar w:fldCharType="end"/>
      </w:r>
      <w:r w:rsidR="00952D9E" w:rsidRPr="00F04787">
        <w:rPr>
          <w:lang w:val="en-US"/>
        </w:rPr>
        <w:t xml:space="preserve"> </w:t>
      </w:r>
      <w:r w:rsidR="00887650" w:rsidRPr="00F04787">
        <w:rPr>
          <w:lang w:val="en-US"/>
        </w:rPr>
        <w:t xml:space="preserve">we adjusted </w:t>
      </w:r>
      <w:r w:rsidR="000B0833" w:rsidRPr="00F04787">
        <w:rPr>
          <w:lang w:val="en-US"/>
        </w:rPr>
        <w:t>the</w:t>
      </w:r>
      <w:r w:rsidR="00887650" w:rsidRPr="00F04787">
        <w:rPr>
          <w:lang w:val="en-US"/>
        </w:rPr>
        <w:t xml:space="preserve"> infectiousness profile</w:t>
      </w:r>
      <w:r w:rsidR="00130EC9" w:rsidRPr="00F04787">
        <w:rPr>
          <w:lang w:val="en-US"/>
        </w:rPr>
        <w:t>s of the drug-sensitive (</w:t>
      </w:r>
      <m:oMath>
        <m:sSub>
          <m:sSubPr>
            <m:ctrlPr>
              <w:rPr>
                <w:rFonts w:ascii="Cambria Math" w:eastAsiaTheme="minorEastAsia" w:hAnsi="Cambria Math"/>
                <w:i/>
                <w:lang w:val="en-US" w:eastAsia="zh-CN"/>
              </w:rPr>
            </m:ctrlPr>
          </m:sSubPr>
          <m:e>
            <m:r>
              <m:rPr>
                <m:scr m:val="script"/>
              </m:rPr>
              <w:rPr>
                <w:rFonts w:ascii="Cambria Math" w:hAnsi="Cambria Math"/>
                <w:lang w:val="en-US"/>
              </w:rPr>
              <m:t>V</m:t>
            </m:r>
          </m:e>
          <m:sub>
            <m:r>
              <w:rPr>
                <w:rFonts w:ascii="Cambria Math" w:hAnsi="Cambria Math"/>
                <w:lang w:val="en-US"/>
              </w:rPr>
              <m:t>1</m:t>
            </m:r>
          </m:sub>
        </m:sSub>
      </m:oMath>
      <w:r w:rsidR="00130EC9" w:rsidRPr="00F04787">
        <w:rPr>
          <w:rFonts w:eastAsiaTheme="minorEastAsia"/>
          <w:lang w:val="en-US" w:eastAsia="zh-CN"/>
        </w:rPr>
        <w:t>)</w:t>
      </w:r>
      <w:r w:rsidR="00130EC9" w:rsidRPr="00F04787">
        <w:rPr>
          <w:lang w:val="en-US"/>
        </w:rPr>
        <w:t xml:space="preserve"> and resistant (</w:t>
      </w:r>
      <m:oMath>
        <m:sSub>
          <m:sSubPr>
            <m:ctrlPr>
              <w:rPr>
                <w:rFonts w:ascii="Cambria Math" w:eastAsiaTheme="minorEastAsia" w:hAnsi="Cambria Math"/>
                <w:i/>
                <w:lang w:val="en-US" w:eastAsia="zh-CN"/>
              </w:rPr>
            </m:ctrlPr>
          </m:sSubPr>
          <m:e>
            <m:r>
              <m:rPr>
                <m:scr m:val="script"/>
              </m:rPr>
              <w:rPr>
                <w:rFonts w:ascii="Cambria Math" w:hAnsi="Cambria Math"/>
                <w:lang w:val="en-US"/>
              </w:rPr>
              <m:t>V</m:t>
            </m:r>
          </m:e>
          <m:sub>
            <m:r>
              <w:rPr>
                <w:rFonts w:ascii="Cambria Math" w:hAnsi="Cambria Math"/>
                <w:lang w:val="en-US"/>
              </w:rPr>
              <m:t>2</m:t>
            </m:r>
          </m:sub>
        </m:sSub>
      </m:oMath>
      <w:r w:rsidR="00130EC9" w:rsidRPr="00F04787">
        <w:rPr>
          <w:rFonts w:eastAsiaTheme="minorEastAsia"/>
          <w:lang w:val="en-US" w:eastAsia="zh-CN"/>
        </w:rPr>
        <w:t>)</w:t>
      </w:r>
      <w:r w:rsidR="00130EC9" w:rsidRPr="00F04787">
        <w:rPr>
          <w:lang w:val="en-US"/>
        </w:rPr>
        <w:t xml:space="preserve"> viruses</w:t>
      </w:r>
      <w:r w:rsidR="00887650" w:rsidRPr="00F04787">
        <w:rPr>
          <w:lang w:val="en-US"/>
        </w:rPr>
        <w:t xml:space="preserve"> such that</w:t>
      </w:r>
      <w:r w:rsidR="00521E7B" w:rsidRPr="00F04787">
        <w:rPr>
          <w:lang w:val="en-US"/>
        </w:rPr>
        <w:t xml:space="preserve">: </w:t>
      </w:r>
    </w:p>
    <w:p w14:paraId="421A4E6B" w14:textId="27302A53" w:rsidR="00A61A20" w:rsidRPr="00F04787" w:rsidRDefault="00A61A20" w:rsidP="00A61A20">
      <w:pPr>
        <w:rPr>
          <w:lang w:val="en-US"/>
        </w:rPr>
      </w:pPr>
      <w:r w:rsidRPr="00F04787">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35"/>
      </w:tblGrid>
      <w:tr w:rsidR="00952D9E" w:rsidRPr="00F04787" w14:paraId="4DF1898A" w14:textId="77777777" w:rsidTr="007508CC">
        <w:tc>
          <w:tcPr>
            <w:tcW w:w="8075" w:type="dxa"/>
            <w:vAlign w:val="center"/>
          </w:tcPr>
          <w:p w14:paraId="6EBB9EAB" w14:textId="39891F40" w:rsidR="00952D9E" w:rsidRPr="00F04787" w:rsidRDefault="00C3343E" w:rsidP="00F2338F">
            <w:pPr>
              <w:jc w:val="center"/>
              <w:rPr>
                <w:lang w:val="en-US"/>
              </w:rPr>
            </w:pPr>
            <m:oMathPara>
              <m:oMath>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ω</m:t>
                        </m:r>
                      </m:e>
                    </m:acc>
                  </m:e>
                  <m:sub>
                    <m:r>
                      <w:rPr>
                        <w:rFonts w:ascii="Cambria Math" w:hAnsi="Cambria Math"/>
                        <w:lang w:val="en-US"/>
                      </w:rPr>
                      <m:t>τ</m:t>
                    </m:r>
                    <m:r>
                      <m:rPr>
                        <m:sty m:val="p"/>
                      </m:rPr>
                      <w:rPr>
                        <w:rFonts w:ascii="Cambria Math" w:hAnsi="Cambria Math"/>
                        <w:lang w:val="en-US"/>
                      </w:rPr>
                      <m:t xml:space="preserve">, </m:t>
                    </m:r>
                    <m:r>
                      <w:rPr>
                        <w:rFonts w:ascii="Cambria Math" w:hAnsi="Cambria Math"/>
                        <w:lang w:val="en-US"/>
                      </w:rPr>
                      <m:t>y,</m:t>
                    </m:r>
                    <m:sSub>
                      <m:sSubPr>
                        <m:ctrlPr>
                          <w:rPr>
                            <w:rFonts w:ascii="Cambria Math" w:hAnsi="Cambria Math"/>
                            <w:i/>
                            <w:lang w:val="en-US"/>
                          </w:rPr>
                        </m:ctrlPr>
                      </m:sSubPr>
                      <m:e>
                        <m:r>
                          <m:rPr>
                            <m:scr m:val="script"/>
                          </m:rPr>
                          <w:rPr>
                            <w:rFonts w:ascii="Cambria Math" w:hAnsi="Cambria Math"/>
                            <w:lang w:val="en-US"/>
                          </w:rPr>
                          <m:t>V</m:t>
                        </m:r>
                      </m:e>
                      <m:sub>
                        <m:r>
                          <w:rPr>
                            <w:rFonts w:ascii="Cambria Math" w:hAnsi="Cambria Math"/>
                            <w:lang w:val="en-US"/>
                          </w:rPr>
                          <m:t>1</m:t>
                        </m:r>
                      </m:sub>
                    </m:sSub>
                  </m:sub>
                  <m:sup>
                    <m:r>
                      <w:rPr>
                        <w:rFonts w:ascii="Cambria Math" w:hAnsi="Cambria Math"/>
                        <w:lang w:val="en-US"/>
                      </w:rPr>
                      <m:t>'</m:t>
                    </m:r>
                  </m:sup>
                </m:sSubSup>
                <m:r>
                  <w:rPr>
                    <w:rFonts w:ascii="Cambria Math" w:hAnsi="Cambria Math"/>
                    <w:lang w:val="en-US"/>
                  </w:rPr>
                  <m:t>=</m:t>
                </m:r>
                <m:sSub>
                  <m:sSubPr>
                    <m:ctrlPr>
                      <w:rPr>
                        <w:rFonts w:ascii="Cambria Math" w:hAnsi="Cambria Math"/>
                        <w:lang w:val="en-US"/>
                      </w:rPr>
                    </m:ctrlPr>
                  </m:sSubPr>
                  <m:e>
                    <m:acc>
                      <m:accPr>
                        <m:ctrlPr>
                          <w:rPr>
                            <w:rFonts w:ascii="Cambria Math" w:hAnsi="Cambria Math"/>
                            <w:i/>
                            <w:lang w:val="en-US"/>
                          </w:rPr>
                        </m:ctrlPr>
                      </m:accPr>
                      <m:e>
                        <m:r>
                          <w:rPr>
                            <w:rFonts w:ascii="Cambria Math" w:hAnsi="Cambria Math"/>
                            <w:lang w:val="en-US"/>
                          </w:rPr>
                          <m:t>ω</m:t>
                        </m:r>
                      </m:e>
                    </m:acc>
                  </m:e>
                  <m:sub>
                    <m:r>
                      <w:rPr>
                        <w:rFonts w:ascii="Cambria Math" w:hAnsi="Cambria Math"/>
                        <w:lang w:val="en-US"/>
                      </w:rPr>
                      <m:t>τ</m:t>
                    </m:r>
                    <m:r>
                      <m:rPr>
                        <m:sty m:val="p"/>
                      </m:rPr>
                      <w:rPr>
                        <w:rFonts w:ascii="Cambria Math" w:hAnsi="Cambria Math"/>
                        <w:lang w:val="en-US"/>
                      </w:rPr>
                      <m:t xml:space="preserve">, </m:t>
                    </m:r>
                    <m:r>
                      <w:rPr>
                        <w:rFonts w:ascii="Cambria Math" w:hAnsi="Cambria Math"/>
                        <w:lang w:val="en-US"/>
                      </w:rPr>
                      <m:t>y,</m:t>
                    </m:r>
                    <m:sSub>
                      <m:sSubPr>
                        <m:ctrlPr>
                          <w:rPr>
                            <w:rFonts w:ascii="Cambria Math" w:hAnsi="Cambria Math"/>
                            <w:i/>
                            <w:lang w:val="en-US"/>
                          </w:rPr>
                        </m:ctrlPr>
                      </m:sSubPr>
                      <m:e>
                        <m:r>
                          <m:rPr>
                            <m:scr m:val="script"/>
                          </m:rPr>
                          <w:rPr>
                            <w:rFonts w:ascii="Cambria Math" w:hAnsi="Cambria Math"/>
                            <w:lang w:val="en-US"/>
                          </w:rPr>
                          <m:t>V</m:t>
                        </m:r>
                      </m:e>
                      <m:sub>
                        <m:r>
                          <w:rPr>
                            <w:rFonts w:ascii="Cambria Math" w:hAnsi="Cambria Math"/>
                            <w:lang w:val="en-US"/>
                          </w:rPr>
                          <m:t>1</m:t>
                        </m:r>
                      </m:sub>
                    </m:sSub>
                  </m:sub>
                </m:sSub>
                <m:d>
                  <m:dPr>
                    <m:ctrlPr>
                      <w:rPr>
                        <w:rFonts w:ascii="Cambria Math" w:hAnsi="Cambria Math"/>
                        <w:i/>
                        <w:lang w:val="en-US"/>
                      </w:rPr>
                    </m:ctrlPr>
                  </m:dPr>
                  <m:e>
                    <m:r>
                      <w:rPr>
                        <w:rFonts w:ascii="Cambria Math" w:hAnsi="Cambria Math"/>
                        <w:lang w:val="en-US"/>
                      </w:rPr>
                      <m:t>1-</m:t>
                    </m:r>
                    <m:sSub>
                      <m:sSubPr>
                        <m:ctrlPr>
                          <w:rPr>
                            <w:rFonts w:ascii="Cambria Math" w:hAnsi="Cambria Math"/>
                            <w:lang w:val="en-US"/>
                          </w:rPr>
                        </m:ctrlPr>
                      </m:sSubPr>
                      <m:e>
                        <m:acc>
                          <m:accPr>
                            <m:ctrlPr>
                              <w:rPr>
                                <w:rFonts w:ascii="Cambria Math" w:hAnsi="Cambria Math"/>
                                <w:i/>
                                <w:lang w:val="en-US"/>
                              </w:rPr>
                            </m:ctrlPr>
                          </m:accPr>
                          <m:e>
                            <m:r>
                              <w:rPr>
                                <w:rFonts w:ascii="Cambria Math" w:hAnsi="Cambria Math"/>
                                <w:lang w:val="en-US"/>
                              </w:rPr>
                              <m:t>ω</m:t>
                            </m:r>
                          </m:e>
                        </m:acc>
                      </m:e>
                      <m:sub>
                        <m:r>
                          <w:rPr>
                            <w:rFonts w:ascii="Cambria Math" w:hAnsi="Cambria Math"/>
                            <w:lang w:val="en-US"/>
                          </w:rPr>
                          <m:t>τ</m:t>
                        </m:r>
                        <m:r>
                          <m:rPr>
                            <m:sty m:val="p"/>
                          </m:rPr>
                          <w:rPr>
                            <w:rFonts w:ascii="Cambria Math" w:hAnsi="Cambria Math"/>
                            <w:lang w:val="en-US"/>
                          </w:rPr>
                          <m:t xml:space="preserve">, </m:t>
                        </m:r>
                        <m:r>
                          <w:rPr>
                            <w:rFonts w:ascii="Cambria Math" w:hAnsi="Cambria Math"/>
                            <w:lang w:val="en-US"/>
                          </w:rPr>
                          <m:t>y,</m:t>
                        </m:r>
                        <m:sSub>
                          <m:sSubPr>
                            <m:ctrlPr>
                              <w:rPr>
                                <w:rFonts w:ascii="Cambria Math" w:hAnsi="Cambria Math"/>
                                <w:i/>
                                <w:lang w:val="en-US"/>
                              </w:rPr>
                            </m:ctrlPr>
                          </m:sSubPr>
                          <m:e>
                            <m:r>
                              <m:rPr>
                                <m:scr m:val="script"/>
                              </m:rPr>
                              <w:rPr>
                                <w:rFonts w:ascii="Cambria Math" w:hAnsi="Cambria Math"/>
                                <w:lang w:val="en-US"/>
                              </w:rPr>
                              <m:t>V</m:t>
                            </m:r>
                          </m:e>
                          <m:sub>
                            <m:r>
                              <w:rPr>
                                <w:rFonts w:ascii="Cambria Math" w:hAnsi="Cambria Math"/>
                                <w:lang w:val="en-US"/>
                              </w:rPr>
                              <m:t>2</m:t>
                            </m:r>
                          </m:sub>
                        </m:sSub>
                      </m:sub>
                    </m:sSub>
                  </m:e>
                </m:d>
              </m:oMath>
            </m:oMathPara>
          </w:p>
          <w:p w14:paraId="5C80A5B4" w14:textId="77777777" w:rsidR="00F2338F" w:rsidRPr="00F04787" w:rsidRDefault="00F2338F" w:rsidP="00F2338F">
            <w:pPr>
              <w:jc w:val="center"/>
              <w:rPr>
                <w:lang w:val="en-US"/>
              </w:rPr>
            </w:pPr>
          </w:p>
          <w:p w14:paraId="3B8ED395" w14:textId="4BE944B1" w:rsidR="00952D9E" w:rsidRPr="00F04787" w:rsidRDefault="00C3343E" w:rsidP="007508CC">
            <w:pPr>
              <w:jc w:val="center"/>
              <w:rPr>
                <w:lang w:val="en-US"/>
              </w:rPr>
            </w:pPr>
            <m:oMathPara>
              <m:oMath>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ω</m:t>
                        </m:r>
                      </m:e>
                    </m:acc>
                  </m:e>
                  <m:sub>
                    <m:r>
                      <w:rPr>
                        <w:rFonts w:ascii="Cambria Math" w:hAnsi="Cambria Math"/>
                        <w:lang w:val="en-US"/>
                      </w:rPr>
                      <m:t>τ</m:t>
                    </m:r>
                    <m:r>
                      <m:rPr>
                        <m:sty m:val="p"/>
                      </m:rPr>
                      <w:rPr>
                        <w:rFonts w:ascii="Cambria Math" w:hAnsi="Cambria Math"/>
                        <w:lang w:val="en-US"/>
                      </w:rPr>
                      <m:t xml:space="preserve">, </m:t>
                    </m:r>
                    <m:r>
                      <w:rPr>
                        <w:rFonts w:ascii="Cambria Math" w:hAnsi="Cambria Math"/>
                        <w:lang w:val="en-US"/>
                      </w:rPr>
                      <m:t>y,</m:t>
                    </m:r>
                    <m:sSub>
                      <m:sSubPr>
                        <m:ctrlPr>
                          <w:rPr>
                            <w:rFonts w:ascii="Cambria Math" w:hAnsi="Cambria Math"/>
                            <w:i/>
                            <w:lang w:val="en-US"/>
                          </w:rPr>
                        </m:ctrlPr>
                      </m:sSubPr>
                      <m:e>
                        <m:r>
                          <m:rPr>
                            <m:scr m:val="script"/>
                          </m:rPr>
                          <w:rPr>
                            <w:rFonts w:ascii="Cambria Math" w:hAnsi="Cambria Math"/>
                            <w:lang w:val="en-US"/>
                          </w:rPr>
                          <m:t>V</m:t>
                        </m:r>
                      </m:e>
                      <m:sub>
                        <m:r>
                          <w:rPr>
                            <w:rFonts w:ascii="Cambria Math" w:hAnsi="Cambria Math"/>
                            <w:lang w:val="en-US"/>
                          </w:rPr>
                          <m:t>2</m:t>
                        </m:r>
                      </m:sub>
                    </m:sSub>
                  </m:sub>
                  <m:sup>
                    <m:r>
                      <w:rPr>
                        <w:rFonts w:ascii="Cambria Math" w:hAnsi="Cambria Math"/>
                        <w:lang w:val="en-US"/>
                      </w:rPr>
                      <m:t>'</m:t>
                    </m:r>
                  </m:sup>
                </m:sSubSup>
                <m:r>
                  <w:rPr>
                    <w:rFonts w:ascii="Cambria Math" w:hAnsi="Cambria Math"/>
                    <w:lang w:val="en-US"/>
                  </w:rPr>
                  <m:t>=</m:t>
                </m:r>
                <m:sSub>
                  <m:sSubPr>
                    <m:ctrlPr>
                      <w:rPr>
                        <w:rFonts w:ascii="Cambria Math" w:hAnsi="Cambria Math"/>
                        <w:lang w:val="en-US"/>
                      </w:rPr>
                    </m:ctrlPr>
                  </m:sSubPr>
                  <m:e>
                    <m:acc>
                      <m:accPr>
                        <m:ctrlPr>
                          <w:rPr>
                            <w:rFonts w:ascii="Cambria Math" w:hAnsi="Cambria Math"/>
                            <w:i/>
                            <w:lang w:val="en-US"/>
                          </w:rPr>
                        </m:ctrlPr>
                      </m:accPr>
                      <m:e>
                        <m:r>
                          <w:rPr>
                            <w:rFonts w:ascii="Cambria Math" w:hAnsi="Cambria Math"/>
                            <w:lang w:val="en-US"/>
                          </w:rPr>
                          <m:t>ω</m:t>
                        </m:r>
                      </m:e>
                    </m:acc>
                  </m:e>
                  <m:sub>
                    <m:r>
                      <w:rPr>
                        <w:rFonts w:ascii="Cambria Math" w:hAnsi="Cambria Math"/>
                        <w:lang w:val="en-US"/>
                      </w:rPr>
                      <m:t>τ</m:t>
                    </m:r>
                    <m:r>
                      <m:rPr>
                        <m:sty m:val="p"/>
                      </m:rPr>
                      <w:rPr>
                        <w:rFonts w:ascii="Cambria Math" w:hAnsi="Cambria Math"/>
                        <w:lang w:val="en-US"/>
                      </w:rPr>
                      <m:t xml:space="preserve">, </m:t>
                    </m:r>
                    <m:r>
                      <w:rPr>
                        <w:rFonts w:ascii="Cambria Math" w:hAnsi="Cambria Math"/>
                        <w:lang w:val="en-US"/>
                      </w:rPr>
                      <m:t>y,</m:t>
                    </m:r>
                    <m:sSub>
                      <m:sSubPr>
                        <m:ctrlPr>
                          <w:rPr>
                            <w:rFonts w:ascii="Cambria Math" w:hAnsi="Cambria Math"/>
                            <w:i/>
                            <w:lang w:val="en-US"/>
                          </w:rPr>
                        </m:ctrlPr>
                      </m:sSubPr>
                      <m:e>
                        <m:r>
                          <m:rPr>
                            <m:scr m:val="script"/>
                          </m:rPr>
                          <w:rPr>
                            <w:rFonts w:ascii="Cambria Math" w:hAnsi="Cambria Math"/>
                            <w:lang w:val="en-US"/>
                          </w:rPr>
                          <m:t>V</m:t>
                        </m:r>
                      </m:e>
                      <m:sub>
                        <m:r>
                          <w:rPr>
                            <w:rFonts w:ascii="Cambria Math" w:hAnsi="Cambria Math"/>
                            <w:lang w:val="en-US"/>
                          </w:rPr>
                          <m:t>2</m:t>
                        </m:r>
                      </m:sub>
                    </m:sSub>
                  </m:sub>
                </m:sSub>
                <m:r>
                  <w:rPr>
                    <w:rFonts w:ascii="Cambria Math" w:hAnsi="Cambria Math"/>
                    <w:lang w:val="en-US"/>
                  </w:rPr>
                  <m:t>(1-</m:t>
                </m:r>
                <m:sSub>
                  <m:sSubPr>
                    <m:ctrlPr>
                      <w:rPr>
                        <w:rFonts w:ascii="Cambria Math" w:hAnsi="Cambria Math"/>
                        <w:lang w:val="en-US"/>
                      </w:rPr>
                    </m:ctrlPr>
                  </m:sSubPr>
                  <m:e>
                    <m:acc>
                      <m:accPr>
                        <m:ctrlPr>
                          <w:rPr>
                            <w:rFonts w:ascii="Cambria Math" w:hAnsi="Cambria Math"/>
                            <w:i/>
                            <w:lang w:val="en-US"/>
                          </w:rPr>
                        </m:ctrlPr>
                      </m:accPr>
                      <m:e>
                        <m:r>
                          <w:rPr>
                            <w:rFonts w:ascii="Cambria Math" w:hAnsi="Cambria Math"/>
                            <w:lang w:val="en-US"/>
                          </w:rPr>
                          <m:t>ω</m:t>
                        </m:r>
                      </m:e>
                    </m:acc>
                  </m:e>
                  <m:sub>
                    <m:r>
                      <w:rPr>
                        <w:rFonts w:ascii="Cambria Math" w:hAnsi="Cambria Math"/>
                        <w:lang w:val="en-US"/>
                      </w:rPr>
                      <m:t>τ</m:t>
                    </m:r>
                    <m:r>
                      <m:rPr>
                        <m:sty m:val="p"/>
                      </m:rPr>
                      <w:rPr>
                        <w:rFonts w:ascii="Cambria Math" w:hAnsi="Cambria Math"/>
                        <w:lang w:val="en-US"/>
                      </w:rPr>
                      <m:t xml:space="preserve">, </m:t>
                    </m:r>
                    <m:r>
                      <w:rPr>
                        <w:rFonts w:ascii="Cambria Math" w:hAnsi="Cambria Math"/>
                        <w:lang w:val="en-US"/>
                      </w:rPr>
                      <m:t>y,</m:t>
                    </m:r>
                    <m:sSub>
                      <m:sSubPr>
                        <m:ctrlPr>
                          <w:rPr>
                            <w:rFonts w:ascii="Cambria Math" w:hAnsi="Cambria Math"/>
                            <w:i/>
                            <w:lang w:val="en-US"/>
                          </w:rPr>
                        </m:ctrlPr>
                      </m:sSubPr>
                      <m:e>
                        <m:r>
                          <m:rPr>
                            <m:scr m:val="script"/>
                          </m:rPr>
                          <w:rPr>
                            <w:rFonts w:ascii="Cambria Math" w:hAnsi="Cambria Math"/>
                            <w:lang w:val="en-US"/>
                          </w:rPr>
                          <m:t>V</m:t>
                        </m:r>
                      </m:e>
                      <m:sub>
                        <m:r>
                          <w:rPr>
                            <w:rFonts w:ascii="Cambria Math" w:hAnsi="Cambria Math"/>
                            <w:lang w:val="en-US"/>
                          </w:rPr>
                          <m:t>1</m:t>
                        </m:r>
                      </m:sub>
                    </m:sSub>
                  </m:sub>
                </m:sSub>
                <m:r>
                  <w:rPr>
                    <w:rFonts w:ascii="Cambria Math" w:hAnsi="Cambria Math"/>
                    <w:lang w:val="en-US"/>
                  </w:rPr>
                  <m:t>)</m:t>
                </m:r>
              </m:oMath>
            </m:oMathPara>
          </w:p>
        </w:tc>
        <w:tc>
          <w:tcPr>
            <w:tcW w:w="935" w:type="dxa"/>
            <w:vAlign w:val="center"/>
          </w:tcPr>
          <w:p w14:paraId="7157BCC3" w14:textId="578FDCC3" w:rsidR="00952D9E" w:rsidRPr="00F04787" w:rsidRDefault="00952D9E" w:rsidP="007508CC">
            <w:pPr>
              <w:jc w:val="center"/>
              <w:rPr>
                <w:lang w:val="en-US"/>
              </w:rPr>
            </w:pPr>
          </w:p>
        </w:tc>
      </w:tr>
    </w:tbl>
    <w:p w14:paraId="26000D2A" w14:textId="77777777" w:rsidR="00A446F7" w:rsidRPr="00F04787" w:rsidRDefault="00A446F7" w:rsidP="00A446F7">
      <w:pPr>
        <w:rPr>
          <w:lang w:val="en-US"/>
        </w:rPr>
      </w:pPr>
    </w:p>
    <w:p w14:paraId="6B05DAF3" w14:textId="63EBDAF7" w:rsidR="00A446F7" w:rsidRPr="00F04787" w:rsidRDefault="00C3343E" w:rsidP="00A446F7">
      <w:pPr>
        <w:rPr>
          <w:lang w:val="en-US"/>
        </w:rPr>
      </w:pPr>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t,y,α→a</m:t>
            </m:r>
          </m:sub>
        </m:sSub>
      </m:oMath>
      <w:r w:rsidR="00A446F7" w:rsidRPr="00F04787">
        <w:rPr>
          <w:lang w:val="en-US"/>
        </w:rPr>
        <w:t xml:space="preserve"> depends on the</w:t>
      </w:r>
      <w:r w:rsidR="00AB5F26" w:rsidRPr="00F04787">
        <w:rPr>
          <w:lang w:val="en-US"/>
        </w:rPr>
        <w:t xml:space="preserve"> remaining</w:t>
      </w:r>
      <w:r w:rsidR="00A446F7" w:rsidRPr="00F04787">
        <w:rPr>
          <w:lang w:val="en-US"/>
        </w:rPr>
        <w:t xml:space="preserve"> </w:t>
      </w:r>
      <w:r w:rsidR="00755B47" w:rsidRPr="00F04787">
        <w:rPr>
          <w:lang w:val="en-US"/>
        </w:rPr>
        <w:t>number</w:t>
      </w:r>
      <w:r w:rsidR="00A446F7" w:rsidRPr="00F04787">
        <w:rPr>
          <w:lang w:val="en-US"/>
        </w:rPr>
        <w:t xml:space="preserve"> of</w:t>
      </w:r>
      <w:r w:rsidR="00ED7E05" w:rsidRPr="00F04787">
        <w:rPr>
          <w:lang w:val="en-US"/>
        </w:rPr>
        <w:t xml:space="preserve"> </w:t>
      </w:r>
      <w:r w:rsidR="00A446F7" w:rsidRPr="00F04787">
        <w:rPr>
          <w:lang w:val="en-US"/>
        </w:rPr>
        <w:t>susceptible individuals</w:t>
      </w:r>
      <w:r w:rsidR="0027726B" w:rsidRPr="00F04787">
        <w:rPr>
          <w:lang w:val="en-US"/>
        </w:rPr>
        <w:t xml:space="preserve"> in age group </w:t>
      </w:r>
      <m:oMath>
        <m:r>
          <w:rPr>
            <w:rFonts w:ascii="Cambria Math" w:hAnsi="Cambria Math"/>
            <w:lang w:val="en-US"/>
          </w:rPr>
          <m:t>a</m:t>
        </m:r>
      </m:oMath>
      <w:r w:rsidR="0027726B" w:rsidRPr="00F04787">
        <w:rPr>
          <w:lang w:val="en-US"/>
        </w:rPr>
        <w:t xml:space="preserve"> </w:t>
      </w:r>
      <w:r w:rsidR="0014604F" w:rsidRPr="00F04787">
        <w:rPr>
          <w:lang w:val="en-US"/>
        </w:rPr>
        <w:t xml:space="preserve">on day </w:t>
      </w:r>
      <m:oMath>
        <m:r>
          <w:rPr>
            <w:rFonts w:ascii="Cambria Math" w:hAnsi="Cambria Math"/>
            <w:lang w:val="en-US"/>
          </w:rPr>
          <m:t>t</m:t>
        </m:r>
      </m:oMath>
      <w:r w:rsidR="0027726B" w:rsidRPr="00F04787">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m:t>
            </m:r>
          </m:sub>
        </m:sSub>
        <m:r>
          <w:rPr>
            <w:rFonts w:ascii="Cambria Math" w:hAnsi="Cambria Math"/>
            <w:lang w:val="en-US"/>
          </w:rPr>
          <m:t>-</m:t>
        </m:r>
        <m:nary>
          <m:naryPr>
            <m:chr m:val="∑"/>
            <m:supHide m:val="1"/>
            <m:ctrlPr>
              <w:rPr>
                <w:rFonts w:ascii="Cambria Math" w:hAnsi="Cambria Math"/>
                <w:i/>
                <w:lang w:val="en-US"/>
              </w:rPr>
            </m:ctrlPr>
          </m:naryPr>
          <m:sub>
            <m:r>
              <w:rPr>
                <w:rFonts w:ascii="Cambria Math" w:hAnsi="Cambria Math"/>
                <w:lang w:val="en-US"/>
              </w:rPr>
              <m:t>t</m:t>
            </m:r>
          </m:sub>
          <m:sup/>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t,a</m:t>
                </m:r>
              </m:sub>
            </m:sSub>
          </m:e>
        </m:nary>
      </m:oMath>
      <w:r w:rsidR="00755B47" w:rsidRPr="00F04787">
        <w:rPr>
          <w:rFonts w:eastAsiaTheme="minorEastAsia"/>
          <w:lang w:val="en-US"/>
        </w:rPr>
        <w:t xml:space="preserve"> </w:t>
      </w:r>
      <w:r w:rsidR="006920CC" w:rsidRPr="00F04787">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m:t>
            </m:r>
          </m:sub>
        </m:sSub>
      </m:oMath>
      <w:r w:rsidR="006920CC" w:rsidRPr="00F04787">
        <w:rPr>
          <w:rFonts w:eastAsiaTheme="minorEastAsia"/>
          <w:lang w:val="en-US"/>
        </w:rPr>
        <w:t xml:space="preserve"> is the number of individuals of age group </w:t>
      </w:r>
      <m:oMath>
        <m:r>
          <w:rPr>
            <w:rFonts w:ascii="Cambria Math" w:hAnsi="Cambria Math"/>
            <w:lang w:val="en-US"/>
          </w:rPr>
          <m:t>a</m:t>
        </m:r>
      </m:oMath>
      <w:r w:rsidR="006920CC" w:rsidRPr="00F04787">
        <w:rPr>
          <w:rFonts w:eastAsiaTheme="minorEastAsia"/>
          <w:lang w:val="en-US"/>
        </w:rPr>
        <w:t xml:space="preserve"> in the simulated </w:t>
      </w:r>
      <w:r w:rsidR="00E32CF9" w:rsidRPr="00F04787">
        <w:rPr>
          <w:rFonts w:eastAsiaTheme="minorEastAsia"/>
          <w:lang w:val="en-US"/>
        </w:rPr>
        <w:t>population</w:t>
      </w:r>
      <w:r w:rsidR="0027726B" w:rsidRPr="00F04787">
        <w:rPr>
          <w:rFonts w:eastAsiaTheme="minorEastAsia"/>
          <w:lang w:val="en-US"/>
        </w:rPr>
        <w:t>)</w:t>
      </w:r>
      <w:r w:rsidR="00A446F7" w:rsidRPr="00F04787">
        <w:rPr>
          <w:lang w:val="en-US"/>
        </w:rPr>
        <w:t>,</w:t>
      </w:r>
      <w:r w:rsidR="00ED7E05" w:rsidRPr="00F04787">
        <w:rPr>
          <w:lang w:val="en-US"/>
        </w:rPr>
        <w:t xml:space="preserve"> the number of susceptible individuals in age group </w:t>
      </w:r>
      <m:oMath>
        <m:r>
          <w:rPr>
            <w:rFonts w:ascii="Cambria Math" w:hAnsi="Cambria Math"/>
            <w:lang w:val="en-US"/>
          </w:rPr>
          <m:t>a</m:t>
        </m:r>
      </m:oMath>
      <w:r w:rsidR="00ED7E05" w:rsidRPr="00F04787">
        <w:rPr>
          <w:lang w:val="en-US"/>
        </w:rPr>
        <w:t xml:space="preserve"> who </w:t>
      </w:r>
      <w:r w:rsidR="008219CA" w:rsidRPr="00F04787">
        <w:rPr>
          <w:lang w:val="en-US"/>
        </w:rPr>
        <w:t>were administered</w:t>
      </w:r>
      <w:r w:rsidR="00ED7E05" w:rsidRPr="00F04787">
        <w:rPr>
          <w:lang w:val="en-US"/>
        </w:rPr>
        <w:t xml:space="preserve"> antivirals as post-exposure prophylaxis </w:t>
      </w:r>
      <m:oMath>
        <m:r>
          <w:rPr>
            <w:rFonts w:ascii="Cambria Math" w:hAnsi="Cambria Math"/>
            <w:lang w:val="en-US"/>
          </w:rPr>
          <m:t>ρ</m:t>
        </m:r>
      </m:oMath>
      <w:r w:rsidR="00ED7E05" w:rsidRPr="00F04787">
        <w:rPr>
          <w:rFonts w:eastAsiaTheme="minorEastAsia"/>
          <w:lang w:val="en-US"/>
        </w:rPr>
        <w:t xml:space="preserve"> days ago</w:t>
      </w:r>
      <w:r w:rsidR="00ED7E05" w:rsidRPr="00F04787">
        <w:rPr>
          <w:lang w:val="en-US"/>
        </w:rPr>
        <w:t xml:space="preserve"> (</w:t>
      </w:r>
      <m:oMath>
        <m:sSubSup>
          <m:sSubSupPr>
            <m:ctrlPr>
              <w:rPr>
                <w:rFonts w:ascii="Cambria Math" w:eastAsiaTheme="minorEastAsia" w:hAnsi="Cambria Math"/>
                <w:i/>
                <w:lang w:val="en-US" w:eastAsia="zh-CN"/>
              </w:rPr>
            </m:ctrlPr>
          </m:sSubSupPr>
          <m:e>
            <m:r>
              <w:rPr>
                <w:rFonts w:ascii="Cambria Math" w:hAnsi="Cambria Math"/>
                <w:lang w:val="en-US"/>
              </w:rPr>
              <m:t>S</m:t>
            </m:r>
          </m:e>
          <m:sub>
            <m:r>
              <w:rPr>
                <w:rFonts w:ascii="Cambria Math" w:hAnsi="Cambria Math"/>
                <w:lang w:val="en-US"/>
              </w:rPr>
              <m:t>ρ,a</m:t>
            </m:r>
          </m:sub>
          <m:sup>
            <m:r>
              <w:rPr>
                <w:rFonts w:ascii="Cambria Math" w:hAnsi="Cambria Math"/>
                <w:lang w:val="en-US"/>
              </w:rPr>
              <m:t>PEP</m:t>
            </m:r>
          </m:sup>
        </m:sSubSup>
      </m:oMath>
      <w:r w:rsidR="00ED7E05" w:rsidRPr="00F04787">
        <w:rPr>
          <w:rFonts w:eastAsiaTheme="minorEastAsia"/>
          <w:lang w:val="en-US" w:eastAsia="zh-CN"/>
        </w:rPr>
        <w:t>)</w:t>
      </w:r>
      <w:r w:rsidR="00ED7E05" w:rsidRPr="00F04787">
        <w:rPr>
          <w:lang w:val="en-US"/>
        </w:rPr>
        <w:t xml:space="preserve"> that reduces the likelihood of infection by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PEP</m:t>
            </m:r>
          </m:sub>
        </m:sSub>
      </m:oMath>
      <w:r w:rsidR="00ED7E05" w:rsidRPr="00F04787">
        <w:rPr>
          <w:lang w:val="en-US"/>
        </w:rPr>
        <w:t xml:space="preserve"> over a time period of </w:t>
      </w:r>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PEP</m:t>
            </m:r>
          </m:sub>
        </m:sSub>
      </m:oMath>
      <w:r w:rsidR="00ED7E05" w:rsidRPr="00F04787">
        <w:rPr>
          <w:rFonts w:eastAsiaTheme="minorEastAsia"/>
          <w:lang w:val="en-US"/>
        </w:rPr>
        <w:t xml:space="preserve"> days (i.e. </w:t>
      </w:r>
      <m:oMath>
        <m:r>
          <w:rPr>
            <w:rFonts w:ascii="Cambria Math" w:hAnsi="Cambria Math"/>
            <w:lang w:val="en-US"/>
          </w:rPr>
          <m:t>ρ&lt;</m:t>
        </m:r>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PEP</m:t>
            </m:r>
          </m:sub>
        </m:sSub>
      </m:oMath>
      <w:r w:rsidR="00ED7E05" w:rsidRPr="00F04787">
        <w:rPr>
          <w:rFonts w:eastAsiaTheme="minorEastAsia"/>
          <w:lang w:val="en-US"/>
        </w:rPr>
        <w:t>),</w:t>
      </w:r>
      <w:r w:rsidR="00A446F7" w:rsidRPr="00F04787">
        <w:rPr>
          <w:lang w:val="en-US"/>
        </w:rPr>
        <w:t xml:space="preserve"> the relative risk of infection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α→a</m:t>
            </m:r>
          </m:sub>
        </m:sSub>
      </m:oMath>
      <w:r w:rsidR="00A446F7" w:rsidRPr="00F04787">
        <w:rPr>
          <w:lang w:val="en-US"/>
        </w:rPr>
        <w:t xml:space="preserve"> of susceptible individuals in</w:t>
      </w:r>
      <w:r w:rsidR="00D42EE4" w:rsidRPr="00F04787">
        <w:rPr>
          <w:lang w:val="en-US"/>
        </w:rPr>
        <w:t xml:space="preserve"> age</w:t>
      </w:r>
      <w:r w:rsidR="00A446F7" w:rsidRPr="00F04787">
        <w:rPr>
          <w:lang w:val="en-US"/>
        </w:rPr>
        <w:t xml:space="preserve"> group </w:t>
      </w:r>
      <m:oMath>
        <m:r>
          <w:rPr>
            <w:rFonts w:ascii="Cambria Math" w:hAnsi="Cambria Math"/>
            <w:lang w:val="en-US"/>
          </w:rPr>
          <m:t>a</m:t>
        </m:r>
      </m:oMath>
      <w:r w:rsidR="00A446F7" w:rsidRPr="00F04787">
        <w:rPr>
          <w:lang w:val="en-US"/>
        </w:rPr>
        <w:t xml:space="preserve"> by infected individuals belonging to </w:t>
      </w:r>
      <w:r w:rsidR="008F086B" w:rsidRPr="00F04787">
        <w:rPr>
          <w:lang w:val="en-US"/>
        </w:rPr>
        <w:t xml:space="preserve">age </w:t>
      </w:r>
      <w:r w:rsidR="00A446F7" w:rsidRPr="00F04787">
        <w:rPr>
          <w:lang w:val="en-US"/>
        </w:rPr>
        <w:t xml:space="preserve">group </w:t>
      </w:r>
      <m:oMath>
        <m:r>
          <w:rPr>
            <w:rFonts w:ascii="Cambria Math" w:hAnsi="Cambria Math"/>
            <w:lang w:val="en-US"/>
          </w:rPr>
          <m:t>α</m:t>
        </m:r>
      </m:oMath>
      <w:r w:rsidR="00A446F7" w:rsidRPr="00F04787">
        <w:rPr>
          <w:lang w:val="en-US"/>
        </w:rPr>
        <w:t xml:space="preserve"> (assumed to be constant over time) and the impact of infectiousness profile </w:t>
      </w:r>
      <m:oMath>
        <m:r>
          <w:rPr>
            <w:rFonts w:ascii="Cambria Math" w:hAnsi="Cambria Math"/>
            <w:lang w:val="en-US"/>
          </w:rPr>
          <m:t>y</m:t>
        </m:r>
      </m:oMath>
      <w:r w:rsidR="00A446F7" w:rsidRPr="00F04787">
        <w:rPr>
          <w:lang w:val="en-US"/>
        </w:rPr>
        <w:t xml:space="preserve"> on </w:t>
      </w:r>
      <w:r w:rsidR="00F6282C">
        <w:rPr>
          <w:lang w:val="en-US"/>
        </w:rPr>
        <w:t>mean</w:t>
      </w:r>
      <w:r w:rsidR="00A446F7" w:rsidRPr="00F04787">
        <w:rPr>
          <w:lang w:val="en-US"/>
        </w:rPr>
        <w:t xml:space="preserve"> infectious period: </w:t>
      </w:r>
    </w:p>
    <w:p w14:paraId="13A5BD3C" w14:textId="77777777" w:rsidR="00861C80" w:rsidRPr="00F04787" w:rsidRDefault="00861C80" w:rsidP="00A446F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35"/>
      </w:tblGrid>
      <w:tr w:rsidR="00A446F7" w:rsidRPr="00F04787" w14:paraId="32E3F193" w14:textId="77777777" w:rsidTr="001B626F">
        <w:tc>
          <w:tcPr>
            <w:tcW w:w="8075" w:type="dxa"/>
            <w:vAlign w:val="center"/>
          </w:tcPr>
          <w:p w14:paraId="5AAD7C2F" w14:textId="1D50A429" w:rsidR="00A446F7" w:rsidRPr="00F04787" w:rsidRDefault="00C3343E" w:rsidP="001B626F">
            <w:pPr>
              <w:jc w:val="center"/>
              <w:rPr>
                <w:lang w:val="en-US"/>
              </w:rPr>
            </w:pPr>
            <m:oMathPara>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t,y,α→a</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PEP</m:t>
                        </m:r>
                      </m:sub>
                    </m:sSub>
                    <m:nary>
                      <m:naryPr>
                        <m:chr m:val="∑"/>
                        <m:limLoc m:val="undOvr"/>
                        <m:ctrlPr>
                          <w:rPr>
                            <w:rFonts w:ascii="Cambria Math" w:hAnsi="Cambria Math"/>
                            <w:i/>
                            <w:lang w:val="en-US"/>
                          </w:rPr>
                        </m:ctrlPr>
                      </m:naryPr>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PEP</m:t>
                            </m:r>
                          </m:sub>
                        </m:sSub>
                      </m:sub>
                      <m:sup>
                        <m:r>
                          <w:rPr>
                            <w:rFonts w:ascii="Cambria Math" w:hAnsi="Cambria Math"/>
                            <w:lang w:val="en-US"/>
                          </w:rPr>
                          <m:t>t-1</m:t>
                        </m:r>
                      </m:sup>
                      <m:e>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t,a</m:t>
                            </m:r>
                          </m:sub>
                          <m:sup>
                            <m:r>
                              <w:rPr>
                                <w:rFonts w:ascii="Cambria Math" w:hAnsi="Cambria Math"/>
                                <w:lang w:val="en-US"/>
                              </w:rPr>
                              <m:t>PEP</m:t>
                            </m:r>
                          </m:sup>
                        </m:sSubSup>
                      </m:e>
                    </m:nary>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α→a</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y</m:t>
                        </m:r>
                      </m:sub>
                    </m:sSub>
                  </m:e>
                </m:d>
                <m:r>
                  <w:rPr>
                    <w:rFonts w:ascii="Cambria Math" w:hAnsi="Cambria Math"/>
                    <w:lang w:val="en-US"/>
                  </w:rPr>
                  <m:t>⋅R</m:t>
                </m:r>
              </m:oMath>
            </m:oMathPara>
          </w:p>
        </w:tc>
        <w:tc>
          <w:tcPr>
            <w:tcW w:w="935" w:type="dxa"/>
            <w:vAlign w:val="center"/>
          </w:tcPr>
          <w:p w14:paraId="4C820418" w14:textId="526CA005" w:rsidR="00A446F7" w:rsidRPr="00F04787" w:rsidRDefault="00A446F7" w:rsidP="001B626F">
            <w:pPr>
              <w:jc w:val="center"/>
              <w:rPr>
                <w:lang w:val="en-US"/>
              </w:rPr>
            </w:pPr>
            <m:oMathPara>
              <m:oMath>
                <m:r>
                  <w:rPr>
                    <w:rFonts w:ascii="Cambria Math" w:hAnsi="Cambria Math"/>
                    <w:lang w:val="en-US"/>
                  </w:rPr>
                  <m:t>(12)</m:t>
                </m:r>
              </m:oMath>
            </m:oMathPara>
          </w:p>
        </w:tc>
      </w:tr>
    </w:tbl>
    <w:p w14:paraId="76172A8A" w14:textId="77777777" w:rsidR="00861C80" w:rsidRPr="00F04787" w:rsidRDefault="00861C80" w:rsidP="00A446F7">
      <w:pPr>
        <w:rPr>
          <w:lang w:val="en-US"/>
        </w:rPr>
      </w:pPr>
    </w:p>
    <w:p w14:paraId="37949FE9" w14:textId="55FD5BE9" w:rsidR="00AB5F26" w:rsidRPr="00F04787" w:rsidRDefault="00A446F7" w:rsidP="00A446F7">
      <w:pPr>
        <w:rPr>
          <w:rFonts w:eastAsiaTheme="minorEastAsia"/>
          <w:lang w:val="en-US" w:eastAsia="zh-CN"/>
        </w:rPr>
      </w:pPr>
      <w:r w:rsidRPr="00F04787">
        <w:rPr>
          <w:lang w:val="en-US"/>
        </w:rPr>
        <w:t>where</w:t>
      </w:r>
      <w:r w:rsidR="002720DD" w:rsidRPr="00F04787">
        <w:rPr>
          <w:lang w:val="en-US"/>
        </w:rPr>
        <w:t xml:space="preserve"> </w:t>
      </w:r>
      <m:oMath>
        <m:r>
          <w:rPr>
            <w:rFonts w:ascii="Cambria Math" w:hAnsi="Cambria Math"/>
            <w:lang w:val="en-US"/>
          </w:rPr>
          <m:t>R</m:t>
        </m:r>
      </m:oMath>
      <w:r w:rsidR="002720DD" w:rsidRPr="00F04787">
        <w:rPr>
          <w:lang w:val="en-US"/>
        </w:rPr>
        <w:t xml:space="preserve"> is the basic reproduction number</w:t>
      </w:r>
      <w:r w:rsidR="00110B72" w:rsidRPr="00F04787">
        <w:rPr>
          <w:lang w:val="en-US"/>
        </w:rPr>
        <w:t xml:space="preserve"> of the simulated pandemic</w:t>
      </w:r>
      <w:r w:rsidR="00A26161" w:rsidRPr="00F04787">
        <w:rPr>
          <w:lang w:val="en-US"/>
        </w:rPr>
        <w:t xml:space="preserve"> scenario</w:t>
      </w:r>
      <w:r w:rsidR="002720DD" w:rsidRPr="00F04787">
        <w:rPr>
          <w:rFonts w:eastAsiaTheme="minorEastAsia"/>
          <w:lang w:val="en-US" w:eastAsia="zh-CN"/>
        </w:rPr>
        <w:t>.</w:t>
      </w:r>
      <w:r w:rsidR="00D339C7" w:rsidRPr="00F04787">
        <w:rPr>
          <w:rFonts w:eastAsiaTheme="minorEastAsia"/>
          <w:lang w:val="en-US" w:eastAsia="zh-CN"/>
        </w:rPr>
        <w:t xml:space="preserve"> </w:t>
      </w:r>
    </w:p>
    <w:p w14:paraId="0E7AAAAF" w14:textId="77777777" w:rsidR="00AB5F26" w:rsidRPr="00F04787" w:rsidRDefault="00AB5F26" w:rsidP="00A446F7">
      <w:pPr>
        <w:rPr>
          <w:lang w:val="en-US"/>
        </w:rPr>
      </w:pPr>
    </w:p>
    <w:p w14:paraId="6DB75A9C" w14:textId="79C57899" w:rsidR="00A446F7" w:rsidRPr="00F04787" w:rsidRDefault="00A446F7" w:rsidP="00A446F7">
      <w:pPr>
        <w:rPr>
          <w:lang w:val="en-US"/>
        </w:rPr>
      </w:pPr>
      <w:r w:rsidRPr="00F04787">
        <w:rPr>
          <w:lang w:val="en-US"/>
        </w:rPr>
        <w:t xml:space="preserve">Infected individuals with different infectiousness profile </w:t>
      </w:r>
      <m:oMath>
        <m:r>
          <w:rPr>
            <w:rFonts w:ascii="Cambria Math" w:hAnsi="Cambria Math"/>
            <w:lang w:val="en-US"/>
          </w:rPr>
          <m:t>y</m:t>
        </m:r>
      </m:oMath>
      <w:r w:rsidRPr="00F04787">
        <w:rPr>
          <w:lang w:val="en-US"/>
        </w:rPr>
        <w:t xml:space="preserve"> change their </w:t>
      </w:r>
      <w:r w:rsidR="00F6282C">
        <w:rPr>
          <w:lang w:val="en-US"/>
        </w:rPr>
        <w:t>mean</w:t>
      </w:r>
      <w:r w:rsidRPr="00F04787">
        <w:rPr>
          <w:lang w:val="en-US"/>
        </w:rPr>
        <w:t xml:space="preserve"> infectiousness by a factor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y</m:t>
            </m:r>
          </m:sub>
        </m:sSub>
      </m:oMath>
      <w:r w:rsidRPr="00F04787">
        <w:rPr>
          <w:lang w:val="en-US"/>
        </w:rPr>
        <w:t xml:space="preserve"> given by:</w:t>
      </w:r>
    </w:p>
    <w:p w14:paraId="1D61D02B" w14:textId="77777777" w:rsidR="00861C80" w:rsidRPr="00F04787" w:rsidRDefault="00861C80" w:rsidP="00A446F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35"/>
      </w:tblGrid>
      <w:tr w:rsidR="00A446F7" w:rsidRPr="00F04787" w14:paraId="2DE2BDB0" w14:textId="77777777" w:rsidTr="001B626F">
        <w:tc>
          <w:tcPr>
            <w:tcW w:w="8075" w:type="dxa"/>
            <w:vAlign w:val="center"/>
          </w:tcPr>
          <w:p w14:paraId="2E1BF414" w14:textId="6EA47176" w:rsidR="00A446F7" w:rsidRPr="00F04787" w:rsidRDefault="00C3343E" w:rsidP="001B626F">
            <w:pPr>
              <w:jc w:val="center"/>
              <w:rPr>
                <w:lang w:val="en-US"/>
              </w:rPr>
            </w:pPr>
            <m:oMathPara>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y</m:t>
                    </m:r>
                  </m:sub>
                </m:sSub>
                <m:r>
                  <w:rPr>
                    <w:rFonts w:ascii="Cambria Math" w:hAnsi="Cambria Math"/>
                    <w:lang w:val="en-US"/>
                  </w:rPr>
                  <m:t>=</m:t>
                </m:r>
                <m:f>
                  <m:fPr>
                    <m:ctrlPr>
                      <w:rPr>
                        <w:rFonts w:ascii="Cambria Math" w:hAnsi="Cambria Math"/>
                        <w:i/>
                        <w:lang w:val="en-US"/>
                      </w:rPr>
                    </m:ctrlPr>
                  </m:fPr>
                  <m:num>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y</m:t>
                            </m:r>
                          </m:sub>
                        </m:sSub>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y=</m:t>
                            </m:r>
                            <m:r>
                              <m:rPr>
                                <m:nor/>
                              </m:rPr>
                              <w:rPr>
                                <w:rFonts w:ascii="Cambria Math" w:hAnsi="Cambria Math"/>
                                <w:lang w:val="en-US"/>
                              </w:rPr>
                              <m:t>untreated</m:t>
                            </m:r>
                          </m:sub>
                        </m:sSub>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den>
                </m:f>
                <m:r>
                  <w:rPr>
                    <w:rFonts w:ascii="Cambria Math" w:hAnsi="Cambria Math"/>
                    <w:lang w:val="en-US"/>
                  </w:rPr>
                  <m:t>-1</m:t>
                </m:r>
              </m:oMath>
            </m:oMathPara>
          </w:p>
        </w:tc>
        <w:tc>
          <w:tcPr>
            <w:tcW w:w="935" w:type="dxa"/>
            <w:vAlign w:val="center"/>
          </w:tcPr>
          <w:p w14:paraId="016F8234" w14:textId="3D027608" w:rsidR="00A446F7" w:rsidRPr="00F04787" w:rsidRDefault="00A446F7" w:rsidP="001B626F">
            <w:pPr>
              <w:jc w:val="center"/>
              <w:rPr>
                <w:lang w:val="en-US"/>
              </w:rPr>
            </w:pPr>
            <m:oMathPara>
              <m:oMath>
                <m:r>
                  <w:rPr>
                    <w:rFonts w:ascii="Cambria Math" w:hAnsi="Cambria Math"/>
                    <w:lang w:val="en-US"/>
                  </w:rPr>
                  <m:t>(13)</m:t>
                </m:r>
              </m:oMath>
            </m:oMathPara>
          </w:p>
        </w:tc>
      </w:tr>
    </w:tbl>
    <w:p w14:paraId="42CDBB83" w14:textId="77777777" w:rsidR="00861C80" w:rsidRPr="00F04787" w:rsidRDefault="00861C80" w:rsidP="00A446F7">
      <w:pPr>
        <w:rPr>
          <w:lang w:val="en-US"/>
        </w:rPr>
      </w:pPr>
    </w:p>
    <w:p w14:paraId="6E93D6A3" w14:textId="699F57B2" w:rsidR="00A446F7" w:rsidRPr="00F04787" w:rsidRDefault="00A446F7" w:rsidP="00A446F7">
      <w:pPr>
        <w:rPr>
          <w:lang w:val="en-US"/>
        </w:rPr>
      </w:pPr>
      <w:r w:rsidRPr="00F04787">
        <w:rPr>
          <w:lang w:val="en-US"/>
        </w:rPr>
        <w:t xml:space="preserve">where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y</m:t>
            </m:r>
          </m:sub>
        </m:sSub>
      </m:oMath>
      <w:r w:rsidRPr="00F04787">
        <w:rPr>
          <w:lang w:val="en-US"/>
        </w:rPr>
        <w:t xml:space="preserve"> is the unnormalized infectiousness of profile </w:t>
      </w:r>
      <m:oMath>
        <m:r>
          <w:rPr>
            <w:rFonts w:ascii="Cambria Math" w:hAnsi="Cambria Math"/>
            <w:lang w:val="en-US"/>
          </w:rPr>
          <m:t>y</m:t>
        </m:r>
      </m:oMath>
      <w:r w:rsidRPr="00F04787">
        <w:rPr>
          <w:lang w:val="en-US"/>
        </w:rPr>
        <w:t xml:space="preserve"> that was computed by either one of the viral load-to-infectiousness models (i.e. equations (7) – (9)). </w:t>
      </w:r>
    </w:p>
    <w:p w14:paraId="20F42FF7" w14:textId="77777777" w:rsidR="00861C80" w:rsidRPr="00F04787" w:rsidRDefault="00861C80" w:rsidP="00A446F7">
      <w:pPr>
        <w:rPr>
          <w:lang w:val="en-US"/>
        </w:rPr>
      </w:pPr>
    </w:p>
    <w:p w14:paraId="389E1E6B" w14:textId="52E0EA93" w:rsidR="00A446F7" w:rsidRPr="00F04787" w:rsidRDefault="00A446F7" w:rsidP="00A446F7">
      <w:pPr>
        <w:rPr>
          <w:lang w:val="en-US"/>
        </w:rPr>
      </w:pPr>
      <m:oMath>
        <m:r>
          <m:rPr>
            <m:sty m:val="b"/>
          </m:rPr>
          <w:rPr>
            <w:rFonts w:ascii="Cambria Math" w:hAnsi="Cambria Math"/>
            <w:lang w:val="en-US"/>
          </w:rPr>
          <m:t>Μ</m:t>
        </m:r>
      </m:oMath>
      <w:r w:rsidRPr="00F04787">
        <w:rPr>
          <w:lang w:val="en-US"/>
        </w:rPr>
        <w:t xml:space="preserve"> is the normalized relative risk matrix given by: </w:t>
      </w:r>
    </w:p>
    <w:p w14:paraId="1993ED0F" w14:textId="77777777" w:rsidR="00861C80" w:rsidRPr="00F04787" w:rsidRDefault="00861C80" w:rsidP="00A446F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35"/>
      </w:tblGrid>
      <w:tr w:rsidR="00A446F7" w:rsidRPr="00F04787" w14:paraId="0B4B8675" w14:textId="77777777" w:rsidTr="001B626F">
        <w:tc>
          <w:tcPr>
            <w:tcW w:w="8075" w:type="dxa"/>
            <w:vAlign w:val="center"/>
          </w:tcPr>
          <w:p w14:paraId="2501C005" w14:textId="77777777" w:rsidR="00A446F7" w:rsidRPr="00F04787" w:rsidRDefault="00A446F7" w:rsidP="001B626F">
            <w:pPr>
              <w:jc w:val="center"/>
              <w:rPr>
                <w:lang w:val="en-US"/>
              </w:rPr>
            </w:pPr>
            <m:oMathPara>
              <m:oMath>
                <m:r>
                  <m:rPr>
                    <m:sty m:val="b"/>
                  </m:rPr>
                  <w:rPr>
                    <w:rFonts w:ascii="Cambria Math" w:hAnsi="Cambria Math"/>
                    <w:lang w:val="en-US"/>
                  </w:rPr>
                  <m:t>Μ</m:t>
                </m:r>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1→1</m:t>
                              </m:r>
                            </m:sub>
                          </m:sSub>
                        </m:e>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α→1</m:t>
                              </m:r>
                            </m:sub>
                          </m:sSub>
                        </m:e>
                      </m:m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1→a</m:t>
                              </m:r>
                            </m:sub>
                          </m:sSub>
                        </m:e>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α→a</m:t>
                              </m:r>
                            </m:sub>
                          </m:sSub>
                        </m:e>
                      </m:mr>
                    </m:m>
                  </m:e>
                </m:d>
                <m:r>
                  <w:rPr>
                    <w:rFonts w:ascii="Cambria Math" w:hAnsi="Cambria Math"/>
                    <w:lang w:val="en-US"/>
                  </w:rPr>
                  <m:t>=</m:t>
                </m:r>
                <m:f>
                  <m:fPr>
                    <m:ctrlPr>
                      <w:rPr>
                        <w:rFonts w:ascii="Cambria Math" w:hAnsi="Cambria Math"/>
                        <w:i/>
                        <w:lang w:val="en-US"/>
                      </w:rPr>
                    </m:ctrlPr>
                  </m:fPr>
                  <m:num>
                    <m:r>
                      <m:rPr>
                        <m:sty m:val="b"/>
                      </m:rPr>
                      <w:rPr>
                        <w:rFonts w:ascii="Cambria Math" w:hAnsi="Cambria Math"/>
                        <w:lang w:val="en-US"/>
                      </w:rPr>
                      <m:t>C</m:t>
                    </m:r>
                    <m:sSup>
                      <m:sSupPr>
                        <m:ctrlPr>
                          <w:rPr>
                            <w:rFonts w:ascii="Cambria Math" w:hAnsi="Cambria Math"/>
                            <w:i/>
                            <w:lang w:val="en-US"/>
                          </w:rPr>
                        </m:ctrlPr>
                      </m:sSupPr>
                      <m:e>
                        <m:r>
                          <m:rPr>
                            <m:sty m:val="bi"/>
                          </m:rPr>
                          <w:rPr>
                            <w:rFonts w:ascii="Cambria Math" w:hAnsi="Cambria Math"/>
                            <w:lang w:val="en-US"/>
                          </w:rPr>
                          <m:t>η</m:t>
                        </m:r>
                      </m:e>
                      <m:sup>
                        <m:r>
                          <w:rPr>
                            <w:rFonts w:ascii="Cambria Math" w:hAnsi="Cambria Math"/>
                            <w:lang w:val="en-US"/>
                          </w:rPr>
                          <m:t>T</m:t>
                        </m:r>
                      </m:sup>
                    </m:sSup>
                  </m:num>
                  <m:den>
                    <m:r>
                      <w:rPr>
                        <w:rFonts w:ascii="Cambria Math" w:hAnsi="Cambria Math"/>
                        <w:lang w:val="en-US"/>
                      </w:rPr>
                      <m:t>ρ</m:t>
                    </m:r>
                    <m:d>
                      <m:dPr>
                        <m:ctrlPr>
                          <w:rPr>
                            <w:rFonts w:ascii="Cambria Math" w:hAnsi="Cambria Math"/>
                            <w:i/>
                            <w:lang w:val="en-US"/>
                          </w:rPr>
                        </m:ctrlPr>
                      </m:dPr>
                      <m:e>
                        <m:r>
                          <m:rPr>
                            <m:sty m:val="b"/>
                          </m:rPr>
                          <w:rPr>
                            <w:rFonts w:ascii="Cambria Math" w:hAnsi="Cambria Math"/>
                            <w:lang w:val="en-US"/>
                          </w:rPr>
                          <m:t>C</m:t>
                        </m:r>
                        <m:sSup>
                          <m:sSupPr>
                            <m:ctrlPr>
                              <w:rPr>
                                <w:rFonts w:ascii="Cambria Math" w:hAnsi="Cambria Math"/>
                                <w:i/>
                                <w:lang w:val="en-US"/>
                              </w:rPr>
                            </m:ctrlPr>
                          </m:sSupPr>
                          <m:e>
                            <m:r>
                              <m:rPr>
                                <m:sty m:val="bi"/>
                              </m:rPr>
                              <w:rPr>
                                <w:rFonts w:ascii="Cambria Math" w:hAnsi="Cambria Math"/>
                                <w:lang w:val="en-US"/>
                              </w:rPr>
                              <m:t>η</m:t>
                            </m:r>
                          </m:e>
                          <m:sup>
                            <m:r>
                              <w:rPr>
                                <w:rFonts w:ascii="Cambria Math" w:hAnsi="Cambria Math"/>
                                <w:lang w:val="en-US"/>
                              </w:rPr>
                              <m:t>T</m:t>
                            </m:r>
                          </m:sup>
                        </m:sSup>
                      </m:e>
                    </m:d>
                  </m:den>
                </m:f>
              </m:oMath>
            </m:oMathPara>
          </w:p>
        </w:tc>
        <w:tc>
          <w:tcPr>
            <w:tcW w:w="935" w:type="dxa"/>
            <w:vAlign w:val="center"/>
          </w:tcPr>
          <w:p w14:paraId="4F304ECA" w14:textId="46A5783B" w:rsidR="00A446F7" w:rsidRPr="00F04787" w:rsidRDefault="00A446F7" w:rsidP="001B626F">
            <w:pPr>
              <w:jc w:val="center"/>
              <w:rPr>
                <w:lang w:val="en-US"/>
              </w:rPr>
            </w:pPr>
            <m:oMathPara>
              <m:oMath>
                <m:r>
                  <w:rPr>
                    <w:rFonts w:ascii="Cambria Math" w:hAnsi="Cambria Math"/>
                    <w:lang w:val="en-US"/>
                  </w:rPr>
                  <m:t>(14)</m:t>
                </m:r>
              </m:oMath>
            </m:oMathPara>
          </w:p>
        </w:tc>
      </w:tr>
    </w:tbl>
    <w:p w14:paraId="4900EE3B" w14:textId="77777777" w:rsidR="00861C80" w:rsidRPr="00F04787" w:rsidRDefault="00861C80" w:rsidP="00A446F7">
      <w:pPr>
        <w:rPr>
          <w:lang w:val="en-US"/>
        </w:rPr>
      </w:pPr>
    </w:p>
    <w:p w14:paraId="6B71FFA2" w14:textId="567E5997" w:rsidR="00A446F7" w:rsidRPr="00F04787" w:rsidRDefault="00A446F7" w:rsidP="00A446F7">
      <w:pPr>
        <w:rPr>
          <w:lang w:val="en-US"/>
        </w:rPr>
      </w:pPr>
      <w:r w:rsidRPr="00F04787">
        <w:rPr>
          <w:lang w:val="en-US"/>
        </w:rPr>
        <w:t xml:space="preserve">where </w:t>
      </w:r>
      <m:oMath>
        <m:r>
          <m:rPr>
            <m:sty m:val="b"/>
          </m:rPr>
          <w:rPr>
            <w:rFonts w:ascii="Cambria Math" w:hAnsi="Cambria Math"/>
            <w:lang w:val="en-US"/>
          </w:rPr>
          <m:t>C</m:t>
        </m:r>
        <m:r>
          <m:rPr>
            <m:sty m:val="p"/>
          </m:rPr>
          <w:rPr>
            <w:rFonts w:ascii="Cambria Math" w:hAnsi="Cambria Math"/>
            <w:lang w:val="en-US"/>
          </w:rPr>
          <m:t>=</m:t>
        </m:r>
        <m:d>
          <m:dPr>
            <m:begChr m:val="{"/>
            <m:endChr m:val="}"/>
            <m:ctrlPr>
              <w:rPr>
                <w:rFonts w:ascii="Cambria Math" w:hAnsi="Cambria Math"/>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α→a</m:t>
                </m:r>
              </m:sub>
            </m:sSub>
          </m:e>
        </m:d>
      </m:oMath>
      <w:r w:rsidRPr="00F04787">
        <w:rPr>
          <w:lang w:val="en-US"/>
        </w:rPr>
        <w:t xml:space="preserve"> is the </w:t>
      </w:r>
      <w:r w:rsidR="00F6282C">
        <w:rPr>
          <w:lang w:val="en-US"/>
        </w:rPr>
        <w:t>mean</w:t>
      </w:r>
      <w:r w:rsidRPr="00F04787">
        <w:rPr>
          <w:lang w:val="en-US"/>
        </w:rPr>
        <w:t xml:space="preserve"> contact rate matrix between </w:t>
      </w:r>
      <w:r w:rsidR="007E428E" w:rsidRPr="00F04787">
        <w:rPr>
          <w:lang w:val="en-US"/>
        </w:rPr>
        <w:t>individuals</w:t>
      </w:r>
      <w:r w:rsidRPr="00F04787">
        <w:rPr>
          <w:lang w:val="en-US"/>
        </w:rPr>
        <w:t xml:space="preserve"> in</w:t>
      </w:r>
      <w:r w:rsidR="003C03FE" w:rsidRPr="00F04787">
        <w:rPr>
          <w:lang w:val="en-US"/>
        </w:rPr>
        <w:t xml:space="preserve"> age</w:t>
      </w:r>
      <w:r w:rsidRPr="00F04787">
        <w:rPr>
          <w:lang w:val="en-US"/>
        </w:rPr>
        <w:t xml:space="preserve"> group </w:t>
      </w:r>
      <m:oMath>
        <m:r>
          <w:rPr>
            <w:rFonts w:ascii="Cambria Math" w:hAnsi="Cambria Math"/>
            <w:lang w:val="en-US"/>
          </w:rPr>
          <m:t>α</m:t>
        </m:r>
      </m:oMath>
      <w:r w:rsidRPr="00F04787">
        <w:rPr>
          <w:lang w:val="en-US"/>
        </w:rPr>
        <w:t xml:space="preserve"> and individuals in</w:t>
      </w:r>
      <w:r w:rsidR="003C03FE" w:rsidRPr="00F04787">
        <w:rPr>
          <w:lang w:val="en-US"/>
        </w:rPr>
        <w:t xml:space="preserve"> age</w:t>
      </w:r>
      <w:r w:rsidRPr="00F04787">
        <w:rPr>
          <w:lang w:val="en-US"/>
        </w:rPr>
        <w:t xml:space="preserve"> group </w:t>
      </w:r>
      <m:oMath>
        <m:r>
          <w:rPr>
            <w:rFonts w:ascii="Cambria Math" w:hAnsi="Cambria Math"/>
            <w:lang w:val="en-US"/>
          </w:rPr>
          <m:t>a</m:t>
        </m:r>
      </m:oMath>
      <w:r w:rsidRPr="00F04787">
        <w:rPr>
          <w:lang w:val="en-US"/>
        </w:rPr>
        <w:t xml:space="preserve">, </w:t>
      </w:r>
      <m:oMath>
        <m:r>
          <m:rPr>
            <m:sty m:val="bi"/>
          </m:rPr>
          <w:rPr>
            <w:rFonts w:ascii="Cambria Math" w:hAnsi="Cambria Math"/>
            <w:lang w:val="en-US"/>
          </w:rPr>
          <m:t>η</m:t>
        </m:r>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a</m:t>
                </m:r>
              </m:sub>
            </m:sSub>
          </m:e>
        </m:d>
      </m:oMath>
      <w:r w:rsidRPr="00F04787">
        <w:rPr>
          <w:lang w:val="en-US"/>
        </w:rPr>
        <w:t xml:space="preserve"> is the relative susceptibility of individuals in</w:t>
      </w:r>
      <w:r w:rsidR="003C03FE" w:rsidRPr="00F04787">
        <w:rPr>
          <w:lang w:val="en-US"/>
        </w:rPr>
        <w:t xml:space="preserve"> age</w:t>
      </w:r>
      <w:r w:rsidRPr="00F04787">
        <w:rPr>
          <w:lang w:val="en-US"/>
        </w:rPr>
        <w:t xml:space="preserve"> group </w:t>
      </w:r>
      <m:oMath>
        <m:r>
          <w:rPr>
            <w:rFonts w:ascii="Cambria Math" w:hAnsi="Cambria Math"/>
            <w:lang w:val="en-US"/>
          </w:rPr>
          <m:t>a</m:t>
        </m:r>
      </m:oMath>
      <w:r w:rsidRPr="00F04787">
        <w:rPr>
          <w:lang w:val="en-US"/>
        </w:rPr>
        <w:t xml:space="preserve">, with the most susceptible group having a value of 1 and </w:t>
      </w:r>
      <m:oMath>
        <m:r>
          <w:rPr>
            <w:rFonts w:ascii="Cambria Math" w:hAnsi="Cambria Math"/>
            <w:lang w:val="en-US"/>
          </w:rPr>
          <m:t>ρ</m:t>
        </m:r>
        <m:d>
          <m:dPr>
            <m:ctrlPr>
              <w:rPr>
                <w:rFonts w:ascii="Cambria Math" w:hAnsi="Cambria Math"/>
                <w:i/>
                <w:lang w:val="en-US"/>
              </w:rPr>
            </m:ctrlPr>
          </m:dPr>
          <m:e>
            <m:r>
              <m:rPr>
                <m:sty m:val="b"/>
              </m:rPr>
              <w:rPr>
                <w:rFonts w:ascii="Cambria Math" w:hAnsi="Cambria Math"/>
                <w:lang w:val="en-US"/>
              </w:rPr>
              <m:t>C</m:t>
            </m:r>
            <m:sSup>
              <m:sSupPr>
                <m:ctrlPr>
                  <w:rPr>
                    <w:rFonts w:ascii="Cambria Math" w:hAnsi="Cambria Math"/>
                    <w:i/>
                    <w:lang w:val="en-US"/>
                  </w:rPr>
                </m:ctrlPr>
              </m:sSupPr>
              <m:e>
                <m:r>
                  <m:rPr>
                    <m:sty m:val="bi"/>
                  </m:rPr>
                  <w:rPr>
                    <w:rFonts w:ascii="Cambria Math" w:hAnsi="Cambria Math"/>
                    <w:lang w:val="en-US"/>
                  </w:rPr>
                  <m:t>η</m:t>
                </m:r>
              </m:e>
              <m:sup>
                <m:r>
                  <w:rPr>
                    <w:rFonts w:ascii="Cambria Math" w:hAnsi="Cambria Math"/>
                    <w:lang w:val="en-US"/>
                  </w:rPr>
                  <m:t>T</m:t>
                </m:r>
              </m:sup>
            </m:sSup>
          </m:e>
        </m:d>
      </m:oMath>
      <w:r w:rsidRPr="00F04787">
        <w:rPr>
          <w:lang w:val="en-US"/>
        </w:rPr>
        <w:t xml:space="preserve"> is the spectral radius of </w:t>
      </w:r>
      <m:oMath>
        <m:r>
          <m:rPr>
            <m:sty m:val="b"/>
          </m:rPr>
          <w:rPr>
            <w:rFonts w:ascii="Cambria Math" w:hAnsi="Cambria Math"/>
            <w:lang w:val="en-US"/>
          </w:rPr>
          <m:t>C</m:t>
        </m:r>
        <m:sSup>
          <m:sSupPr>
            <m:ctrlPr>
              <w:rPr>
                <w:rFonts w:ascii="Cambria Math" w:hAnsi="Cambria Math"/>
                <w:i/>
                <w:lang w:val="en-US"/>
              </w:rPr>
            </m:ctrlPr>
          </m:sSupPr>
          <m:e>
            <m:r>
              <m:rPr>
                <m:sty m:val="bi"/>
              </m:rPr>
              <w:rPr>
                <w:rFonts w:ascii="Cambria Math" w:hAnsi="Cambria Math"/>
                <w:lang w:val="en-US"/>
              </w:rPr>
              <m:t>η</m:t>
            </m:r>
          </m:e>
          <m:sup>
            <m:r>
              <w:rPr>
                <w:rFonts w:ascii="Cambria Math" w:hAnsi="Cambria Math"/>
                <w:lang w:val="en-US"/>
              </w:rPr>
              <m:t>T</m:t>
            </m:r>
          </m:sup>
        </m:sSup>
      </m:oMath>
      <w:r w:rsidRPr="00F04787">
        <w:rPr>
          <w:lang w:val="en-US"/>
        </w:rPr>
        <w:t xml:space="preserve">. </w:t>
      </w:r>
      <w:r w:rsidR="00E62A95" w:rsidRPr="00F04787">
        <w:rPr>
          <w:lang w:val="en-US"/>
        </w:rPr>
        <w:t xml:space="preserve">We used country-specific estimates of </w:t>
      </w:r>
      <m:oMath>
        <m:r>
          <m:rPr>
            <m:sty m:val="b"/>
          </m:rPr>
          <w:rPr>
            <w:rFonts w:ascii="Cambria Math" w:hAnsi="Cambria Math"/>
            <w:lang w:val="en-US"/>
          </w:rPr>
          <m:t>C</m:t>
        </m:r>
      </m:oMath>
      <w:r w:rsidR="00E62A95" w:rsidRPr="00F04787">
        <w:rPr>
          <w:rFonts w:eastAsiaTheme="minorEastAsia"/>
          <w:lang w:val="en-US"/>
        </w:rPr>
        <w:t xml:space="preserve"> from Prem et al.</w:t>
      </w:r>
      <w:r w:rsidR="00E62A95" w:rsidRPr="00F04787">
        <w:rPr>
          <w:rFonts w:eastAsiaTheme="minorEastAsia"/>
          <w:lang w:val="en-US"/>
        </w:rPr>
        <w:fldChar w:fldCharType="begin"/>
      </w:r>
      <w:r w:rsidR="007508CC" w:rsidRPr="00F04787">
        <w:rPr>
          <w:rFonts w:eastAsiaTheme="minorEastAsia"/>
          <w:lang w:val="en-US"/>
        </w:rPr>
        <w:instrText xml:space="preserve"> ADDIN ZOTERO_ITEM CSL_CITATION {"citationID":"hP58NNIg","properties":{"formattedCitation":"\\super 14,15\\nosupersub{}","plainCitation":"14,15","noteIndex":0},"citationItems":[{"id":102,"uris":["http://zotero.org/users/local/0pdZPGmr/items/QTYWCC5P"],"itemData":{"id":102,"type":"article-journal","abstract":"Author summary The risk of infectious disease transmission varies in different settings, for instance at home, at work or in the community, as a result of the different social structures and mixing patterns in those locations. These social structures vary across countries in different stages of development and with different demographics. Social contact patterns have been measured in a small number of countries, but in large swathes of the world, contact patterns are unmeasured, which makes it challenging to build mathematical or computer models of disease spread and control. In this work, we developed a modelling framework to combine social contact data from the past studies of contact patterns within eight countries in the EU with data from multiple data sources including the Demographic Household Surveys, World Bank and UN Statistics Division, to provide validated approximations to age-and-location-specific contact rates for 152 countries covering 95.9% of the world’s population.","container-title":"PLOS Computational Biology","DOI":"10.1371/journal.pcbi.1005697","issue":"9","journalAbbreviation":"PLOS Computational Biology","note":"publisher: Public Library of Science","page":"e1005697","title":"Projecting social contact matrices in 152 countries using contact surveys and demographic data","volume":"13","author":[{"family":"Prem","given":"Kiesha"},{"family":"Cook","given":"Alex R."},{"family":"Jit","given":"Mark"}],"issued":{"date-parts":[["2017",9,12]]}}},{"id":41,"uris":["http://zotero.org/users/local/0pdZPGmr/items/Y9EYKFFU"],"itemData":{"id":41,"type":"article-journal","abstract":"Author summary The risk of contracting a directly transmitted infectious disease such as the Coronavirus Disease 2019 (COVID-19) depends on who interacts with whom. Such person-to-person interactions vary by age and locations—e.g., at home, at work, at school, or in the community—due to the different social structures. These social structures, and thus contact patterns, vary across and within countries. Although social contact patterns can be measured using contact surveys, the majority of countries around the world, particularly low- and middle-income countries, lack nationally representative contact surveys. A simple way to present contact data is to use matrices where the elements represent the rate of contact between subgroups such as age groups represented by the columns and rows. In 2017, we generated age- and location-specific synthetic contact matrices for 152 geographical regions by adapting contact pattern data from eight European countries using country-specific data on household size, school and workplace composition. We have now updated these matrices with the most recent data (Demographic Household Surveys, World Bank, UN Population Division) extending the coverage to 177 geographical locations, covering 97.2% of the world’s population. We also quantified contact patterns in rural and urban settings. When compared to out-of-sample empirically-measured contact patterns, we found that the synthetic matrices reproduce the main features of these contact patterns.","container-title":"PLOS Computational Biology","DOI":"10.1371/journal.pcbi.1009098","issue":"7","journalAbbreviation":"PLOS Computational Biology","note":"publisher: Public Library of Science","page":"e1009098","title":"Projecting contact matrices in 177 geographical regions: An update and comparison with empirical data for the COVID-19 era","volume":"17","author":[{"family":"Prem","given":"Kiesha"},{"family":"Zandvoort","given":"Kevin","dropping-particle":"van"},{"family":"Klepac","given":"Petra"},{"family":"Eggo","given":"Rosalind M."},{"family":"Davies","given":"Nicholas G."},{"literal":"Centre for the Mathematical Modelling of Infectious Diseases COVID-19 Working Group"},{"family":"Cook","given":"Alex R."},{"family":"Jit","given":"Mark"}],"issued":{"date-parts":[["2021",7,26]]}}}],"schema":"https://github.com/citation-style-language/schema/raw/master/csl-citation.json"} </w:instrText>
      </w:r>
      <w:r w:rsidR="00E62A95" w:rsidRPr="00F04787">
        <w:rPr>
          <w:rFonts w:eastAsiaTheme="minorEastAsia"/>
          <w:lang w:val="en-US"/>
        </w:rPr>
        <w:fldChar w:fldCharType="separate"/>
      </w:r>
      <w:r w:rsidR="007508CC" w:rsidRPr="00F04787">
        <w:rPr>
          <w:vertAlign w:val="superscript"/>
          <w:lang w:val="en-US"/>
        </w:rPr>
        <w:t>14,15</w:t>
      </w:r>
      <w:r w:rsidR="00E62A95" w:rsidRPr="00F04787">
        <w:rPr>
          <w:rFonts w:eastAsiaTheme="minorEastAsia"/>
          <w:lang w:val="en-US"/>
        </w:rPr>
        <w:fldChar w:fldCharType="end"/>
      </w:r>
      <w:r w:rsidR="00E62A95" w:rsidRPr="00F04787">
        <w:rPr>
          <w:rFonts w:eastAsiaTheme="minorEastAsia"/>
          <w:lang w:val="en-US"/>
        </w:rPr>
        <w:t xml:space="preserve"> and </w:t>
      </w:r>
      <w:r w:rsidR="00C92590" w:rsidRPr="00F04787">
        <w:rPr>
          <w:rFonts w:eastAsiaTheme="minorEastAsia"/>
          <w:lang w:val="en-US"/>
        </w:rPr>
        <w:t xml:space="preserve">estimates of </w:t>
      </w:r>
      <m:oMath>
        <m:r>
          <m:rPr>
            <m:sty m:val="bi"/>
          </m:rPr>
          <w:rPr>
            <w:rFonts w:ascii="Cambria Math" w:hAnsi="Cambria Math"/>
            <w:lang w:val="en-US"/>
          </w:rPr>
          <m:t>η</m:t>
        </m:r>
      </m:oMath>
      <w:r w:rsidR="00C92590" w:rsidRPr="00F04787">
        <w:rPr>
          <w:rFonts w:eastAsiaTheme="minorEastAsia"/>
          <w:lang w:val="en-US"/>
        </w:rPr>
        <w:t xml:space="preserve"> for seasonal influenza,</w:t>
      </w:r>
      <w:r w:rsidR="00C92590" w:rsidRPr="00F04787">
        <w:rPr>
          <w:rFonts w:eastAsiaTheme="minorEastAsia"/>
          <w:lang w:val="en-US"/>
        </w:rPr>
        <w:fldChar w:fldCharType="begin"/>
      </w:r>
      <w:r w:rsidR="007508CC" w:rsidRPr="00F04787">
        <w:rPr>
          <w:rFonts w:eastAsiaTheme="minorEastAsia"/>
          <w:lang w:val="en-US"/>
        </w:rPr>
        <w:instrText xml:space="preserve"> ADDIN ZOTERO_ITEM CSL_CITATION {"citationID":"oOYDyjXT","properties":{"formattedCitation":"\\super 16\\nosupersub{}","plainCitation":"16","noteIndex":0},"citationItems":[{"id":103,"uris":["http://zotero.org/users/local/0pdZPGmr/items/ETJ2898P"],"itemData":{"id":103,"type":"article-journal","abstract":"Understanding the seasonal patterns of influenza transmission is critical to help plan public health measures for the management and control of epidemics. Mathematical models of infectious disease transmission have been widely used to quantify the transmissibility of and susceptibility to past influenza seasons in many countries. The objective of this study was to obtain a detailed picture of the transmission dynamics of seasonal influenza in Switzerland from 2003 to 2015. To this end, we developed a compartmental influenza transmission model taking into account social mixing between different age groups and seasonal forcing. We applied a Bayesian approach using Markov chain Monte Carlo (MCMC) methods to fit the model to the reported incidence of influenza-like-illness (ILI) and virological data from Sentinella, the Swiss Sentinel Surveillance Network. The maximal basic reproduction number, R0, ranged from 1.46 to 1.81 (median). Median estimates of susceptibility to influenza ranged from 29% to 98% for different age groups, and typically decreased with age. We also found a decline in ascertainability of influenza cases with age. Our study illustrates how influenza surveillance data from Switzerland can be integrated into a Bayesian modeling framework in order to assess age-specific transmission of and susceptibility to influenza.","container-title":"Epidemics","DOI":"10.1016/j.epidem.2019.100373","ISSN":"1755-4365","journalAbbreviation":"Epidemics","page":"100373","title":"Transmission of and susceptibility to seasonal influenza in Switzerland from 2003 to 2015","volume":"30","author":[{"family":"Brugger","given":"Jon"},{"family":"Althaus","given":"Christian L."}],"issued":{"date-parts":[["2020",3,1]]}}}],"schema":"https://github.com/citation-style-language/schema/raw/master/csl-citation.json"} </w:instrText>
      </w:r>
      <w:r w:rsidR="00C92590" w:rsidRPr="00F04787">
        <w:rPr>
          <w:rFonts w:eastAsiaTheme="minorEastAsia"/>
          <w:lang w:val="en-US"/>
        </w:rPr>
        <w:fldChar w:fldCharType="separate"/>
      </w:r>
      <w:r w:rsidR="007508CC" w:rsidRPr="00F04787">
        <w:rPr>
          <w:vertAlign w:val="superscript"/>
          <w:lang w:val="en-US"/>
        </w:rPr>
        <w:t>16</w:t>
      </w:r>
      <w:r w:rsidR="00C92590" w:rsidRPr="00F04787">
        <w:rPr>
          <w:rFonts w:eastAsiaTheme="minorEastAsia"/>
          <w:lang w:val="en-US"/>
        </w:rPr>
        <w:fldChar w:fldCharType="end"/>
      </w:r>
      <w:r w:rsidR="00C92590" w:rsidRPr="00F04787">
        <w:rPr>
          <w:rFonts w:eastAsiaTheme="minorEastAsia"/>
          <w:lang w:val="en-US"/>
        </w:rPr>
        <w:t xml:space="preserve"> 2009 A/H1N1 pandemic</w:t>
      </w:r>
      <w:r w:rsidR="00C92590" w:rsidRPr="00F04787">
        <w:rPr>
          <w:rFonts w:eastAsiaTheme="minorEastAsia"/>
          <w:lang w:val="en-US"/>
        </w:rPr>
        <w:fldChar w:fldCharType="begin"/>
      </w:r>
      <w:r w:rsidR="00485DAB">
        <w:rPr>
          <w:rFonts w:eastAsiaTheme="minorEastAsia"/>
          <w:lang w:val="en-US"/>
        </w:rPr>
        <w:instrText xml:space="preserve"> ADDIN ZOTERO_ITEM CSL_CITATION {"citationID":"Il2tTfH0","properties":{"formattedCitation":"\\super 17\\nosupersub{}","plainCitation":"17","noteIndex":0},"citationItems":[{"id":104,"uris":["http://zotero.org/users/local/0pdZPGmr/items/S2ALJ8LS"],"itemData":{"id":104,"type":"article-journal","container-title":"New England Journal of Medicine","DOI":"10.1056/NEJMoa0905498","issue":"27","journalAbbreviation":"New England Journal of Medicine","note":"publisher: Massachusetts Medical Society","page":"2619-2627","title":"Household Transmission of 2009 Pandemic Influenza A (H1N1) Virus in the United States","volume":"361","author":[{"literal":"Cauchemez Simon"},{"literal":"Donnelly Christl A."},{"literal":"Reed Carrie"},{"literal":"Ghani Azra C."},{"literal":"Fraser Christophe"},{"literal":"Kent Charlotte K."},{"literal":"Finelli Lyn"},{"literal":"Ferguson Neil M."}],"issued":{"date-parts":[["2009"]]}}}],"schema":"https://github.com/citation-style-language/schema/raw/master/csl-citation.json"} </w:instrText>
      </w:r>
      <w:r w:rsidR="00C92590" w:rsidRPr="00F04787">
        <w:rPr>
          <w:rFonts w:eastAsiaTheme="minorEastAsia"/>
          <w:lang w:val="en-US"/>
        </w:rPr>
        <w:fldChar w:fldCharType="separate"/>
      </w:r>
      <w:r w:rsidR="007508CC" w:rsidRPr="00F04787">
        <w:rPr>
          <w:vertAlign w:val="superscript"/>
          <w:lang w:val="en-US"/>
        </w:rPr>
        <w:t>17</w:t>
      </w:r>
      <w:r w:rsidR="00C92590" w:rsidRPr="00F04787">
        <w:rPr>
          <w:rFonts w:eastAsiaTheme="minorEastAsia"/>
          <w:lang w:val="en-US"/>
        </w:rPr>
        <w:fldChar w:fldCharType="end"/>
      </w:r>
      <w:r w:rsidR="00C92590" w:rsidRPr="00F04787">
        <w:rPr>
          <w:rFonts w:eastAsiaTheme="minorEastAsia"/>
          <w:lang w:val="en-US"/>
        </w:rPr>
        <w:t xml:space="preserve"> and COVID-19 pandemic</w:t>
      </w:r>
      <w:r w:rsidR="00C92590" w:rsidRPr="00F04787">
        <w:rPr>
          <w:rFonts w:eastAsiaTheme="minorEastAsia"/>
          <w:lang w:val="en-US"/>
        </w:rPr>
        <w:fldChar w:fldCharType="begin"/>
      </w:r>
      <w:r w:rsidR="007508CC" w:rsidRPr="00F04787">
        <w:rPr>
          <w:rFonts w:eastAsiaTheme="minorEastAsia"/>
          <w:lang w:val="en-US"/>
        </w:rPr>
        <w:instrText xml:space="preserve"> ADDIN ZOTERO_ITEM CSL_CITATION {"citationID":"V0FoHJaV","properties":{"formattedCitation":"\\super 18\\nosupersub{}","plainCitation":"18","noteIndex":0},"citationItems":[{"id":106,"uris":["http://zotero.org/users/local/0pdZPGmr/items/TC6DZ35V"],"itemData":{"id":106,"type":"article-journal","abstract":"The coronavirus 2019 (COVID-19) pandemic has brought tighter restrictions on the daily lives of millions of people, but we do not yet understand what measures are the most effective. Zhang et al. modeled virus transmission in Wuhan, China, in February 2020, investigating the effects of interventions ranging from patient management to social isolation. Age-mixing patterns were estimated by contact surveys conducted in Wuhan and Shanghai at the beginning of February 2020. Once people reduced their average daily contacts from 14 to 20 down to 2, transmission rapidly fell below the epidemic threshold. The model also showed that preemptive school closures helped to reduce transmission, although alone they would not prevent a COVID-19 outbreak. Limiting human mixing to within households appeared to be the most effective measure. Science, this issue p. 1481 Reducing social contacts on the scale achieved in Wuhan and Shanghai in early 2020 could be sufficient to bring a COVID-19 outbreak under control. Intense nonpharmaceutical interventions were put in place in China to stop transmission of the novel coronavirus disease 2019 (COVID-19). As transmission intensifies in other countries, the interplay between age, contact patterns, social distancing, susceptibility to infection, and COVID-19 dynamics remains unclear. To answer these questions, we analyze contact survey data for Wuhan and Shanghai before and during the outbreak and contact-tracing information from Hunan province. Daily contacts were reduced seven- to eightfold during the COVID-19 social distancing period, with most interactions restricted to the household. We find that children 0 to 14 years of age are less susceptible to severe acute respiratory syndrome coronavirus 2 (SARS-CoV-2) infection than adults 15 to 64 years of age (odds ratio 0.34, 95% confidence interval 0.24 to 0.49), whereas individuals more than 65 years of age are more susceptible to infection (odds ratio 1.47, 95% confidence interval 1.12 to 1.92). Based on these data, we built a transmission model to study the impact of social distancing and school closure on transmission. We find that social distancing alone, as implemented in China during the outbreak, is sufficient to control COVID-19. Although proactive school closures cannot interrupt transmission on their own, they can reduce peak incidence by 40 to 60% and delay the epidemic.","container-title":"Science","DOI":"10.1126/science.abb8001","issue":"6498","journalAbbreviation":"Science","note":"publisher: American Association for the Advancement of Science","page":"1481-1486","title":"Changes in contact patterns shape the dynamics of the COVID-19 outbreak in China","volume":"368","author":[{"family":"Zhang","given":"Juanjuan"},{"family":"Litvinova","given":"Maria"},{"family":"Liang","given":"Yuxia"},{"family":"Wang","given":"Yan"},{"family":"Wang","given":"Wei"},{"family":"Zhao","given":"Shanlu"},{"family":"Wu","given":"Qianhui"},{"family":"Merler","given":"Stefano"},{"family":"Viboud","given":"Cécile"},{"family":"Vespignani","given":"Alessandro"},{"family":"Ajelli","given":"Marco"},{"family":"Yu","given":"Hongjie"}],"issued":{"date-parts":[["2020",6,26]]}}}],"schema":"https://github.com/citation-style-language/schema/raw/master/csl-citation.json"} </w:instrText>
      </w:r>
      <w:r w:rsidR="00C92590" w:rsidRPr="00F04787">
        <w:rPr>
          <w:rFonts w:eastAsiaTheme="minorEastAsia"/>
          <w:lang w:val="en-US"/>
        </w:rPr>
        <w:fldChar w:fldCharType="separate"/>
      </w:r>
      <w:r w:rsidR="007508CC" w:rsidRPr="00F04787">
        <w:rPr>
          <w:vertAlign w:val="superscript"/>
          <w:lang w:val="en-US"/>
        </w:rPr>
        <w:t>18</w:t>
      </w:r>
      <w:r w:rsidR="00C92590" w:rsidRPr="00F04787">
        <w:rPr>
          <w:rFonts w:eastAsiaTheme="minorEastAsia"/>
          <w:lang w:val="en-US"/>
        </w:rPr>
        <w:fldChar w:fldCharType="end"/>
      </w:r>
      <w:r w:rsidR="00C92590" w:rsidRPr="00F04787">
        <w:rPr>
          <w:rFonts w:eastAsiaTheme="minorEastAsia"/>
          <w:lang w:val="en-US"/>
        </w:rPr>
        <w:t xml:space="preserve"> from various sources. For the 1918 A/H1N1 and 1968 A/H3N2 pandemics, </w:t>
      </w:r>
      <w:r w:rsidR="002D69C7" w:rsidRPr="00F04787">
        <w:rPr>
          <w:rFonts w:eastAsiaTheme="minorEastAsia"/>
          <w:lang w:val="en-US"/>
        </w:rPr>
        <w:t>we assumed</w:t>
      </w:r>
      <w:r w:rsidR="00C92590" w:rsidRPr="00F04787">
        <w:rPr>
          <w:rFonts w:eastAsiaTheme="minorEastAsia"/>
          <w:lang w:val="en-US"/>
        </w:rPr>
        <w:t xml:space="preserve"> </w:t>
      </w:r>
      <m:oMath>
        <m:r>
          <m:rPr>
            <m:sty m:val="bi"/>
          </m:rPr>
          <w:rPr>
            <w:rFonts w:ascii="Cambria Math" w:hAnsi="Cambria Math"/>
            <w:lang w:val="en-US"/>
          </w:rPr>
          <m:t>η</m:t>
        </m:r>
        <m:r>
          <w:rPr>
            <w:rFonts w:ascii="Cambria Math" w:eastAsiaTheme="minorEastAsia" w:hAnsi="Cambria Math"/>
            <w:lang w:val="en-US"/>
          </w:rPr>
          <m:t>=1</m:t>
        </m:r>
      </m:oMath>
      <w:r w:rsidR="00C92590" w:rsidRPr="00F04787">
        <w:rPr>
          <w:rFonts w:eastAsiaTheme="minorEastAsia"/>
          <w:lang w:val="en-US"/>
        </w:rPr>
        <w:t xml:space="preserve"> for all age groups. </w:t>
      </w:r>
    </w:p>
    <w:p w14:paraId="0C32F1F3" w14:textId="77777777" w:rsidR="007A0F47" w:rsidRPr="00F04787" w:rsidRDefault="007A0F47" w:rsidP="00A446F7">
      <w:pPr>
        <w:rPr>
          <w:lang w:val="en-US"/>
        </w:rPr>
      </w:pPr>
    </w:p>
    <w:p w14:paraId="42C61C6D" w14:textId="7D4BDE26" w:rsidR="00A446F7" w:rsidRPr="00F04787" w:rsidRDefault="00583D9A" w:rsidP="0055385D">
      <w:pPr>
        <w:pStyle w:val="Heading2"/>
      </w:pPr>
      <w:bookmarkStart w:id="3" w:name="_Toc189816099"/>
      <w:r w:rsidRPr="00F04787">
        <w:t>Test and treat</w:t>
      </w:r>
      <w:bookmarkEnd w:id="3"/>
      <w:r w:rsidRPr="00F04787">
        <w:t xml:space="preserve"> </w:t>
      </w:r>
      <w:r w:rsidR="00A446F7" w:rsidRPr="00F04787">
        <w:t xml:space="preserve"> </w:t>
      </w:r>
    </w:p>
    <w:p w14:paraId="453D4FF9" w14:textId="2ACB3884" w:rsidR="00A446F7" w:rsidRPr="00F04787" w:rsidRDefault="00BA79F3" w:rsidP="00A446F7">
      <w:pPr>
        <w:rPr>
          <w:lang w:val="en-US"/>
        </w:rPr>
      </w:pPr>
      <w:r w:rsidRPr="00F04787">
        <w:rPr>
          <w:lang w:val="en-US"/>
        </w:rPr>
        <w:t>T</w:t>
      </w:r>
      <w:r w:rsidR="00A446F7" w:rsidRPr="00F04787">
        <w:rPr>
          <w:lang w:val="en-US"/>
        </w:rPr>
        <w:t>he probability that a</w:t>
      </w:r>
      <w:r w:rsidR="006662E3" w:rsidRPr="00F04787">
        <w:rPr>
          <w:lang w:val="en-US"/>
        </w:rPr>
        <w:t>n infected individual</w:t>
      </w:r>
      <w:r w:rsidR="00A446F7" w:rsidRPr="00F04787">
        <w:rPr>
          <w:lang w:val="en-US"/>
        </w:rPr>
        <w:t xml:space="preserve"> is tested </w:t>
      </w:r>
      <w:r w:rsidR="00ED25FB" w:rsidRPr="00F04787">
        <w:rPr>
          <w:lang w:val="en-US"/>
        </w:rPr>
        <w:t>at time</w:t>
      </w:r>
      <w:r w:rsidR="00A446F7" w:rsidRPr="00F04787">
        <w:rPr>
          <w:lang w:val="en-US"/>
        </w:rPr>
        <w:t xml:space="preserve"> </w:t>
      </w:r>
      <m:oMath>
        <m:r>
          <w:rPr>
            <w:rFonts w:ascii="Cambria Math" w:hAnsi="Cambria Math"/>
            <w:lang w:val="en-US"/>
          </w:rPr>
          <m:t>τ</m:t>
        </m:r>
      </m:oMath>
      <w:r w:rsidR="00A446F7" w:rsidRPr="00F04787">
        <w:rPr>
          <w:lang w:val="en-US"/>
        </w:rPr>
        <w:t xml:space="preserve"> since infection</w:t>
      </w:r>
      <w:r w:rsidR="00B1584D" w:rsidRPr="00F04787">
        <w:rPr>
          <w:lang w:val="en-US"/>
        </w:rPr>
        <w:t xml:space="preserve"> </w:t>
      </w:r>
      <w:r w:rsidR="00A61A20" w:rsidRPr="00F04787">
        <w:rPr>
          <w:lang w:val="en-US"/>
        </w:rPr>
        <w:t>can be formulated as</w:t>
      </w:r>
      <w:r w:rsidR="00A446F7" w:rsidRPr="00F04787">
        <w:rPr>
          <w:lang w:val="en-US"/>
        </w:rPr>
        <w:t>:</w:t>
      </w:r>
      <w:r w:rsidR="00A446F7" w:rsidRPr="00F04787">
        <w:rPr>
          <w:lang w:val="en-US"/>
        </w:rPr>
        <w:fldChar w:fldCharType="begin"/>
      </w:r>
      <w:r w:rsidR="007508CC" w:rsidRPr="00F04787">
        <w:rPr>
          <w:lang w:val="en-US"/>
        </w:rPr>
        <w:instrText xml:space="preserve"> ADDIN ZOTERO_ITEM CSL_CITATION {"citationID":"DpsTqb1O","properties":{"formattedCitation":"\\super 19\\nosupersub{}","plainCitation":"19","noteIndex":0},"citationItems":[{"id":2,"uris":["http://zotero.org/users/local/0pdZPGmr/items/4AHIDXEA"],"itemData":{"id":2,"type":"article-journal","abstract":"To effectively inform infectious disease control strategies, accurate knowledge of the pathogen’s transmission dynamics is required. The infection incidence, which describes the number of new infections in a given time interval (e.g., per day or per week), is fundamental to understanding transmission dynamics, and can be used to estimate the time-varying reproduction number and the severity (e.g., the infection fatality ratio) of a disease. The timings of infections are rarely known and so estimates of the infection incidence often rely on measurements of other quantities amenable to surveillance. Case-based surveillance, in which infected individuals are identified by a positive test, is the pre-dominant form of surveillance for many pathogens, and was used extensively during the COVID-19 pandemic. However, there can be many biases present in case-based surveillance indicators due to, for example, test sensitivity and specificity, changing testing behaviours, and the co-circulation of pathogens with similar symptom profiles. Without a full understanding of the process by which surveillance systems generate data, robust estimates of the infection incidence, time-varying reproduction number, and severity based on these data cannot be made. Here we develop a mathematical description of case-based surveillance of infectious diseases. By considering realistic epidemiological parameters and situations, we demonstrate potential biases in common surveillance indicators based on case-based surveillance data. The description is highly general and could be applied to a diverse set of pathogens and situations. The mathematical description could be used to inform inference of infection incidence using existing data, with a full understanding of where bias and uncertainty will be present in any such analysis. Future surveillance strategies could be designed to minimise these sources of bias and uncertainty, providing more accurate estimates of a pathogen’s transmission dynamics and, ultimately, more targeted application of public health measures.Competing Interest StatementThe authors have declared no competing interest.Funding StatementThis study did not receive any fundingAuthor DeclarationsI confirm all relevant ethical guidelines have been followed, and any necessary IRB and/or ethics committee approvals have been obtained.YesI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such as any relevant EQUATOR Network research reporting checklist(s) and other pertinent material, if applicable.YesThis is a simulation study and so there is no data.","container-title":"medRxiv","DOI":"10.1101/2023.12.19.23300224","page":"2023.12.19.23300224","title":"Challenges in the case-based surveillance of infectious diseases","author":[{"literal":"Oliver Eales"},{"literal":"James M. McCaw"},{"literal":"Freya M. Shearer"}],"issued":{"date-parts":[["2023",1,1]]}}}],"schema":"https://github.com/citation-style-language/schema/raw/master/csl-citation.json"} </w:instrText>
      </w:r>
      <w:r w:rsidR="00A446F7" w:rsidRPr="00F04787">
        <w:rPr>
          <w:lang w:val="en-US"/>
        </w:rPr>
        <w:fldChar w:fldCharType="separate"/>
      </w:r>
      <w:r w:rsidR="007508CC" w:rsidRPr="00F04787">
        <w:rPr>
          <w:sz w:val="24"/>
          <w:vertAlign w:val="superscript"/>
          <w:lang w:val="en-US"/>
        </w:rPr>
        <w:t>19</w:t>
      </w:r>
      <w:r w:rsidR="00A446F7" w:rsidRPr="00F04787">
        <w:rPr>
          <w:lang w:val="en-US"/>
        </w:rPr>
        <w:fldChar w:fldCharType="end"/>
      </w:r>
      <w:r w:rsidR="00A446F7" w:rsidRPr="00F04787">
        <w:rPr>
          <w:lang w:val="en-US"/>
        </w:rPr>
        <w:t xml:space="preserve"> </w:t>
      </w:r>
    </w:p>
    <w:p w14:paraId="3D8CFBA7" w14:textId="77777777" w:rsidR="00861C80" w:rsidRPr="00F04787" w:rsidRDefault="00861C80" w:rsidP="00A446F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35"/>
      </w:tblGrid>
      <w:tr w:rsidR="00A446F7" w:rsidRPr="00F04787" w14:paraId="448395C4" w14:textId="77777777" w:rsidTr="001B626F">
        <w:tc>
          <w:tcPr>
            <w:tcW w:w="8075" w:type="dxa"/>
            <w:vAlign w:val="center"/>
          </w:tcPr>
          <w:p w14:paraId="5C31DD25" w14:textId="4B9A6D13" w:rsidR="00A446F7" w:rsidRPr="00F04787" w:rsidRDefault="00686163" w:rsidP="001B626F">
            <w:pPr>
              <w:jc w:val="center"/>
              <w:rPr>
                <w:lang w:val="en-US"/>
              </w:rPr>
            </w:pP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τ</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τ</m:t>
                    </m:r>
                  </m:sup>
                  <m:e>
                    <m:r>
                      <w:rPr>
                        <w:rFonts w:ascii="Cambria Math" w:hAnsi="Cambria Math"/>
                        <w:lang w:val="en-US"/>
                      </w:rPr>
                      <m:t>σ</m:t>
                    </m:r>
                    <m:d>
                      <m:dPr>
                        <m:ctrlPr>
                          <w:rPr>
                            <w:rFonts w:ascii="Cambria Math" w:hAnsi="Cambria Math"/>
                            <w:i/>
                            <w:lang w:val="en-US"/>
                          </w:rPr>
                        </m:ctrlPr>
                      </m:dPr>
                      <m:e>
                        <m:r>
                          <w:rPr>
                            <w:rFonts w:ascii="Cambria Math" w:hAnsi="Cambria Math"/>
                            <w:lang w:val="en-US"/>
                          </w:rPr>
                          <m:t>ξ</m:t>
                        </m:r>
                      </m:e>
                    </m:d>
                    <m:r>
                      <w:rPr>
                        <w:rFonts w:ascii="Cambria Math" w:hAnsi="Cambria Math"/>
                        <w:lang w:val="en-US"/>
                      </w:rPr>
                      <m:t>λ</m:t>
                    </m:r>
                    <m:d>
                      <m:dPr>
                        <m:ctrlPr>
                          <w:rPr>
                            <w:rFonts w:ascii="Cambria Math" w:hAnsi="Cambria Math"/>
                            <w:i/>
                            <w:lang w:val="en-US"/>
                          </w:rPr>
                        </m:ctrlPr>
                      </m:dPr>
                      <m:e>
                        <m:r>
                          <w:rPr>
                            <w:rFonts w:ascii="Cambria Math" w:hAnsi="Cambria Math"/>
                            <w:lang w:val="en-US"/>
                          </w:rPr>
                          <m:t>τ-ξ</m:t>
                        </m:r>
                      </m:e>
                    </m:d>
                    <m:r>
                      <w:rPr>
                        <w:rFonts w:ascii="Cambria Math" w:hAnsi="Cambria Math"/>
                        <w:lang w:val="en-US"/>
                      </w:rPr>
                      <m:t>dξ</m:t>
                    </m:r>
                  </m:e>
                </m:nary>
              </m:oMath>
            </m:oMathPara>
          </w:p>
        </w:tc>
        <w:tc>
          <w:tcPr>
            <w:tcW w:w="935" w:type="dxa"/>
            <w:vAlign w:val="center"/>
          </w:tcPr>
          <w:p w14:paraId="7FFDBE89" w14:textId="55658138" w:rsidR="00A446F7" w:rsidRPr="00F04787" w:rsidRDefault="00A446F7" w:rsidP="001B626F">
            <w:pPr>
              <w:jc w:val="center"/>
              <w:rPr>
                <w:lang w:val="en-US"/>
              </w:rPr>
            </w:pPr>
            <m:oMathPara>
              <m:oMath>
                <m:r>
                  <w:rPr>
                    <w:rFonts w:ascii="Cambria Math" w:hAnsi="Cambria Math"/>
                    <w:lang w:val="en-US"/>
                  </w:rPr>
                  <m:t>(15)</m:t>
                </m:r>
              </m:oMath>
            </m:oMathPara>
          </w:p>
        </w:tc>
      </w:tr>
    </w:tbl>
    <w:p w14:paraId="46BAED89" w14:textId="77777777" w:rsidR="00861C80" w:rsidRPr="00F04787" w:rsidRDefault="00861C80" w:rsidP="00A446F7">
      <w:pPr>
        <w:rPr>
          <w:lang w:val="en-US"/>
        </w:rPr>
      </w:pPr>
    </w:p>
    <w:p w14:paraId="5754BEE0" w14:textId="2C9874DE" w:rsidR="00A446F7" w:rsidRPr="00F04787" w:rsidRDefault="00A446F7" w:rsidP="00A446F7">
      <w:pPr>
        <w:rPr>
          <w:lang w:val="en-US"/>
        </w:rPr>
      </w:pPr>
      <w:r w:rsidRPr="00F04787">
        <w:rPr>
          <w:lang w:val="en-US"/>
        </w:rPr>
        <w:lastRenderedPageBreak/>
        <w:t xml:space="preserve">where </w:t>
      </w:r>
      <m:oMath>
        <m:r>
          <w:rPr>
            <w:rFonts w:ascii="Cambria Math" w:hAnsi="Cambria Math"/>
            <w:lang w:val="en-US"/>
          </w:rPr>
          <m:t>σ</m:t>
        </m:r>
        <m:d>
          <m:dPr>
            <m:ctrlPr>
              <w:rPr>
                <w:rFonts w:ascii="Cambria Math" w:hAnsi="Cambria Math"/>
                <w:i/>
                <w:lang w:val="en-US"/>
              </w:rPr>
            </m:ctrlPr>
          </m:dPr>
          <m:e>
            <m:r>
              <w:rPr>
                <w:rFonts w:ascii="Cambria Math" w:hAnsi="Cambria Math"/>
                <w:lang w:val="en-US"/>
              </w:rPr>
              <m:t>τ</m:t>
            </m:r>
          </m:e>
        </m:d>
      </m:oMath>
      <w:r w:rsidRPr="00F04787">
        <w:rPr>
          <w:lang w:val="en-US"/>
        </w:rPr>
        <w:t xml:space="preserve"> is the probability of symptom onset </w:t>
      </w:r>
      <w:r w:rsidR="000206A9" w:rsidRPr="00F04787">
        <w:rPr>
          <w:lang w:val="en-US"/>
        </w:rPr>
        <w:t xml:space="preserve">on day </w:t>
      </w:r>
      <m:oMath>
        <m:r>
          <w:rPr>
            <w:rFonts w:ascii="Cambria Math" w:hAnsi="Cambria Math"/>
            <w:lang w:val="en-US"/>
          </w:rPr>
          <m:t>τ</m:t>
        </m:r>
      </m:oMath>
      <w:r w:rsidRPr="00F04787">
        <w:rPr>
          <w:lang w:val="en-US"/>
        </w:rPr>
        <w:t xml:space="preserve"> since infection and </w:t>
      </w:r>
      <m:oMath>
        <m:r>
          <w:rPr>
            <w:rFonts w:ascii="Cambria Math" w:hAnsi="Cambria Math"/>
            <w:lang w:val="en-US"/>
          </w:rPr>
          <m:t>λ</m:t>
        </m:r>
        <m:d>
          <m:dPr>
            <m:ctrlPr>
              <w:rPr>
                <w:rFonts w:ascii="Cambria Math" w:hAnsi="Cambria Math"/>
                <w:i/>
                <w:lang w:val="en-US"/>
              </w:rPr>
            </m:ctrlPr>
          </m:dPr>
          <m:e>
            <m:r>
              <w:rPr>
                <w:rFonts w:ascii="Cambria Math" w:hAnsi="Cambria Math"/>
                <w:lang w:val="en-US"/>
              </w:rPr>
              <m:t>ν</m:t>
            </m:r>
          </m:e>
        </m:d>
      </m:oMath>
      <w:r w:rsidRPr="00F04787">
        <w:rPr>
          <w:lang w:val="en-US"/>
        </w:rPr>
        <w:t xml:space="preserve"> is probability of symptomatic testing </w:t>
      </w:r>
      <w:r w:rsidR="000206A9" w:rsidRPr="00F04787">
        <w:rPr>
          <w:lang w:val="en-US"/>
        </w:rPr>
        <w:t>on day</w:t>
      </w:r>
      <w:r w:rsidRPr="00F04787">
        <w:rPr>
          <w:lang w:val="en-US"/>
        </w:rPr>
        <w:t xml:space="preserve"> </w:t>
      </w:r>
      <m:oMath>
        <m:r>
          <w:rPr>
            <w:rFonts w:ascii="Cambria Math" w:hAnsi="Cambria Math"/>
            <w:lang w:val="en-US"/>
          </w:rPr>
          <m:t>ν</m:t>
        </m:r>
      </m:oMath>
      <w:r w:rsidRPr="00F04787">
        <w:rPr>
          <w:lang w:val="en-US"/>
        </w:rPr>
        <w:t xml:space="preserve"> since symptom onse</w:t>
      </w:r>
      <w:r w:rsidR="00747736" w:rsidRPr="00F04787">
        <w:rPr>
          <w:lang w:val="en-US"/>
        </w:rPr>
        <w:t>t.</w:t>
      </w:r>
      <w:r w:rsidRPr="00F04787">
        <w:rPr>
          <w:lang w:val="en-US"/>
        </w:rPr>
        <w:t xml:space="preserve"> </w:t>
      </w: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σ</m:t>
            </m:r>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oMath>
      <w:r w:rsidRPr="00F04787">
        <w:rPr>
          <w:lang w:val="en-US"/>
        </w:rPr>
        <w:t xml:space="preserve"> can be less than one and is equal to the probability of a symptomatic infection</w:t>
      </w:r>
      <w:r w:rsidR="000206A9" w:rsidRPr="00F04787">
        <w:rPr>
          <w:lang w:val="en-US"/>
        </w:rPr>
        <w:t xml:space="preserve">: </w:t>
      </w: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σ</m:t>
            </m:r>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r>
          <w:rPr>
            <w:rFonts w:ascii="Cambria Math" w:hAnsi="Cambria Math"/>
            <w:lang w:val="en-US"/>
          </w:rPr>
          <m:t>=1-</m:t>
        </m:r>
        <m:sSub>
          <m:sSubPr>
            <m:ctrlPr>
              <w:rPr>
                <w:rFonts w:ascii="Cambria Math" w:hAnsi="Cambria Math"/>
                <w:i/>
                <w:lang w:val="en-US"/>
              </w:rPr>
            </m:ctrlPr>
          </m:sSubPr>
          <m:e>
            <m:r>
              <w:rPr>
                <w:rFonts w:ascii="Cambria Math" w:hAnsi="Cambria Math"/>
                <w:lang w:val="en-US"/>
              </w:rPr>
              <m:t>p</m:t>
            </m:r>
          </m:e>
          <m:sub>
            <m:r>
              <m:rPr>
                <m:nor/>
              </m:rPr>
              <w:rPr>
                <w:rFonts w:ascii="Cambria Math" w:hAnsi="Cambria Math"/>
                <w:lang w:val="en-US"/>
              </w:rPr>
              <m:t>asymptomatic</m:t>
            </m:r>
          </m:sub>
        </m:sSub>
      </m:oMath>
      <w:r w:rsidR="000206A9" w:rsidRPr="00F04787">
        <w:rPr>
          <w:rFonts w:eastAsiaTheme="minorEastAsia"/>
          <w:lang w:val="en-US"/>
        </w:rPr>
        <w:t xml:space="preserve"> where </w:t>
      </w:r>
      <m:oMath>
        <m:sSub>
          <m:sSubPr>
            <m:ctrlPr>
              <w:rPr>
                <w:rFonts w:ascii="Cambria Math" w:hAnsi="Cambria Math"/>
                <w:i/>
                <w:lang w:val="en-US"/>
              </w:rPr>
            </m:ctrlPr>
          </m:sSubPr>
          <m:e>
            <m:r>
              <w:rPr>
                <w:rFonts w:ascii="Cambria Math" w:hAnsi="Cambria Math"/>
                <w:lang w:val="en-US"/>
              </w:rPr>
              <m:t>p</m:t>
            </m:r>
          </m:e>
          <m:sub>
            <m:r>
              <m:rPr>
                <m:nor/>
              </m:rPr>
              <w:rPr>
                <w:rFonts w:ascii="Cambria Math" w:hAnsi="Cambria Math"/>
                <w:lang w:val="en-US"/>
              </w:rPr>
              <m:t>asymptomatic</m:t>
            </m:r>
          </m:sub>
        </m:sSub>
      </m:oMath>
      <w:r w:rsidR="000206A9" w:rsidRPr="00F04787">
        <w:rPr>
          <w:rFonts w:eastAsiaTheme="minorEastAsia"/>
          <w:lang w:val="en-US"/>
        </w:rPr>
        <w:t xml:space="preserve"> is expected probability of asymptomatic infection which we assumed to 16% for influenza infections</w:t>
      </w:r>
      <w:r w:rsidRPr="00F04787">
        <w:rPr>
          <w:lang w:val="en-US"/>
        </w:rPr>
        <w:t>.</w:t>
      </w:r>
      <w:r w:rsidR="000206A9" w:rsidRPr="00F04787">
        <w:rPr>
          <w:lang w:val="en-US"/>
        </w:rPr>
        <w:fldChar w:fldCharType="begin"/>
      </w:r>
      <w:r w:rsidR="007508CC" w:rsidRPr="00F04787">
        <w:rPr>
          <w:lang w:val="en-US"/>
        </w:rPr>
        <w:instrText xml:space="preserve"> ADDIN ZOTERO_ITEM CSL_CITATION {"citationID":"JTgFijBL","properties":{"formattedCitation":"\\super 20\\nosupersub{}","plainCitation":"20","noteIndex":0},"citationItems":[{"id":110,"uris":["http://zotero.org/users/local/0pdZPGmr/items/5PRSKE77"],"itemData":{"id":110,"type":"article-journal","abstract":"Background: \n\nThe fraction of persons with influenza virus infection, who do not report any signs or symptoms throughout the course of infection is referred to as the asymptomatic fraction.\n\nMethods:\n\nWe conducted a systematic review and meta-analysis of published estimates of the asymptomatic fraction of influenza virus infections. We found that estimates of the asymptomatic fraction were reported from two different types of studies: first, outbreak investigations with short-term follow-up of potentially exposed persons and virologic confirmation of infections; second, studies conducted across epidemics typically evaluating rates of acute respiratory illness among persons with serologic evidence of infection, in some cases adjusting for background rates of illness from other causes.\n\nResults:\n\nMost point estimates from studies of outbreak investigations fell in the range 4%–28% with low heterogeneity (I2 = 0%) with a pooled mean of 16% (95% confidence interval = 13%, 19%). Estimates from the studies conducted across epidemics without adjustment were very heterogeneous (point estimates 0%–100%; I 2 = 97%), while estimates from studies that adjusted for background illnesses were more consistent with point estimates in the range 65%–85% and moderate heterogeneity (I2 = 58%). Variation in estimates could be partially explained by differences in study design and analysis, and inclusion of mild symptomatic illnesses as asymptomatic in some studies.\n\nConclusions:\n\nEstimates of the asymptomatic fraction are affected by the study design, and the definitions of infection and symptomatic illness. Considerable differences between the asymptomatic fraction of infections confirmed by virologic versus serologic testing may indicate fundamental differences in the interpretation of these two indicators.","container-title":"Epidemiology","ISSN":"1044-3983","issue":"6","title":"Review Article: The Fraction of Influenza Virus Infections That Are Asymptomatic: A Systematic Review and Meta-analysis","URL":"https://journals.lww.com/epidem/fulltext/2015/11000/review_article__the_fraction_of_influenza_virus.13.aspx","volume":"26","author":[{"family":"Leung","given":"Nancy H. L."},{"family":"Xu","given":"Cuiling"},{"family":"Ip","given":"Dennis K. M."},{"family":"Cowling","given":"Benjamin J."}],"issued":{"date-parts":[["2015"]]}}}],"schema":"https://github.com/citation-style-language/schema/raw/master/csl-citation.json"} </w:instrText>
      </w:r>
      <w:r w:rsidR="000206A9" w:rsidRPr="00F04787">
        <w:rPr>
          <w:lang w:val="en-US"/>
        </w:rPr>
        <w:fldChar w:fldCharType="separate"/>
      </w:r>
      <w:r w:rsidR="007508CC" w:rsidRPr="00F04787">
        <w:rPr>
          <w:vertAlign w:val="superscript"/>
          <w:lang w:val="en-US"/>
        </w:rPr>
        <w:t>20</w:t>
      </w:r>
      <w:r w:rsidR="000206A9" w:rsidRPr="00F04787">
        <w:rPr>
          <w:lang w:val="en-US"/>
        </w:rPr>
        <w:fldChar w:fldCharType="end"/>
      </w:r>
      <w:r w:rsidRPr="00F04787">
        <w:rPr>
          <w:lang w:val="en-US"/>
        </w:rPr>
        <w:t xml:space="preserve"> On the other hand, </w:t>
      </w: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λ</m:t>
            </m:r>
            <m:d>
              <m:dPr>
                <m:ctrlPr>
                  <w:rPr>
                    <w:rFonts w:ascii="Cambria Math" w:hAnsi="Cambria Math"/>
                    <w:i/>
                    <w:lang w:val="en-US"/>
                  </w:rPr>
                </m:ctrlPr>
              </m:dPr>
              <m:e>
                <m:r>
                  <w:rPr>
                    <w:rFonts w:ascii="Cambria Math" w:hAnsi="Cambria Math"/>
                    <w:lang w:val="en-US"/>
                  </w:rPr>
                  <m:t>θ</m:t>
                </m:r>
              </m:e>
            </m:d>
            <m:r>
              <w:rPr>
                <w:rFonts w:ascii="Cambria Math" w:hAnsi="Cambria Math"/>
                <w:lang w:val="en-US"/>
              </w:rPr>
              <m:t>dθ</m:t>
            </m:r>
          </m:e>
        </m:nary>
      </m:oMath>
      <w:r w:rsidRPr="00F04787">
        <w:rPr>
          <w:lang w:val="en-US"/>
        </w:rPr>
        <w:t xml:space="preserve"> is equal to the willingness of testing provided that all individuals who seek testing will be tested</w:t>
      </w:r>
      <w:r w:rsidR="00E07FC8" w:rsidRPr="00F04787">
        <w:rPr>
          <w:lang w:val="en-US"/>
        </w:rPr>
        <w:t xml:space="preserve"> which can also be less than one</w:t>
      </w:r>
      <w:r w:rsidRPr="00F04787">
        <w:rPr>
          <w:lang w:val="en-US"/>
        </w:rPr>
        <w:t xml:space="preserve">. In turn, the expected number of infected individuals </w:t>
      </w:r>
      <m:oMath>
        <m:r>
          <w:rPr>
            <w:rFonts w:ascii="Cambria Math" w:hAnsi="Cambria Math"/>
            <w:lang w:val="en-US"/>
          </w:rPr>
          <m:t>T</m:t>
        </m:r>
        <m:d>
          <m:dPr>
            <m:ctrlPr>
              <w:rPr>
                <w:rFonts w:ascii="Cambria Math" w:hAnsi="Cambria Math"/>
                <w:i/>
                <w:lang w:val="en-US"/>
              </w:rPr>
            </m:ctrlPr>
          </m:dPr>
          <m:e>
            <m:r>
              <w:rPr>
                <w:rFonts w:ascii="Cambria Math" w:hAnsi="Cambria Math"/>
                <w:lang w:val="en-US"/>
              </w:rPr>
              <m:t>t</m:t>
            </m:r>
          </m:e>
        </m:d>
      </m:oMath>
      <w:r w:rsidRPr="00F04787">
        <w:rPr>
          <w:lang w:val="en-US"/>
        </w:rPr>
        <w:t xml:space="preserve"> that </w:t>
      </w:r>
      <w:r w:rsidR="00C833F4" w:rsidRPr="00F04787">
        <w:rPr>
          <w:lang w:val="en-US"/>
        </w:rPr>
        <w:t xml:space="preserve">are positively diagnosed </w:t>
      </w:r>
      <w:r w:rsidRPr="00F04787">
        <w:rPr>
          <w:lang w:val="en-US"/>
        </w:rPr>
        <w:t>a</w:t>
      </w:r>
      <w:r w:rsidR="00E05143" w:rsidRPr="00F04787">
        <w:rPr>
          <w:lang w:val="en-US"/>
        </w:rPr>
        <w:t>t</w:t>
      </w:r>
      <w:r w:rsidRPr="00F04787">
        <w:rPr>
          <w:lang w:val="en-US"/>
        </w:rPr>
        <w:t xml:space="preserve"> time </w:t>
      </w:r>
      <m:oMath>
        <m:r>
          <w:rPr>
            <w:rFonts w:ascii="Cambria Math" w:hAnsi="Cambria Math"/>
            <w:lang w:val="en-US"/>
          </w:rPr>
          <m:t>t</m:t>
        </m:r>
      </m:oMath>
      <w:r w:rsidRPr="00F04787">
        <w:rPr>
          <w:lang w:val="en-US"/>
        </w:rPr>
        <w:t xml:space="preserve"> is: </w:t>
      </w:r>
    </w:p>
    <w:p w14:paraId="45E095EF" w14:textId="77777777" w:rsidR="00861C80" w:rsidRPr="00F04787" w:rsidRDefault="00861C80" w:rsidP="00A446F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35"/>
      </w:tblGrid>
      <w:tr w:rsidR="00A446F7" w:rsidRPr="00F04787" w14:paraId="0FD3462B" w14:textId="77777777" w:rsidTr="001B626F">
        <w:tc>
          <w:tcPr>
            <w:tcW w:w="8075" w:type="dxa"/>
            <w:vAlign w:val="center"/>
          </w:tcPr>
          <w:p w14:paraId="692B8871" w14:textId="0CA0D11E" w:rsidR="00A446F7" w:rsidRPr="00F04787" w:rsidRDefault="00A446F7" w:rsidP="001B626F">
            <w:pPr>
              <w:jc w:val="center"/>
              <w:rPr>
                <w:lang w:val="en-US"/>
              </w:rPr>
            </w:pPr>
            <m:oMathPara>
              <m:oMath>
                <m:r>
                  <w:rPr>
                    <w:rFonts w:ascii="Cambria Math" w:hAnsi="Cambria Math"/>
                    <w:lang w:val="en-US"/>
                  </w:rPr>
                  <m:t>T</m:t>
                </m:r>
                <m:d>
                  <m:dPr>
                    <m:ctrlPr>
                      <w:rPr>
                        <w:rFonts w:ascii="Cambria Math" w:hAnsi="Cambria Math"/>
                        <w:i/>
                        <w:lang w:val="en-US"/>
                      </w:rPr>
                    </m:ctrlPr>
                  </m:dPr>
                  <m:e>
                    <m:r>
                      <w:rPr>
                        <w:rFonts w:ascii="Cambria Math" w:hAnsi="Cambria Math"/>
                        <w:lang w:val="en-US"/>
                      </w:rPr>
                      <m:t>t</m:t>
                    </m:r>
                  </m:e>
                </m:d>
                <m:r>
                  <w:rPr>
                    <w:rFonts w:ascii="Cambria Math" w:hAnsi="Cambria Math"/>
                    <w:lang w:val="en-US"/>
                  </w:rPr>
                  <m:t>=ψ</m:t>
                </m:r>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d</m:t>
                    </m:r>
                    <m:d>
                      <m:dPr>
                        <m:ctrlPr>
                          <w:rPr>
                            <w:rFonts w:ascii="Cambria Math" w:hAnsi="Cambria Math"/>
                            <w:i/>
                            <w:lang w:val="en-US"/>
                          </w:rPr>
                        </m:ctrlPr>
                      </m:dPr>
                      <m:e>
                        <m:r>
                          <w:rPr>
                            <w:rFonts w:ascii="Cambria Math" w:hAnsi="Cambria Math"/>
                            <w:lang w:val="en-US"/>
                          </w:rPr>
                          <m:t>τ</m:t>
                        </m:r>
                      </m:e>
                    </m:d>
                    <m:r>
                      <w:rPr>
                        <w:rFonts w:ascii="Cambria Math" w:hAnsi="Cambria Math"/>
                        <w:lang w:val="en-US"/>
                      </w:rPr>
                      <m:t>I</m:t>
                    </m:r>
                    <m:d>
                      <m:dPr>
                        <m:ctrlPr>
                          <w:rPr>
                            <w:rFonts w:ascii="Cambria Math" w:hAnsi="Cambria Math"/>
                            <w:i/>
                            <w:lang w:val="en-US"/>
                          </w:rPr>
                        </m:ctrlPr>
                      </m:dPr>
                      <m:e>
                        <m:r>
                          <w:rPr>
                            <w:rFonts w:ascii="Cambria Math" w:hAnsi="Cambria Math"/>
                            <w:lang w:val="en-US"/>
                          </w:rPr>
                          <m:t>t-τ</m:t>
                        </m:r>
                      </m:e>
                    </m:d>
                    <m:r>
                      <w:rPr>
                        <w:rFonts w:ascii="Cambria Math" w:hAnsi="Cambria Math"/>
                        <w:lang w:val="en-US"/>
                      </w:rPr>
                      <m:t>dτ</m:t>
                    </m:r>
                  </m:e>
                </m:nary>
              </m:oMath>
            </m:oMathPara>
          </w:p>
        </w:tc>
        <w:tc>
          <w:tcPr>
            <w:tcW w:w="935" w:type="dxa"/>
            <w:vAlign w:val="center"/>
          </w:tcPr>
          <w:p w14:paraId="461E3490" w14:textId="56AF1792" w:rsidR="00A446F7" w:rsidRPr="00F04787" w:rsidRDefault="00A446F7" w:rsidP="001B626F">
            <w:pPr>
              <w:jc w:val="center"/>
              <w:rPr>
                <w:lang w:val="en-US"/>
              </w:rPr>
            </w:pPr>
            <m:oMathPara>
              <m:oMath>
                <m:r>
                  <w:rPr>
                    <w:rFonts w:ascii="Cambria Math" w:hAnsi="Cambria Math"/>
                    <w:lang w:val="en-US"/>
                  </w:rPr>
                  <m:t>(16)</m:t>
                </m:r>
              </m:oMath>
            </m:oMathPara>
          </w:p>
        </w:tc>
      </w:tr>
    </w:tbl>
    <w:p w14:paraId="0915E513" w14:textId="77777777" w:rsidR="00861C80" w:rsidRPr="00F04787" w:rsidRDefault="00861C80" w:rsidP="00A446F7">
      <w:pPr>
        <w:rPr>
          <w:lang w:val="en-US"/>
        </w:rPr>
      </w:pPr>
    </w:p>
    <w:p w14:paraId="6A1C29AC" w14:textId="437043FE" w:rsidR="00C833F4" w:rsidRPr="00F04787" w:rsidRDefault="00C833F4" w:rsidP="00A446F7">
      <w:pPr>
        <w:rPr>
          <w:lang w:val="en-US"/>
        </w:rPr>
      </w:pPr>
      <w:r w:rsidRPr="00F04787">
        <w:rPr>
          <w:lang w:val="en-US"/>
        </w:rPr>
        <w:t xml:space="preserve">where </w:t>
      </w:r>
      <m:oMath>
        <m:r>
          <w:rPr>
            <w:rFonts w:ascii="Cambria Math" w:hAnsi="Cambria Math"/>
            <w:lang w:val="en-US"/>
          </w:rPr>
          <m:t>ψ</m:t>
        </m:r>
      </m:oMath>
      <w:r w:rsidRPr="00F04787">
        <w:rPr>
          <w:lang w:val="en-US"/>
        </w:rPr>
        <w:t xml:space="preserve"> is the sensitivity of the diagnostic test. </w:t>
      </w:r>
    </w:p>
    <w:p w14:paraId="0BDF9D23" w14:textId="77777777" w:rsidR="00451795" w:rsidRPr="00F04787" w:rsidRDefault="00451795" w:rsidP="00A446F7">
      <w:pPr>
        <w:rPr>
          <w:lang w:val="en-US"/>
        </w:rPr>
      </w:pPr>
    </w:p>
    <w:p w14:paraId="37378888" w14:textId="0D99D735" w:rsidR="00A446F7" w:rsidRPr="00F04787" w:rsidRDefault="00A446F7" w:rsidP="00A446F7">
      <w:pPr>
        <w:rPr>
          <w:lang w:val="en-US"/>
        </w:rPr>
      </w:pPr>
      <w:r w:rsidRPr="00F04787">
        <w:rPr>
          <w:lang w:val="en-US"/>
        </w:rPr>
        <w:t xml:space="preserve">In </w:t>
      </w:r>
      <w:r w:rsidR="00EB1B53" w:rsidRPr="00F04787">
        <w:rPr>
          <w:lang w:val="en-US"/>
        </w:rPr>
        <w:t>the</w:t>
      </w:r>
      <w:r w:rsidRPr="00F04787">
        <w:rPr>
          <w:lang w:val="en-US"/>
        </w:rPr>
        <w:t xml:space="preserve"> discrete form, assuming that </w:t>
      </w:r>
      <m:oMath>
        <m:r>
          <w:rPr>
            <w:rFonts w:ascii="Cambria Math" w:hAnsi="Cambria Math"/>
            <w:lang w:val="en-US"/>
          </w:rPr>
          <m:t>d</m:t>
        </m:r>
        <m:d>
          <m:dPr>
            <m:ctrlPr>
              <w:rPr>
                <w:rFonts w:ascii="Cambria Math" w:hAnsi="Cambria Math"/>
                <w:i/>
                <w:lang w:val="en-US"/>
              </w:rPr>
            </m:ctrlPr>
          </m:dPr>
          <m:e>
            <m:r>
              <w:rPr>
                <w:rFonts w:ascii="Cambria Math" w:hAnsi="Cambria Math"/>
                <w:lang w:val="en-US"/>
              </w:rPr>
              <m:t>τ</m:t>
            </m:r>
          </m:e>
        </m:d>
      </m:oMath>
      <w:r w:rsidRPr="00F04787">
        <w:rPr>
          <w:lang w:val="en-US"/>
        </w:rPr>
        <w:t xml:space="preserve"> is the same for all</w:t>
      </w:r>
      <w:r w:rsidR="00FB1595" w:rsidRPr="00F04787">
        <w:rPr>
          <w:lang w:val="en-US"/>
        </w:rPr>
        <w:t xml:space="preserve"> age</w:t>
      </w:r>
      <w:r w:rsidRPr="00F04787">
        <w:rPr>
          <w:lang w:val="en-US"/>
        </w:rPr>
        <w:t xml:space="preserve"> groups, the expected number of</w:t>
      </w:r>
      <w:r w:rsidR="00451795" w:rsidRPr="00F04787">
        <w:rPr>
          <w:lang w:val="en-US"/>
        </w:rPr>
        <w:t xml:space="preserve"> infected</w:t>
      </w:r>
      <w:r w:rsidRPr="00F04787">
        <w:rPr>
          <w:lang w:val="en-US"/>
        </w:rPr>
        <w:t xml:space="preserve"> individuals </w:t>
      </w:r>
      <w:r w:rsidR="00451795" w:rsidRPr="00F04787">
        <w:rPr>
          <w:lang w:val="en-US"/>
        </w:rPr>
        <w:t>of age</w:t>
      </w:r>
      <w:r w:rsidRPr="00F04787">
        <w:rPr>
          <w:lang w:val="en-US"/>
        </w:rPr>
        <w:t xml:space="preserve"> group </w:t>
      </w:r>
      <m:oMath>
        <m:r>
          <w:rPr>
            <w:rFonts w:ascii="Cambria Math" w:hAnsi="Cambria Math"/>
            <w:lang w:val="en-US"/>
          </w:rPr>
          <m:t>a</m:t>
        </m:r>
      </m:oMath>
      <w:r w:rsidR="00451795" w:rsidRPr="00F04787">
        <w:rPr>
          <w:rFonts w:eastAsiaTheme="minorEastAsia"/>
          <w:lang w:val="en-US"/>
        </w:rPr>
        <w:t xml:space="preserve"> with infection age of </w:t>
      </w:r>
      <m:oMath>
        <m:r>
          <w:rPr>
            <w:rFonts w:ascii="Cambria Math" w:hAnsi="Cambria Math"/>
            <w:lang w:val="en-US"/>
          </w:rPr>
          <m:t>τ</m:t>
        </m:r>
      </m:oMath>
      <w:r w:rsidR="00451795" w:rsidRPr="00F04787">
        <w:rPr>
          <w:rFonts w:eastAsiaTheme="minorEastAsia"/>
          <w:lang w:val="en-US"/>
        </w:rPr>
        <w:t xml:space="preserve"> days</w:t>
      </w:r>
      <w:r w:rsidRPr="00F04787">
        <w:rPr>
          <w:lang w:val="en-US"/>
        </w:rPr>
        <w:t xml:space="preserve"> </w:t>
      </w:r>
      <w:r w:rsidR="009E6A76" w:rsidRPr="00F04787">
        <w:rPr>
          <w:lang w:val="en-US"/>
        </w:rPr>
        <w:t>that</w:t>
      </w:r>
      <w:r w:rsidRPr="00F04787">
        <w:rPr>
          <w:lang w:val="en-US"/>
        </w:rPr>
        <w:t xml:space="preserve"> are </w:t>
      </w:r>
      <w:r w:rsidR="00B91315" w:rsidRPr="00F04787">
        <w:rPr>
          <w:lang w:val="en-US"/>
        </w:rPr>
        <w:t>positively tested</w:t>
      </w:r>
      <w:r w:rsidRPr="00F04787">
        <w:rPr>
          <w:lang w:val="en-US"/>
        </w:rPr>
        <w:t xml:space="preserve"> on day </w:t>
      </w:r>
      <m:oMath>
        <m:r>
          <w:rPr>
            <w:rFonts w:ascii="Cambria Math" w:hAnsi="Cambria Math"/>
            <w:lang w:val="en-US"/>
          </w:rPr>
          <m:t>t</m:t>
        </m:r>
      </m:oMath>
      <w:r w:rsidRPr="00F04787">
        <w:rPr>
          <w:lang w:val="en-US"/>
        </w:rPr>
        <w:t xml:space="preserve"> is</w:t>
      </w:r>
      <w:r w:rsidR="001A3B95" w:rsidRPr="00F04787">
        <w:rPr>
          <w:lang w:val="en-US"/>
        </w:rPr>
        <w:t xml:space="preserve"> therefore</w:t>
      </w:r>
      <w:r w:rsidRPr="00F04787">
        <w:rPr>
          <w:lang w:val="en-US"/>
        </w:rPr>
        <w:t xml:space="preserve">: </w:t>
      </w:r>
    </w:p>
    <w:p w14:paraId="62FF82A9" w14:textId="77777777" w:rsidR="00861C80" w:rsidRPr="00F04787" w:rsidRDefault="00861C80" w:rsidP="00A446F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35"/>
      </w:tblGrid>
      <w:tr w:rsidR="00A446F7" w:rsidRPr="00F04787" w14:paraId="6DC1767F" w14:textId="77777777" w:rsidTr="001B626F">
        <w:tc>
          <w:tcPr>
            <w:tcW w:w="8075" w:type="dxa"/>
            <w:vAlign w:val="center"/>
          </w:tcPr>
          <w:p w14:paraId="687DA9FD" w14:textId="3DD44982" w:rsidR="00A446F7" w:rsidRPr="00F04787" w:rsidRDefault="00C3343E" w:rsidP="001B626F">
            <w:pPr>
              <w:jc w:val="center"/>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t,a</m:t>
                    </m:r>
                  </m:sub>
                </m:sSub>
                <m:r>
                  <m:rPr>
                    <m:aln/>
                  </m:rPr>
                  <w:rPr>
                    <w:rFonts w:ascii="Cambria Math" w:hAnsi="Cambria Math"/>
                    <w:lang w:val="en-US"/>
                  </w:rPr>
                  <m:t>=ψ</m:t>
                </m:r>
                <m:nary>
                  <m:naryPr>
                    <m:chr m:val="∑"/>
                    <m:limLoc m:val="undOvr"/>
                    <m:ctrlPr>
                      <w:rPr>
                        <w:rFonts w:ascii="Cambria Math" w:hAnsi="Cambria Math"/>
                        <w:i/>
                        <w:lang w:val="en-US"/>
                      </w:rPr>
                    </m:ctrlPr>
                  </m:naryPr>
                  <m:sub>
                    <m:r>
                      <w:rPr>
                        <w:rFonts w:ascii="Cambria Math" w:hAnsi="Cambria Math"/>
                        <w:lang w:val="en-US"/>
                      </w:rPr>
                      <m:t>τ=0</m:t>
                    </m:r>
                  </m:sub>
                  <m:sup>
                    <m:r>
                      <w:rPr>
                        <w:rFonts w:ascii="Cambria Math" w:hAnsi="Cambria Math"/>
                        <w:lang w:val="en-US"/>
                      </w:rPr>
                      <m:t>t-1</m:t>
                    </m:r>
                  </m:sup>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t-τ</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τ</m:t>
                        </m:r>
                        <m:r>
                          <m:rPr>
                            <m:sty m:val="p"/>
                          </m:rPr>
                          <w:rPr>
                            <w:rFonts w:ascii="Cambria Math" w:hAnsi="Cambria Math"/>
                            <w:lang w:val="en-US"/>
                          </w:rPr>
                          <m:t>,</m:t>
                        </m:r>
                        <m:r>
                          <w:rPr>
                            <w:rFonts w:ascii="Cambria Math" w:hAnsi="Cambria Math"/>
                            <w:lang w:val="en-US"/>
                          </w:rPr>
                          <m:t>y=0,a,d=0</m:t>
                        </m:r>
                      </m:sub>
                    </m:sSub>
                  </m:e>
                </m:nary>
                <m:r>
                  <w:rPr>
                    <w:rFonts w:ascii="Cambria Math" w:hAnsi="Cambria Math"/>
                    <w:lang w:val="en-US"/>
                  </w:rPr>
                  <m:t>=ψ</m:t>
                </m:r>
                <m:nary>
                  <m:naryPr>
                    <m:chr m:val="∑"/>
                    <m:limLoc m:val="undOvr"/>
                    <m:ctrlPr>
                      <w:rPr>
                        <w:rFonts w:ascii="Cambria Math" w:hAnsi="Cambria Math"/>
                        <w:i/>
                        <w:lang w:val="en-US"/>
                      </w:rPr>
                    </m:ctrlPr>
                  </m:naryPr>
                  <m:sub>
                    <m:r>
                      <w:rPr>
                        <w:rFonts w:ascii="Cambria Math" w:hAnsi="Cambria Math"/>
                        <w:lang w:val="en-US"/>
                      </w:rPr>
                      <m:t>τ=0</m:t>
                    </m:r>
                  </m:sub>
                  <m:sup>
                    <m:r>
                      <w:rPr>
                        <w:rFonts w:ascii="Cambria Math" w:hAnsi="Cambria Math"/>
                        <w:lang w:val="en-US"/>
                      </w:rPr>
                      <m:t>t-1</m:t>
                    </m:r>
                  </m:sup>
                  <m:e>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 xml:space="preserve">ξ=0 </m:t>
                            </m:r>
                          </m:sub>
                          <m:sup>
                            <m:r>
                              <w:rPr>
                                <w:rFonts w:ascii="Cambria Math" w:hAnsi="Cambria Math"/>
                                <w:lang w:val="en-US"/>
                              </w:rPr>
                              <m:t>t-τ</m:t>
                            </m:r>
                          </m:sup>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ξ</m:t>
                                </m:r>
                              </m:sub>
                            </m:sSub>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t-τ-ξ</m:t>
                                </m:r>
                              </m:sub>
                            </m:sSub>
                          </m:e>
                        </m:nary>
                      </m:e>
                    </m:d>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τ</m:t>
                        </m:r>
                        <m:r>
                          <m:rPr>
                            <m:sty m:val="p"/>
                          </m:rPr>
                          <w:rPr>
                            <w:rFonts w:ascii="Cambria Math" w:hAnsi="Cambria Math"/>
                            <w:lang w:val="en-US"/>
                          </w:rPr>
                          <m:t>,</m:t>
                        </m:r>
                        <m:r>
                          <w:rPr>
                            <w:rFonts w:ascii="Cambria Math" w:hAnsi="Cambria Math"/>
                            <w:lang w:val="en-US"/>
                          </w:rPr>
                          <m:t>y=0,a,d=0</m:t>
                        </m:r>
                      </m:sub>
                    </m:sSub>
                  </m:e>
                </m:nary>
              </m:oMath>
            </m:oMathPara>
          </w:p>
        </w:tc>
        <w:tc>
          <w:tcPr>
            <w:tcW w:w="935" w:type="dxa"/>
            <w:vAlign w:val="center"/>
          </w:tcPr>
          <w:p w14:paraId="37EF2DEC" w14:textId="1C2F5B27" w:rsidR="00A446F7" w:rsidRPr="00F04787" w:rsidRDefault="00A446F7" w:rsidP="001B626F">
            <w:pPr>
              <w:jc w:val="center"/>
              <w:rPr>
                <w:lang w:val="en-US"/>
              </w:rPr>
            </w:pPr>
            <m:oMathPara>
              <m:oMath>
                <m:r>
                  <w:rPr>
                    <w:rFonts w:ascii="Cambria Math" w:hAnsi="Cambria Math"/>
                    <w:lang w:val="en-US"/>
                  </w:rPr>
                  <m:t>(17)</m:t>
                </m:r>
              </m:oMath>
            </m:oMathPara>
          </w:p>
        </w:tc>
      </w:tr>
    </w:tbl>
    <w:p w14:paraId="66777C26" w14:textId="730ACC96" w:rsidR="00861C80" w:rsidRPr="00F04787" w:rsidRDefault="00861C80" w:rsidP="00BD0AAF">
      <w:pPr>
        <w:rPr>
          <w:lang w:val="en-US"/>
        </w:rPr>
      </w:pPr>
    </w:p>
    <w:p w14:paraId="0498C16E" w14:textId="3B5F14EB" w:rsidR="00EB1B53" w:rsidRPr="00F04787" w:rsidRDefault="00A5578F" w:rsidP="00BD0AAF">
      <w:r w:rsidRPr="00F04787">
        <w:t>We assumed</w:t>
      </w:r>
      <w:r w:rsidR="00EB1B53" w:rsidRPr="00F04787">
        <w:t xml:space="preserve"> the ideal scenario where</w:t>
      </w:r>
      <w:r w:rsidRPr="00F04787">
        <w:t xml:space="preserve"> rapid diagnostic tests</w:t>
      </w:r>
      <w:r w:rsidR="009977DE" w:rsidRPr="00F04787">
        <w:t xml:space="preserve"> are used</w:t>
      </w:r>
      <w:r w:rsidR="00EB1B53" w:rsidRPr="00F04787">
        <w:t xml:space="preserve">, with no delay in obtaining results after testing, </w:t>
      </w:r>
      <w:r w:rsidR="009977DE" w:rsidRPr="00F04787">
        <w:t>and are widely</w:t>
      </w:r>
      <w:r w:rsidR="00EB1B53" w:rsidRPr="00F04787">
        <w:t xml:space="preserve"> available</w:t>
      </w:r>
      <w:r w:rsidR="009977DE" w:rsidRPr="00F04787">
        <w:t xml:space="preserve"> and</w:t>
      </w:r>
      <w:r w:rsidR="00EB1B53" w:rsidRPr="00F04787">
        <w:t xml:space="preserve"> accessible </w:t>
      </w:r>
      <w:r w:rsidR="009977DE" w:rsidRPr="00F04787">
        <w:t>to the whole population (i.e. no shortages)</w:t>
      </w:r>
      <w:r w:rsidRPr="00F04787">
        <w:t>.</w:t>
      </w:r>
      <w:r w:rsidR="00EB1B53" w:rsidRPr="00F04787">
        <w:t xml:space="preserve"> </w:t>
      </w:r>
    </w:p>
    <w:p w14:paraId="2BE48D70" w14:textId="77777777" w:rsidR="00EB1B53" w:rsidRPr="00F04787" w:rsidRDefault="00EB1B53" w:rsidP="00BD0AAF"/>
    <w:p w14:paraId="2439DA14" w14:textId="5E9C6899" w:rsidR="009E6A76" w:rsidRPr="00F04787" w:rsidRDefault="006265E6" w:rsidP="00BD0AAF">
      <w:r>
        <w:t>I</w:t>
      </w:r>
      <w:r w:rsidR="009E6A76" w:rsidRPr="00F04787">
        <w:t>nfected individuals</w:t>
      </w:r>
      <w:r>
        <w:t xml:space="preserve"> that test positive</w:t>
      </w:r>
      <w:r w:rsidR="009E6A76" w:rsidRPr="00F04787">
        <w:t xml:space="preserve"> may then be given antiviral</w:t>
      </w:r>
      <w:r w:rsidR="00134B19" w:rsidRPr="00F04787">
        <w:t xml:space="preserve"> </w:t>
      </w:r>
      <w:r w:rsidR="009E6A76" w:rsidRPr="00F04787">
        <w:t xml:space="preserve">that will change their infectiousness profile </w:t>
      </w:r>
      <m:oMath>
        <m:r>
          <w:rPr>
            <w:rFonts w:ascii="Cambria Math" w:hAnsi="Cambria Math"/>
          </w:rPr>
          <m:t>y</m:t>
        </m:r>
      </m:oMath>
      <w:r w:rsidR="009E6A76" w:rsidRPr="00F04787">
        <w:rPr>
          <w:rFonts w:eastAsiaTheme="minorEastAsia"/>
        </w:rPr>
        <w:t xml:space="preserve"> depending on the infection age </w:t>
      </w:r>
      <m:oMath>
        <m:r>
          <w:rPr>
            <w:rFonts w:ascii="Cambria Math" w:hAnsi="Cambria Math"/>
            <w:lang w:val="en-US"/>
          </w:rPr>
          <m:t>τ</m:t>
        </m:r>
      </m:oMath>
      <w:r w:rsidR="009E6A76" w:rsidRPr="00F04787">
        <w:rPr>
          <w:rFonts w:eastAsiaTheme="minorEastAsia"/>
          <w:lang w:val="en-US"/>
        </w:rPr>
        <w:t xml:space="preserve"> when the antiviral was administered</w:t>
      </w:r>
      <w:r w:rsidR="009E6A76" w:rsidRPr="00F04787">
        <w:t xml:space="preserve"> and whether or not the individual adhered to the treatment regime</w:t>
      </w:r>
      <w:r w:rsidR="00134B19" w:rsidRPr="00F04787">
        <w:t>. The number of test-and-treated individuals</w:t>
      </w:r>
      <w:r w:rsidR="00052441">
        <w:t xml:space="preserve">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treatment,τ,a</m:t>
            </m:r>
          </m:sub>
        </m:sSub>
      </m:oMath>
      <w:r w:rsidR="00052441">
        <w:rPr>
          <w:rFonts w:eastAsiaTheme="minorEastAsia"/>
          <w:lang w:val="en-US"/>
        </w:rPr>
        <w:t>)</w:t>
      </w:r>
      <w:r w:rsidR="00134B19" w:rsidRPr="00F04787">
        <w:t xml:space="preserve"> </w:t>
      </w:r>
      <w:r w:rsidR="00134B19" w:rsidRPr="00F04787">
        <w:rPr>
          <w:lang w:val="en-US"/>
        </w:rPr>
        <w:t xml:space="preserve">of age group </w:t>
      </w:r>
      <m:oMath>
        <m:r>
          <w:rPr>
            <w:rFonts w:ascii="Cambria Math" w:hAnsi="Cambria Math"/>
            <w:lang w:val="en-US"/>
          </w:rPr>
          <m:t>a</m:t>
        </m:r>
      </m:oMath>
      <w:r w:rsidR="00134B19" w:rsidRPr="00F04787">
        <w:rPr>
          <w:rFonts w:eastAsiaTheme="minorEastAsia"/>
          <w:lang w:val="en-US"/>
        </w:rPr>
        <w:t xml:space="preserve"> with infection age of </w:t>
      </w:r>
      <m:oMath>
        <m:r>
          <w:rPr>
            <w:rFonts w:ascii="Cambria Math" w:hAnsi="Cambria Math"/>
            <w:lang w:val="en-US"/>
          </w:rPr>
          <m:t>τ</m:t>
        </m:r>
      </m:oMath>
      <w:r w:rsidR="00134B19" w:rsidRPr="00F04787">
        <w:rPr>
          <w:rFonts w:eastAsiaTheme="minorEastAsia"/>
          <w:lang w:val="en-US"/>
        </w:rPr>
        <w:t xml:space="preserve"> days</w:t>
      </w:r>
      <w:r w:rsidR="00134B19" w:rsidRPr="00F04787">
        <w:rPr>
          <w:lang w:val="en-US"/>
        </w:rPr>
        <w:t xml:space="preserve"> </w:t>
      </w:r>
      <w:r w:rsidR="00134B19" w:rsidRPr="00F04787">
        <w:t xml:space="preserve">who </w:t>
      </w:r>
      <w:r w:rsidR="00052441">
        <w:t>are treated is then:</w:t>
      </w:r>
      <w:r w:rsidR="00134B19" w:rsidRPr="00F04787">
        <w:t xml:space="preserve">  </w:t>
      </w:r>
    </w:p>
    <w:p w14:paraId="15F7040A" w14:textId="77777777" w:rsidR="009E6A76" w:rsidRPr="00F04787" w:rsidRDefault="009E6A76" w:rsidP="00BD0A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35"/>
      </w:tblGrid>
      <w:tr w:rsidR="00134B19" w:rsidRPr="00F04787" w14:paraId="54FCED5D" w14:textId="77777777" w:rsidTr="007508CC">
        <w:tc>
          <w:tcPr>
            <w:tcW w:w="8075" w:type="dxa"/>
            <w:vAlign w:val="center"/>
          </w:tcPr>
          <w:p w14:paraId="00E5C3E7" w14:textId="47182D4F" w:rsidR="00134B19" w:rsidRPr="00F04787" w:rsidRDefault="00C3343E" w:rsidP="007508CC">
            <w:pPr>
              <w:jc w:val="cente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treatment,τ,a</m:t>
                    </m:r>
                  </m:sub>
                </m:sSub>
                <m:r>
                  <m:rPr>
                    <m:aln/>
                  </m:rPr>
                  <w:rPr>
                    <w:rFonts w:ascii="Cambria Math" w:hAnsi="Cambria Math"/>
                    <w:lang w:val="en-US"/>
                  </w:rPr>
                  <m:t>=ψ</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t-τ</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τ</m:t>
                    </m:r>
                    <m:r>
                      <m:rPr>
                        <m:sty m:val="p"/>
                      </m:rPr>
                      <w:rPr>
                        <w:rFonts w:ascii="Cambria Math" w:hAnsi="Cambria Math"/>
                        <w:lang w:val="en-US"/>
                      </w:rPr>
                      <m:t>,</m:t>
                    </m:r>
                    <m:r>
                      <w:rPr>
                        <w:rFonts w:ascii="Cambria Math" w:hAnsi="Cambria Math"/>
                        <w:lang w:val="en-US"/>
                      </w:rPr>
                      <m:t>y=0,a,d=0</m:t>
                    </m:r>
                  </m:sub>
                </m:sSub>
                <m:r>
                  <w:rPr>
                    <w:rFonts w:ascii="Cambria Math" w:hAnsi="Cambria Math"/>
                    <w:lang w:val="en-US"/>
                  </w:rPr>
                  <m:t xml:space="preserve">     ∀ τ≤t-1</m:t>
                </m:r>
              </m:oMath>
            </m:oMathPara>
          </w:p>
        </w:tc>
        <w:tc>
          <w:tcPr>
            <w:tcW w:w="935" w:type="dxa"/>
            <w:vAlign w:val="center"/>
          </w:tcPr>
          <w:p w14:paraId="09993117" w14:textId="2FAD68EC" w:rsidR="00134B19" w:rsidRPr="00F04787" w:rsidRDefault="00134B19" w:rsidP="007508CC">
            <w:pPr>
              <w:jc w:val="center"/>
              <w:rPr>
                <w:lang w:val="en-US"/>
              </w:rPr>
            </w:pPr>
            <m:oMathPara>
              <m:oMath>
                <m:r>
                  <w:rPr>
                    <w:rFonts w:ascii="Cambria Math" w:hAnsi="Cambria Math"/>
                    <w:lang w:val="en-US"/>
                  </w:rPr>
                  <m:t>(18)</m:t>
                </m:r>
              </m:oMath>
            </m:oMathPara>
          </w:p>
        </w:tc>
      </w:tr>
    </w:tbl>
    <w:p w14:paraId="2EEC5EEE" w14:textId="5A700184" w:rsidR="009E6A76" w:rsidRPr="00F04787" w:rsidRDefault="009E6A76" w:rsidP="00BD0AAF">
      <w:r w:rsidRPr="00F04787">
        <w:t xml:space="preserve">  </w:t>
      </w:r>
    </w:p>
    <w:p w14:paraId="15BDB71B" w14:textId="77777777" w:rsidR="009E6A76" w:rsidRPr="00F04787" w:rsidRDefault="009E6A76" w:rsidP="00BD0AAF"/>
    <w:p w14:paraId="1A7F62FE" w14:textId="451A1C55" w:rsidR="00BD0AAF" w:rsidRPr="00F04787" w:rsidRDefault="00A5578F" w:rsidP="00BD0AAF">
      <w:r w:rsidRPr="00F04787">
        <w:t xml:space="preserve">We also assumed that there is no delay in administration of antivirals upon receiving testing results (i.e. testing and drug administration occurs during the same clinical visit).  </w:t>
      </w:r>
    </w:p>
    <w:p w14:paraId="21367478" w14:textId="77777777" w:rsidR="00BD0AAF" w:rsidRPr="00F04787" w:rsidRDefault="00BD0AAF" w:rsidP="00BD0AAF"/>
    <w:p w14:paraId="6A5F98EE" w14:textId="19272088" w:rsidR="00A446F7" w:rsidRPr="00F04787" w:rsidRDefault="005A75E4" w:rsidP="0055385D">
      <w:pPr>
        <w:pStyle w:val="Heading2"/>
      </w:pPr>
      <w:bookmarkStart w:id="4" w:name="_Toc189816100"/>
      <w:r w:rsidRPr="00F04787">
        <w:t>P</w:t>
      </w:r>
      <w:r w:rsidR="00345559" w:rsidRPr="00F04787">
        <w:t>ost-exposure prophylaxis</w:t>
      </w:r>
      <w:bookmarkEnd w:id="4"/>
    </w:p>
    <w:p w14:paraId="21DA4251" w14:textId="6E119F88" w:rsidR="00E70E82" w:rsidRPr="00F04787" w:rsidRDefault="00A446F7" w:rsidP="00A446F7">
      <w:pPr>
        <w:rPr>
          <w:lang w:val="en-US"/>
        </w:rPr>
      </w:pPr>
      <w:r w:rsidRPr="00F04787">
        <w:rPr>
          <w:lang w:val="en-US"/>
        </w:rPr>
        <w:t xml:space="preserve">Besides symptomatic testing, </w:t>
      </w:r>
      <w:r w:rsidR="00345559" w:rsidRPr="00F04787">
        <w:rPr>
          <w:lang w:val="en-US"/>
        </w:rPr>
        <w:t>contacts of positively-tested individuals may be</w:t>
      </w:r>
      <w:r w:rsidRPr="00F04787">
        <w:rPr>
          <w:lang w:val="en-US"/>
        </w:rPr>
        <w:t xml:space="preserve"> contact </w:t>
      </w:r>
      <w:r w:rsidR="00345559" w:rsidRPr="00F04787">
        <w:rPr>
          <w:lang w:val="en-US"/>
        </w:rPr>
        <w:t>traced</w:t>
      </w:r>
      <w:r w:rsidR="00A42EC4" w:rsidRPr="00F04787">
        <w:rPr>
          <w:lang w:val="en-US"/>
        </w:rPr>
        <w:t xml:space="preserve"> and be given </w:t>
      </w:r>
      <w:r w:rsidR="00345559" w:rsidRPr="00F04787">
        <w:rPr>
          <w:lang w:val="en-US"/>
        </w:rPr>
        <w:t>antivirals as a post-exposure prophylaxis which has been shown to be effective at reducing transmission risk.</w:t>
      </w:r>
      <w:r w:rsidR="00E70E82" w:rsidRPr="00F04787">
        <w:rPr>
          <w:lang w:val="en-US"/>
        </w:rPr>
        <w:fldChar w:fldCharType="begin"/>
      </w:r>
      <w:r w:rsidR="007508CC" w:rsidRPr="00F04787">
        <w:rPr>
          <w:lang w:val="en-US"/>
        </w:rPr>
        <w:instrText xml:space="preserve"> ADDIN ZOTERO_ITEM CSL_CITATION {"citationID":"G5qcTqKZ","properties":{"formattedCitation":"\\super 21,22\\nosupersub{}","plainCitation":"21,22","noteIndex":0},"citationItems":[{"id":100,"uris":["http://zotero.org/users/local/0pdZPGmr/items/XGBVRI4I"],"itemData":{"id":100,"type":"article-journal","container-title":"New England Journal of Medicine","DOI":"10.1056/NEJMoa1915341","issue":"4","journalAbbreviation":"New England Journal of Medicine","note":"publisher: Massachusetts Medical Society","page":"309-320","title":"Baloxavir Marboxil for Prophylaxis against Influenza in Household Contacts","volume":"383","author":[{"literal":"Ikematsu Hideyuki"},{"literal":"Hayden Frederick G."},{"literal":"Kawaguchi Keiko"},{"literal":"Kinoshita Masahiro"},{"literal":"de Jong Menno D."},{"literal":"Lee Nelson"},{"literal":"Takashima Satoru"},{"literal":"Noshi Takeshi"},{"literal":"Tsuchiya Kenji"},{"literal":"Uehara Takeki"}],"issued":{"date-parts":[["2020",7,23]]}}},{"id":98,"uris":["http://zotero.org/users/local/0pdZPGmr/items/IGYA24Z2"],"itemData":{"id":98,"type":"article-journal","container-title":"The Lancet","DOI":"10.1016/S0140-6736(24)01357-6","ISSN":"0140-6736","issue":"10454","note":"publisher: Elsevier","page":"764-772","title":"Antivirals for post-exposure prophylaxis of influenza: a systematic review and network meta-analysis","volume":"404","author":[{"family":"Zhao","given":"Yunli"},{"family":"Gao","given":"Ya"},{"family":"Guyatt","given":"Gordon"},{"family":"Uyeki","given":"Timothy M"},{"family":"Liu","given":"Ping"},{"family":"Liu","given":"Ming"},{"family":"Shen","given":"Yanjiao"},{"family":"Chen","given":"Xiaoyan"},{"family":"Luo","given":"Shuyue"},{"family":"Li","given":"Xingsheng"},{"family":"Huang","given":"Rongzhong"},{"family":"Hao","given":"Qiukui"}],"issued":{"date-parts":[["2024",8,24]]}}}],"schema":"https://github.com/citation-style-language/schema/raw/master/csl-citation.json"} </w:instrText>
      </w:r>
      <w:r w:rsidR="00E70E82" w:rsidRPr="00F04787">
        <w:rPr>
          <w:lang w:val="en-US"/>
        </w:rPr>
        <w:fldChar w:fldCharType="separate"/>
      </w:r>
      <w:r w:rsidR="007508CC" w:rsidRPr="00F04787">
        <w:rPr>
          <w:vertAlign w:val="superscript"/>
          <w:lang w:val="en-US"/>
        </w:rPr>
        <w:t>21,22</w:t>
      </w:r>
      <w:r w:rsidR="00E70E82" w:rsidRPr="00F04787">
        <w:rPr>
          <w:lang w:val="en-US"/>
        </w:rPr>
        <w:fldChar w:fldCharType="end"/>
      </w:r>
      <w:r w:rsidR="00E70E82" w:rsidRPr="00F04787">
        <w:rPr>
          <w:lang w:val="en-US"/>
        </w:rPr>
        <w:t xml:space="preserve"> </w:t>
      </w:r>
    </w:p>
    <w:p w14:paraId="43172D1F" w14:textId="30305238" w:rsidR="004D778B" w:rsidRPr="00F04787" w:rsidRDefault="00E22F6C" w:rsidP="00A446F7">
      <w:pPr>
        <w:rPr>
          <w:lang w:val="en-US"/>
        </w:rPr>
      </w:pPr>
      <w:r w:rsidRPr="00F04787">
        <w:rPr>
          <w:lang w:val="en-US"/>
        </w:rPr>
        <w:t>W</w:t>
      </w:r>
      <w:r w:rsidR="00A446F7" w:rsidRPr="00F04787">
        <w:rPr>
          <w:lang w:val="en-US"/>
        </w:rPr>
        <w:t xml:space="preserve">e focused on </w:t>
      </w:r>
      <w:r w:rsidR="00765BB0" w:rsidRPr="00F04787">
        <w:rPr>
          <w:lang w:val="en-US"/>
        </w:rPr>
        <w:t>forward</w:t>
      </w:r>
      <w:r w:rsidR="00A446F7" w:rsidRPr="00F04787">
        <w:rPr>
          <w:lang w:val="en-US"/>
        </w:rPr>
        <w:t xml:space="preserve"> contact tracing</w:t>
      </w:r>
      <w:r w:rsidR="00762D09" w:rsidRPr="00F04787">
        <w:rPr>
          <w:lang w:val="en-US"/>
        </w:rPr>
        <w:t xml:space="preserve">: </w:t>
      </w:r>
      <w:r w:rsidR="00AD48B8" w:rsidRPr="00F04787">
        <w:rPr>
          <w:lang w:val="en-US"/>
        </w:rPr>
        <w:t xml:space="preserve">exposed </w:t>
      </w:r>
      <w:r w:rsidR="00B04110" w:rsidRPr="00F04787">
        <w:rPr>
          <w:lang w:val="en-US"/>
        </w:rPr>
        <w:t>contacts</w:t>
      </w:r>
      <w:r w:rsidR="00A446F7" w:rsidRPr="00F04787">
        <w:rPr>
          <w:lang w:val="en-US"/>
        </w:rPr>
        <w:t xml:space="preserve"> </w:t>
      </w:r>
      <w:r w:rsidR="00765BB0" w:rsidRPr="00F04787">
        <w:rPr>
          <w:lang w:val="en-US"/>
        </w:rPr>
        <w:t>were</w:t>
      </w:r>
      <w:r w:rsidR="00A446F7" w:rsidRPr="00F04787">
        <w:rPr>
          <w:lang w:val="en-US"/>
        </w:rPr>
        <w:t xml:space="preserve"> identified by contact tracing </w:t>
      </w:r>
      <w:r w:rsidR="00AD48B8" w:rsidRPr="00F04787">
        <w:rPr>
          <w:lang w:val="en-US"/>
        </w:rPr>
        <w:t>after</w:t>
      </w:r>
      <w:r w:rsidR="00A446F7" w:rsidRPr="00F04787">
        <w:rPr>
          <w:lang w:val="en-US"/>
        </w:rPr>
        <w:t xml:space="preserve"> </w:t>
      </w:r>
      <w:r w:rsidR="00B04110" w:rsidRPr="00F04787">
        <w:rPr>
          <w:lang w:val="en-US"/>
        </w:rPr>
        <w:t>an index case</w:t>
      </w:r>
      <w:r w:rsidR="00E70E82" w:rsidRPr="00F04787">
        <w:rPr>
          <w:lang w:val="en-US"/>
        </w:rPr>
        <w:t xml:space="preserve"> </w:t>
      </w:r>
      <w:r w:rsidR="00A446F7" w:rsidRPr="00F04787">
        <w:rPr>
          <w:lang w:val="en-US"/>
        </w:rPr>
        <w:t>was</w:t>
      </w:r>
      <w:r w:rsidR="00B04110" w:rsidRPr="00F04787">
        <w:rPr>
          <w:lang w:val="en-US"/>
        </w:rPr>
        <w:t xml:space="preserve"> positively</w:t>
      </w:r>
      <w:r w:rsidR="00A446F7" w:rsidRPr="00F04787">
        <w:rPr>
          <w:lang w:val="en-US"/>
        </w:rPr>
        <w:t xml:space="preserve"> diagnosed.</w:t>
      </w:r>
      <w:r w:rsidR="00A446F7" w:rsidRPr="00F04787">
        <w:rPr>
          <w:lang w:val="en-US"/>
        </w:rPr>
        <w:fldChar w:fldCharType="begin"/>
      </w:r>
      <w:r w:rsidR="007508CC" w:rsidRPr="00F04787">
        <w:rPr>
          <w:lang w:val="en-US"/>
        </w:rPr>
        <w:instrText xml:space="preserve"> ADDIN ZOTERO_ITEM CSL_CITATION {"citationID":"kCne8Bhh","properties":{"formattedCitation":"\\super 23\\nosupersub{}","plainCitation":"23","noteIndex":0},"citationItems":[{"id":3,"uris":["http://zotero.org/users/local/0pdZPGmr/items/CKJ3PGKJ"],"itemData":{"id":3,"type":"article-journal","container-title":"Royal Society Open Science","DOI":"10.1098/rsos.202091","issue":"4","journalAbbreviation":"Royal Society Open Science","note":"publisher: Royal Society","page":"202091","title":"A renewal equation model to assess roles and limitations of contact tracing for disease outbreak control","volume":"8","author":[{"family":"Scarabel","given":"Francesca"},{"family":"Pellis","given":"Lorenzo"},{"family":"Ogden","given":"Nicholas H."},{"family":"Wu","given":"Jianhong"}],"issued":{"date-parts":[["2021",4,7]]}}}],"schema":"https://github.com/citation-style-language/schema/raw/master/csl-citation.json"} </w:instrText>
      </w:r>
      <w:r w:rsidR="00A446F7" w:rsidRPr="00F04787">
        <w:rPr>
          <w:lang w:val="en-US"/>
        </w:rPr>
        <w:fldChar w:fldCharType="separate"/>
      </w:r>
      <w:r w:rsidR="007508CC" w:rsidRPr="00F04787">
        <w:rPr>
          <w:sz w:val="24"/>
          <w:vertAlign w:val="superscript"/>
          <w:lang w:val="en-US"/>
        </w:rPr>
        <w:t>23</w:t>
      </w:r>
      <w:r w:rsidR="00A446F7" w:rsidRPr="00F04787">
        <w:rPr>
          <w:lang w:val="en-US"/>
        </w:rPr>
        <w:fldChar w:fldCharType="end"/>
      </w:r>
      <w:r w:rsidR="00A446F7" w:rsidRPr="00F04787">
        <w:rPr>
          <w:lang w:val="en-US"/>
        </w:rPr>
        <w:t xml:space="preserve"> </w:t>
      </w:r>
      <w:r w:rsidR="00F17BD3" w:rsidRPr="00F04787">
        <w:rPr>
          <w:rFonts w:eastAsiaTheme="minorEastAsia"/>
          <w:lang w:val="en-US" w:eastAsia="zh-CN"/>
        </w:rPr>
        <w:t xml:space="preserve">The </w:t>
      </w:r>
      <w:r w:rsidR="00C953FD" w:rsidRPr="00F04787">
        <w:rPr>
          <w:rFonts w:eastAsiaTheme="minorEastAsia"/>
          <w:lang w:val="en-US" w:eastAsia="zh-CN"/>
        </w:rPr>
        <w:t>number</w:t>
      </w:r>
      <w:r w:rsidR="00F17BD3" w:rsidRPr="00F04787">
        <w:rPr>
          <w:rFonts w:eastAsiaTheme="minorEastAsia"/>
          <w:lang w:val="en-US" w:eastAsia="zh-CN"/>
        </w:rPr>
        <w:t xml:space="preserve"> </w:t>
      </w:r>
      <w:r w:rsidR="00C953FD" w:rsidRPr="00F04787">
        <w:rPr>
          <w:rFonts w:eastAsiaTheme="minorEastAsia"/>
          <w:lang w:val="en-US" w:eastAsia="zh-CN"/>
        </w:rPr>
        <w:t>of individuals of age group</w:t>
      </w:r>
      <w:r w:rsidR="00F17BD3" w:rsidRPr="00F04787">
        <w:rPr>
          <w:rFonts w:eastAsiaTheme="minorEastAsia"/>
          <w:lang w:val="en-US" w:eastAsia="zh-CN"/>
        </w:rPr>
        <w:t xml:space="preserve"> </w:t>
      </w:r>
      <m:oMath>
        <m:r>
          <w:rPr>
            <w:rFonts w:ascii="Cambria Math" w:eastAsiaTheme="minorEastAsia" w:hAnsi="Cambria Math"/>
            <w:lang w:val="en-US" w:eastAsia="zh-CN"/>
          </w:rPr>
          <m:t>a</m:t>
        </m:r>
      </m:oMath>
      <w:r w:rsidR="00F17BD3" w:rsidRPr="00F04787">
        <w:rPr>
          <w:rFonts w:eastAsiaTheme="minorEastAsia"/>
          <w:lang w:val="en-US" w:eastAsia="zh-CN"/>
        </w:rPr>
        <w:t xml:space="preserve"> </w:t>
      </w:r>
      <w:r w:rsidR="00C953FD" w:rsidRPr="00F04787">
        <w:rPr>
          <w:rFonts w:eastAsiaTheme="minorEastAsia"/>
          <w:lang w:val="en-US" w:eastAsia="zh-CN"/>
        </w:rPr>
        <w:t>that are</w:t>
      </w:r>
      <w:r w:rsidR="006C75E9" w:rsidRPr="00F04787">
        <w:rPr>
          <w:rFonts w:eastAsiaTheme="minorEastAsia"/>
          <w:lang w:val="en-US" w:eastAsia="zh-CN"/>
        </w:rPr>
        <w:t xml:space="preserve"> </w:t>
      </w:r>
      <w:r w:rsidR="00F17BD3" w:rsidRPr="00F04787">
        <w:rPr>
          <w:rFonts w:eastAsiaTheme="minorEastAsia"/>
          <w:lang w:val="en-US" w:eastAsia="zh-CN"/>
        </w:rPr>
        <w:t xml:space="preserve">traced </w:t>
      </w:r>
      <w:r w:rsidR="008A1272" w:rsidRPr="00F04787">
        <w:rPr>
          <w:rFonts w:eastAsiaTheme="minorEastAsia"/>
          <w:lang w:val="en-US" w:eastAsia="zh-CN"/>
        </w:rPr>
        <w:t xml:space="preserve">on day </w:t>
      </w:r>
      <m:oMath>
        <m:r>
          <w:rPr>
            <w:rFonts w:ascii="Cambria Math" w:eastAsiaTheme="minorEastAsia" w:hAnsi="Cambria Math"/>
            <w:lang w:val="en-US" w:eastAsia="zh-CN"/>
          </w:rPr>
          <m:t>t</m:t>
        </m:r>
      </m:oMath>
      <w:r w:rsidR="00F17BD3" w:rsidRPr="00F04787">
        <w:rPr>
          <w:rFonts w:eastAsiaTheme="minorEastAsia"/>
          <w:lang w:val="en-US" w:eastAsia="zh-CN"/>
        </w:rPr>
        <w:t xml:space="preserve"> </w:t>
      </w:r>
      <w:r w:rsidR="00D05DB0" w:rsidRPr="00F04787">
        <w:rPr>
          <w:rFonts w:eastAsiaTheme="minorEastAsia"/>
          <w:lang w:val="en-US" w:eastAsia="zh-CN"/>
        </w:rPr>
        <w:t>(</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t,a</m:t>
            </m:r>
          </m:sub>
        </m:sSub>
      </m:oMath>
      <w:r w:rsidR="00D05DB0" w:rsidRPr="00F04787">
        <w:rPr>
          <w:rFonts w:eastAsiaTheme="minorEastAsia"/>
          <w:lang w:val="en-US" w:eastAsia="zh-CN"/>
        </w:rPr>
        <w:t xml:space="preserve">) </w:t>
      </w:r>
      <w:r w:rsidR="00F17BD3" w:rsidRPr="00F04787">
        <w:rPr>
          <w:rFonts w:eastAsiaTheme="minorEastAsia"/>
          <w:lang w:val="en-US" w:eastAsia="zh-CN"/>
        </w:rPr>
        <w:t xml:space="preserve">depends on the </w:t>
      </w:r>
      <w:r w:rsidR="00355A17" w:rsidRPr="00F04787">
        <w:rPr>
          <w:rFonts w:eastAsiaTheme="minorEastAsia"/>
          <w:lang w:val="en-US" w:eastAsia="zh-CN"/>
        </w:rPr>
        <w:t>probability</w:t>
      </w:r>
      <w:r w:rsidR="00F17BD3" w:rsidRPr="00F04787">
        <w:rPr>
          <w:rFonts w:eastAsiaTheme="minorEastAsia"/>
          <w:lang w:val="en-US" w:eastAsia="zh-CN"/>
        </w:rPr>
        <w:t xml:space="preserve"> that a</w:t>
      </w:r>
      <w:r w:rsidR="004E2F06" w:rsidRPr="00F04787">
        <w:rPr>
          <w:rFonts w:eastAsiaTheme="minorEastAsia"/>
          <w:lang w:val="en-US" w:eastAsia="zh-CN"/>
        </w:rPr>
        <w:t xml:space="preserve">n </w:t>
      </w:r>
      <w:r w:rsidR="00F17BD3" w:rsidRPr="00F04787">
        <w:rPr>
          <w:rFonts w:eastAsiaTheme="minorEastAsia"/>
          <w:lang w:val="en-US" w:eastAsia="zh-CN"/>
        </w:rPr>
        <w:t>index case</w:t>
      </w:r>
      <w:r w:rsidR="00D05DB0" w:rsidRPr="00F04787">
        <w:rPr>
          <w:rFonts w:eastAsiaTheme="minorEastAsia"/>
          <w:lang w:val="en-US" w:eastAsia="zh-CN"/>
        </w:rPr>
        <w:t xml:space="preserve"> </w:t>
      </w:r>
      <w:r w:rsidR="00F17BD3" w:rsidRPr="00F04787">
        <w:rPr>
          <w:rFonts w:eastAsiaTheme="minorEastAsia"/>
          <w:lang w:val="en-US" w:eastAsia="zh-CN"/>
        </w:rPr>
        <w:t xml:space="preserve">with infection age </w:t>
      </w:r>
      <m:oMath>
        <m:r>
          <w:rPr>
            <w:rFonts w:ascii="Cambria Math" w:eastAsiaTheme="minorEastAsia" w:hAnsi="Cambria Math"/>
            <w:lang w:val="en-US" w:eastAsia="zh-CN"/>
          </w:rPr>
          <m:t>τ</m:t>
        </m:r>
      </m:oMath>
      <w:r w:rsidR="00F17BD3" w:rsidRPr="00F04787">
        <w:rPr>
          <w:rFonts w:eastAsiaTheme="minorEastAsia"/>
          <w:lang w:val="en-US" w:eastAsia="zh-CN"/>
        </w:rPr>
        <w:t xml:space="preserve"> was tested</w:t>
      </w:r>
      <w:r w:rsidR="004B00BF" w:rsidRPr="00F04787">
        <w:rPr>
          <w:rFonts w:eastAsiaTheme="minorEastAsia"/>
          <w:lang w:val="en-US" w:eastAsia="zh-CN"/>
        </w:rPr>
        <w:t xml:space="preserve"> positive</w:t>
      </w:r>
      <w:r w:rsidR="00114C31" w:rsidRPr="00F04787">
        <w:rPr>
          <w:rFonts w:eastAsiaTheme="minorEastAsia"/>
          <w:lang w:val="en-US" w:eastAsia="zh-CN"/>
        </w:rPr>
        <w:t xml:space="preserve"> </w:t>
      </w:r>
      <w:r w:rsidR="00686163" w:rsidRPr="00F04787">
        <w:rPr>
          <w:rFonts w:eastAsiaTheme="minorEastAsia"/>
          <w:lang w:val="en-US" w:eastAsia="zh-CN"/>
        </w:rPr>
        <w:t>(</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τ</m:t>
            </m:r>
          </m:sub>
        </m:sSub>
        <m:r>
          <w:rPr>
            <w:rFonts w:ascii="Cambria Math" w:eastAsiaTheme="minorEastAsia" w:hAnsi="Cambria Math"/>
            <w:lang w:val="en-US"/>
          </w:rPr>
          <m:t>)</m:t>
        </m:r>
      </m:oMath>
      <w:r w:rsidR="00355A17" w:rsidRPr="00F04787">
        <w:rPr>
          <w:rFonts w:eastAsiaTheme="minorEastAsia"/>
          <w:lang w:val="en-US" w:eastAsia="zh-CN"/>
        </w:rPr>
        <w:t xml:space="preserve">, the </w:t>
      </w:r>
      <w:r w:rsidR="008A5DE9" w:rsidRPr="00F04787">
        <w:rPr>
          <w:rFonts w:eastAsiaTheme="minorEastAsia"/>
          <w:lang w:val="en-US" w:eastAsia="zh-CN"/>
        </w:rPr>
        <w:t>number of</w:t>
      </w:r>
      <w:r w:rsidR="00355A17" w:rsidRPr="00F04787">
        <w:rPr>
          <w:rFonts w:eastAsiaTheme="minorEastAsia"/>
          <w:lang w:val="en-US" w:eastAsia="zh-CN"/>
        </w:rPr>
        <w:t xml:space="preserve"> </w:t>
      </w:r>
      <w:r w:rsidR="00F13491" w:rsidRPr="00F04787">
        <w:rPr>
          <w:rFonts w:eastAsiaTheme="minorEastAsia"/>
          <w:lang w:val="en-US" w:eastAsia="zh-CN"/>
        </w:rPr>
        <w:t>infected individual</w:t>
      </w:r>
      <w:r w:rsidR="006265E6">
        <w:rPr>
          <w:rFonts w:eastAsiaTheme="minorEastAsia"/>
          <w:lang w:val="en-US" w:eastAsia="zh-CN"/>
        </w:rPr>
        <w:t>s</w:t>
      </w:r>
      <w:r w:rsidR="00355A17" w:rsidRPr="00F04787">
        <w:rPr>
          <w:rFonts w:eastAsiaTheme="minorEastAsia"/>
          <w:lang w:val="en-US" w:eastAsia="zh-CN"/>
        </w:rPr>
        <w:t xml:space="preserve"> of age group </w:t>
      </w:r>
      <m:oMath>
        <m:r>
          <w:rPr>
            <w:rFonts w:ascii="Cambria Math" w:eastAsiaTheme="minorEastAsia" w:hAnsi="Cambria Math"/>
            <w:lang w:val="en-US" w:eastAsia="zh-CN"/>
          </w:rPr>
          <m:t>α</m:t>
        </m:r>
      </m:oMath>
      <w:r w:rsidR="00355A17" w:rsidRPr="00F04787">
        <w:rPr>
          <w:rFonts w:eastAsiaTheme="minorEastAsia"/>
          <w:lang w:val="en-US" w:eastAsia="zh-CN"/>
        </w:rPr>
        <w:t xml:space="preserve"> </w:t>
      </w:r>
      <w:r w:rsidR="001939E6" w:rsidRPr="00F04787">
        <w:rPr>
          <w:rFonts w:eastAsiaTheme="minorEastAsia"/>
          <w:lang w:val="en-US" w:eastAsia="zh-CN"/>
        </w:rPr>
        <w:t>with infection age</w:t>
      </w:r>
      <w:r w:rsidR="00355A17" w:rsidRPr="00F04787">
        <w:rPr>
          <w:rFonts w:eastAsiaTheme="minorEastAsia"/>
          <w:lang w:val="en-US" w:eastAsia="zh-CN"/>
        </w:rPr>
        <w:t xml:space="preserve"> </w:t>
      </w:r>
      <m:oMath>
        <m:r>
          <w:rPr>
            <w:rFonts w:ascii="Cambria Math" w:eastAsiaTheme="minorEastAsia" w:hAnsi="Cambria Math"/>
            <w:lang w:val="en-US" w:eastAsia="zh-CN"/>
          </w:rPr>
          <m:t>τ</m:t>
        </m:r>
      </m:oMath>
      <w:r w:rsidR="001939E6" w:rsidRPr="00F04787">
        <w:rPr>
          <w:rFonts w:eastAsiaTheme="minorEastAsia"/>
          <w:lang w:val="en-US" w:eastAsia="zh-CN"/>
        </w:rPr>
        <w:t xml:space="preserve"> was </w:t>
      </w:r>
      <w:r w:rsidR="006933F4" w:rsidRPr="00F04787">
        <w:rPr>
          <w:rFonts w:eastAsiaTheme="minorEastAsia"/>
          <w:lang w:val="en-US" w:eastAsia="zh-CN"/>
        </w:rPr>
        <w:t>undiagnosed</w:t>
      </w:r>
      <w:r w:rsidR="001939E6" w:rsidRPr="00F04787">
        <w:rPr>
          <w:rFonts w:eastAsiaTheme="minorEastAsia"/>
          <w:lang w:val="en-US" w:eastAsia="zh-CN"/>
        </w:rPr>
        <w:t xml:space="preserve"> </w:t>
      </w:r>
      <w:r w:rsidR="004E2F06" w:rsidRPr="00F04787">
        <w:rPr>
          <w:rFonts w:eastAsiaTheme="minorEastAsia"/>
          <w:lang w:val="en-US" w:eastAsia="zh-CN"/>
        </w:rPr>
        <w:t>before</w:t>
      </w:r>
      <w:r w:rsidR="001939E6" w:rsidRPr="00F04787">
        <w:rPr>
          <w:rFonts w:eastAsiaTheme="minorEastAsia"/>
          <w:lang w:val="en-US" w:eastAsia="zh-CN"/>
        </w:rPr>
        <w:t xml:space="preserve"> </w:t>
      </w:r>
      <w:r w:rsidR="008A1272" w:rsidRPr="00F04787">
        <w:rPr>
          <w:rFonts w:eastAsiaTheme="minorEastAsia"/>
          <w:lang w:val="en-US" w:eastAsia="zh-CN"/>
        </w:rPr>
        <w:t>day</w:t>
      </w:r>
      <w:r w:rsidR="001939E6" w:rsidRPr="00F04787">
        <w:rPr>
          <w:rFonts w:eastAsiaTheme="minorEastAsia"/>
          <w:lang w:val="en-US" w:eastAsia="zh-CN"/>
        </w:rPr>
        <w:t xml:space="preserve"> </w:t>
      </w:r>
      <m:oMath>
        <m:r>
          <w:rPr>
            <w:rFonts w:ascii="Cambria Math" w:eastAsiaTheme="minorEastAsia" w:hAnsi="Cambria Math"/>
            <w:lang w:val="en-US" w:eastAsia="zh-CN"/>
          </w:rPr>
          <m:t>t</m:t>
        </m:r>
      </m:oMath>
      <w:r w:rsidR="00355A17" w:rsidRPr="00F04787">
        <w:rPr>
          <w:rFonts w:eastAsiaTheme="minorEastAsia"/>
          <w:lang w:val="en-US" w:eastAsia="zh-CN"/>
        </w:rPr>
        <w:t>,</w:t>
      </w:r>
      <w:r w:rsidR="00887028" w:rsidRPr="00F04787">
        <w:rPr>
          <w:rFonts w:eastAsiaTheme="minorEastAsia"/>
          <w:lang w:val="en-US" w:eastAsia="zh-CN"/>
        </w:rPr>
        <w:t xml:space="preserve"> </w:t>
      </w:r>
      <w:r w:rsidR="00D05DB0" w:rsidRPr="00F04787">
        <w:rPr>
          <w:rFonts w:eastAsiaTheme="minorEastAsia"/>
          <w:lang w:val="en-US" w:eastAsia="zh-CN"/>
        </w:rPr>
        <w:t xml:space="preserve">the </w:t>
      </w:r>
      <w:r w:rsidR="008A5DE9" w:rsidRPr="00F04787">
        <w:rPr>
          <w:rFonts w:eastAsiaTheme="minorEastAsia"/>
          <w:lang w:val="en-US" w:eastAsia="zh-CN"/>
        </w:rPr>
        <w:t>expected number of contacts that could be traced</w:t>
      </w:r>
      <w:r w:rsidR="00EE759F" w:rsidRPr="00F04787">
        <w:rPr>
          <w:rFonts w:eastAsiaTheme="minorEastAsia"/>
          <w:lang w:val="en-US" w:eastAsia="zh-CN"/>
        </w:rPr>
        <w:t xml:space="preserve"> and the relative fraction of </w:t>
      </w:r>
      <w:r w:rsidR="00FF708A" w:rsidRPr="00F04787">
        <w:rPr>
          <w:rFonts w:eastAsiaTheme="minorEastAsia"/>
          <w:lang w:val="en-US" w:eastAsia="zh-CN"/>
        </w:rPr>
        <w:t>contacts</w:t>
      </w:r>
      <w:r w:rsidR="00D05DB0" w:rsidRPr="00F04787">
        <w:rPr>
          <w:rFonts w:eastAsiaTheme="minorEastAsia"/>
          <w:lang w:val="en-US" w:eastAsia="zh-CN"/>
        </w:rPr>
        <w:t xml:space="preserve"> in age group </w:t>
      </w:r>
      <m:oMath>
        <m:r>
          <w:rPr>
            <w:rFonts w:ascii="Cambria Math" w:eastAsiaTheme="minorEastAsia" w:hAnsi="Cambria Math"/>
            <w:lang w:val="en-US" w:eastAsia="zh-CN"/>
          </w:rPr>
          <m:t>a</m:t>
        </m:r>
      </m:oMath>
      <w:r w:rsidR="00355A17" w:rsidRPr="00F04787">
        <w:rPr>
          <w:rFonts w:eastAsiaTheme="minorEastAsia"/>
          <w:lang w:val="en-US" w:eastAsia="zh-CN"/>
        </w:rPr>
        <w:t xml:space="preserve"> to index cases of age group </w:t>
      </w:r>
      <m:oMath>
        <m:r>
          <w:rPr>
            <w:rFonts w:ascii="Cambria Math" w:eastAsiaTheme="minorEastAsia" w:hAnsi="Cambria Math"/>
            <w:lang w:val="en-US" w:eastAsia="zh-CN"/>
          </w:rPr>
          <m:t>α</m:t>
        </m:r>
      </m:oMath>
      <w:r w:rsidR="00686163" w:rsidRPr="00F04787">
        <w:rPr>
          <w:rFonts w:eastAsiaTheme="minorEastAsia"/>
          <w:lang w:val="en-US" w:eastAsia="zh-CN"/>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α→a</m:t>
            </m:r>
          </m:sub>
        </m:sSub>
      </m:oMath>
      <w:r w:rsidR="00686163" w:rsidRPr="00F04787">
        <w:rPr>
          <w:rFonts w:eastAsiaTheme="minorEastAsia"/>
          <w:lang w:val="en-US"/>
        </w:rPr>
        <w:t>)</w:t>
      </w:r>
      <w:r w:rsidR="00D05DB0" w:rsidRPr="00F04787">
        <w:rPr>
          <w:rFonts w:eastAsiaTheme="minorEastAsia"/>
          <w:lang w:val="en-US" w:eastAsia="zh-CN"/>
        </w:rPr>
        <w:t xml:space="preserve">: </w:t>
      </w:r>
    </w:p>
    <w:p w14:paraId="78889B19" w14:textId="6C026C3A" w:rsidR="00D05DB0" w:rsidRPr="00F04787" w:rsidRDefault="00D05DB0" w:rsidP="00A446F7">
      <w:pPr>
        <w:rPr>
          <w:rFonts w:eastAsiaTheme="minorEastAsia"/>
          <w:lang w:val="en-US"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35"/>
      </w:tblGrid>
      <w:tr w:rsidR="006A36B4" w:rsidRPr="00F04787" w14:paraId="63F77AFD" w14:textId="77777777" w:rsidTr="007508CC">
        <w:tc>
          <w:tcPr>
            <w:tcW w:w="8075" w:type="dxa"/>
            <w:vAlign w:val="center"/>
          </w:tcPr>
          <w:p w14:paraId="50BCE368" w14:textId="612E5A96" w:rsidR="006A36B4" w:rsidRPr="00F04787" w:rsidRDefault="00C3343E" w:rsidP="006A36B4">
            <w:pPr>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t,a</m:t>
                    </m:r>
                  </m:sub>
                </m:sSub>
                <m:r>
                  <w:rPr>
                    <w:rFonts w:ascii="Cambria Math" w:hAnsi="Cambria Math"/>
                    <w:lang w:val="en-US"/>
                  </w:rPr>
                  <m:t>=</m:t>
                </m:r>
                <m:nary>
                  <m:naryPr>
                    <m:chr m:val="∑"/>
                    <m:limLoc m:val="undOvr"/>
                    <m:ctrlPr>
                      <w:rPr>
                        <w:rFonts w:ascii="Cambria Math" w:hAnsi="Cambria Math"/>
                        <w:lang w:val="en-US"/>
                      </w:rPr>
                    </m:ctrlPr>
                  </m:naryPr>
                  <m:sub>
                    <m:r>
                      <w:rPr>
                        <w:rFonts w:ascii="Cambria Math" w:hAnsi="Cambria Math"/>
                        <w:lang w:val="en-US"/>
                      </w:rPr>
                      <m:t>α=1</m:t>
                    </m:r>
                  </m:sub>
                  <m:sup>
                    <m:r>
                      <w:rPr>
                        <w:rFonts w:ascii="Cambria Math" w:hAnsi="Cambria Math"/>
                        <w:lang w:val="en-US"/>
                      </w:rPr>
                      <m:t>n</m:t>
                    </m:r>
                  </m:sup>
                  <m:e>
                    <m:nary>
                      <m:naryPr>
                        <m:chr m:val="∑"/>
                        <m:limLoc m:val="undOvr"/>
                        <m:supHide m:val="1"/>
                        <m:ctrlPr>
                          <w:rPr>
                            <w:rFonts w:ascii="Cambria Math" w:hAnsi="Cambria Math"/>
                            <w:i/>
                            <w:lang w:val="en-US"/>
                          </w:rPr>
                        </m:ctrlPr>
                      </m:naryPr>
                      <m:sub>
                        <m:r>
                          <w:rPr>
                            <w:rFonts w:ascii="Cambria Math" w:hAnsi="Cambria Math"/>
                            <w:lang w:val="en-US"/>
                          </w:rPr>
                          <m:t>y</m:t>
                        </m:r>
                      </m:sub>
                      <m:sup/>
                      <m:e>
                        <m:nary>
                          <m:naryPr>
                            <m:chr m:val="∑"/>
                            <m:limLoc m:val="undOvr"/>
                            <m:ctrlPr>
                              <w:rPr>
                                <w:rFonts w:ascii="Cambria Math" w:hAnsi="Cambria Math"/>
                                <w:lang w:val="en-US"/>
                              </w:rPr>
                            </m:ctrlPr>
                          </m:naryPr>
                          <m:sub>
                            <m:r>
                              <w:rPr>
                                <w:rFonts w:ascii="Cambria Math" w:hAnsi="Cambria Math"/>
                                <w:lang w:val="en-US"/>
                              </w:rPr>
                              <m:t>τ</m:t>
                            </m:r>
                            <m:r>
                              <m:rPr>
                                <m:sty m:val="p"/>
                              </m:rPr>
                              <w:rPr>
                                <w:rFonts w:ascii="Cambria Math" w:hAnsi="Cambria Math"/>
                                <w:lang w:val="en-US"/>
                              </w:rPr>
                              <m:t>=0</m:t>
                            </m:r>
                          </m:sub>
                          <m:sup>
                            <m:r>
                              <w:rPr>
                                <w:rFonts w:ascii="Cambria Math" w:hAnsi="Cambria Math"/>
                                <w:lang w:val="en-US"/>
                              </w:rPr>
                              <m:t>t-1</m:t>
                            </m:r>
                          </m:sup>
                          <m:e>
                            <m:r>
                              <w:rPr>
                                <w:rFonts w:ascii="Cambria Math" w:hAnsi="Cambria Math"/>
                                <w:lang w:val="en-US"/>
                              </w:rPr>
                              <m:t>ψ</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t-τ</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τ</m:t>
                                </m:r>
                                <m:r>
                                  <m:rPr>
                                    <m:sty m:val="p"/>
                                  </m:rPr>
                                  <w:rPr>
                                    <w:rFonts w:ascii="Cambria Math" w:hAnsi="Cambria Math"/>
                                    <w:lang w:val="en-US"/>
                                  </w:rPr>
                                  <m:t>,</m:t>
                                </m:r>
                                <m:r>
                                  <w:rPr>
                                    <w:rFonts w:ascii="Cambria Math" w:hAnsi="Cambria Math"/>
                                    <w:lang w:val="en-US"/>
                                  </w:rPr>
                                  <m:t>y=0,α,d=0</m:t>
                                </m:r>
                              </m:sub>
                            </m:sSub>
                            <m:r>
                              <w:rPr>
                                <w:rFonts w:ascii="Cambria Math" w:hAnsi="Cambria Math"/>
                                <w:lang w:val="en-US"/>
                              </w:rPr>
                              <m:t>⋅ε</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α→a</m:t>
                                </m:r>
                              </m:sub>
                            </m:sSub>
                          </m:e>
                        </m:nary>
                      </m:e>
                    </m:nary>
                  </m:e>
                </m:nary>
              </m:oMath>
            </m:oMathPara>
          </w:p>
        </w:tc>
        <w:tc>
          <w:tcPr>
            <w:tcW w:w="935" w:type="dxa"/>
            <w:vAlign w:val="center"/>
          </w:tcPr>
          <w:p w14:paraId="796CF4C7" w14:textId="1CB41CCB" w:rsidR="006A36B4" w:rsidRPr="00F04787" w:rsidRDefault="006A36B4" w:rsidP="007508CC">
            <w:pPr>
              <w:jc w:val="center"/>
              <w:rPr>
                <w:lang w:val="en-US"/>
              </w:rPr>
            </w:pPr>
            <m:oMathPara>
              <m:oMath>
                <m:r>
                  <w:rPr>
                    <w:rFonts w:ascii="Cambria Math" w:hAnsi="Cambria Math"/>
                    <w:lang w:val="en-US"/>
                  </w:rPr>
                  <m:t>(19)</m:t>
                </m:r>
              </m:oMath>
            </m:oMathPara>
          </w:p>
        </w:tc>
      </w:tr>
    </w:tbl>
    <w:p w14:paraId="37DF0FFA" w14:textId="0374BC2C" w:rsidR="00467A60" w:rsidRPr="00F04787" w:rsidRDefault="00467A60" w:rsidP="00A446F7">
      <w:pPr>
        <w:rPr>
          <w:rFonts w:eastAsiaTheme="minorEastAsia"/>
          <w:lang w:val="en-US"/>
        </w:rPr>
      </w:pPr>
    </w:p>
    <w:p w14:paraId="1866BFEF" w14:textId="77777777" w:rsidR="00F932A8" w:rsidRPr="00F04787" w:rsidRDefault="00F932A8" w:rsidP="00A446F7">
      <w:pPr>
        <w:rPr>
          <w:rFonts w:eastAsiaTheme="minorEastAsia"/>
          <w:lang w:val="en-US"/>
        </w:rPr>
      </w:pPr>
    </w:p>
    <w:p w14:paraId="2F38C03E" w14:textId="3475693D" w:rsidR="006920CC" w:rsidRPr="00F04787" w:rsidRDefault="00B25B89" w:rsidP="00A446F7">
      <w:pPr>
        <w:rPr>
          <w:rFonts w:eastAsiaTheme="minorEastAsia"/>
          <w:lang w:val="en-US" w:eastAsia="zh-CN"/>
        </w:rPr>
      </w:pPr>
      <w:r w:rsidRPr="00F04787">
        <w:rPr>
          <w:rFonts w:eastAsiaTheme="minorEastAsia"/>
          <w:lang w:val="en-US"/>
        </w:rPr>
        <w:t>O</w:t>
      </w:r>
      <w:r w:rsidR="00467A60" w:rsidRPr="00F04787">
        <w:rPr>
          <w:rFonts w:eastAsiaTheme="minorEastAsia"/>
          <w:lang w:val="en-US"/>
        </w:rPr>
        <w:t xml:space="preserve">ur mathematical framework does not </w:t>
      </w:r>
      <w:r w:rsidR="00F932A8" w:rsidRPr="00F04787">
        <w:rPr>
          <w:rFonts w:eastAsiaTheme="minorEastAsia"/>
          <w:lang w:val="en-US"/>
        </w:rPr>
        <w:t xml:space="preserve">explicitly </w:t>
      </w:r>
      <w:r w:rsidR="00467A60" w:rsidRPr="00F04787">
        <w:rPr>
          <w:rFonts w:eastAsiaTheme="minorEastAsia"/>
          <w:lang w:val="en-US"/>
        </w:rPr>
        <w:t>model the underlying contact networks among individuals.</w:t>
      </w:r>
      <w:r w:rsidR="00A94BB5" w:rsidRPr="00F04787">
        <w:rPr>
          <w:rFonts w:eastAsiaTheme="minorEastAsia"/>
          <w:lang w:val="en-US"/>
        </w:rPr>
        <w:t xml:space="preserve"> However, assuming that household contacts</w:t>
      </w:r>
      <w:r w:rsidR="00535576" w:rsidRPr="00F04787">
        <w:rPr>
          <w:rFonts w:eastAsiaTheme="minorEastAsia"/>
          <w:lang w:val="en-US"/>
        </w:rPr>
        <w:t xml:space="preserve"> are the most convenient individuals that can be traced and be given post-exposure prophylaxis</w:t>
      </w:r>
      <w:r w:rsidR="00A94BB5" w:rsidRPr="00F04787">
        <w:rPr>
          <w:rFonts w:eastAsiaTheme="minorEastAsia"/>
          <w:lang w:val="en-US"/>
        </w:rPr>
        <w:t xml:space="preserve">, we </w:t>
      </w:r>
      <w:r w:rsidR="00F932A8" w:rsidRPr="00F04787">
        <w:rPr>
          <w:rFonts w:eastAsiaTheme="minorEastAsia"/>
          <w:lang w:val="en-US"/>
        </w:rPr>
        <w:t xml:space="preserve">could </w:t>
      </w:r>
      <w:r w:rsidR="00A94BB5" w:rsidRPr="00F04787">
        <w:rPr>
          <w:rFonts w:eastAsiaTheme="minorEastAsia"/>
          <w:lang w:val="en-US"/>
        </w:rPr>
        <w:t>approximate</w:t>
      </w:r>
      <w:r w:rsidR="00F932A8" w:rsidRPr="00F04787">
        <w:rPr>
          <w:rFonts w:eastAsiaTheme="minorEastAsia"/>
          <w:lang w:val="en-US"/>
        </w:rPr>
        <w:t xml:space="preserve"> the impact of distributing antivirals to exposed household contacts by</w:t>
      </w:r>
      <w:r w:rsidR="00A94BB5" w:rsidRPr="00F04787">
        <w:rPr>
          <w:rFonts w:eastAsiaTheme="minorEastAsia"/>
          <w:lang w:val="en-US"/>
        </w:rPr>
        <w:t xml:space="preserve"> </w:t>
      </w:r>
      <w:r w:rsidR="00F932A8" w:rsidRPr="00F04787">
        <w:rPr>
          <w:rFonts w:eastAsiaTheme="minorEastAsia"/>
          <w:lang w:val="en-US"/>
        </w:rPr>
        <w:t xml:space="preserve">assuming </w:t>
      </w:r>
      <m:oMath>
        <m:r>
          <w:rPr>
            <w:rFonts w:ascii="Cambria Math" w:hAnsi="Cambria Math"/>
            <w:lang w:val="en-US"/>
          </w:rPr>
          <m:t>ε</m:t>
        </m:r>
      </m:oMath>
      <w:r w:rsidR="00A94BB5" w:rsidRPr="00F04787">
        <w:rPr>
          <w:rFonts w:eastAsiaTheme="minorEastAsia"/>
          <w:lang w:val="en-US" w:eastAsia="zh-CN"/>
        </w:rPr>
        <w:t xml:space="preserve"> </w:t>
      </w:r>
      <w:r w:rsidR="00F932A8" w:rsidRPr="00F04787">
        <w:rPr>
          <w:rFonts w:eastAsiaTheme="minorEastAsia"/>
          <w:lang w:val="en-US" w:eastAsia="zh-CN"/>
        </w:rPr>
        <w:t>as</w:t>
      </w:r>
      <w:r w:rsidR="00613E45" w:rsidRPr="00F04787">
        <w:rPr>
          <w:rFonts w:eastAsiaTheme="minorEastAsia"/>
          <w:lang w:val="en-US" w:eastAsia="zh-CN"/>
        </w:rPr>
        <w:t xml:space="preserve"> the</w:t>
      </w:r>
      <w:r w:rsidR="00A94BB5" w:rsidRPr="00F04787">
        <w:rPr>
          <w:rFonts w:eastAsiaTheme="minorEastAsia"/>
          <w:lang w:val="en-US" w:eastAsia="zh-CN"/>
        </w:rPr>
        <w:t xml:space="preserve"> </w:t>
      </w:r>
      <w:r w:rsidR="00F6282C">
        <w:rPr>
          <w:rFonts w:eastAsiaTheme="minorEastAsia"/>
          <w:lang w:val="en-US" w:eastAsia="zh-CN"/>
        </w:rPr>
        <w:t>mean</w:t>
      </w:r>
      <w:r w:rsidR="00613E45" w:rsidRPr="00F04787">
        <w:rPr>
          <w:rFonts w:eastAsiaTheme="minorEastAsia"/>
          <w:lang w:val="en-US" w:eastAsia="zh-CN"/>
        </w:rPr>
        <w:t xml:space="preserve"> number of</w:t>
      </w:r>
      <w:r w:rsidR="007546CB" w:rsidRPr="00F04787">
        <w:rPr>
          <w:rFonts w:eastAsiaTheme="minorEastAsia"/>
          <w:lang w:val="en-US" w:eastAsia="zh-CN"/>
        </w:rPr>
        <w:t xml:space="preserve"> household contacts</w:t>
      </w:r>
      <w:r w:rsidR="006920CC" w:rsidRPr="00F04787">
        <w:rPr>
          <w:rFonts w:eastAsiaTheme="minorEastAsia"/>
          <w:lang w:val="en-US" w:eastAsia="zh-CN"/>
        </w:rPr>
        <w:t xml:space="preserve"> based on </w:t>
      </w:r>
      <w:r w:rsidR="00F932A8" w:rsidRPr="00F04787">
        <w:rPr>
          <w:rFonts w:eastAsiaTheme="minorEastAsia"/>
          <w:lang w:val="en-US" w:eastAsia="zh-CN"/>
        </w:rPr>
        <w:t xml:space="preserve">estimates from </w:t>
      </w:r>
      <w:r w:rsidR="006920CC" w:rsidRPr="00F04787">
        <w:rPr>
          <w:rFonts w:eastAsiaTheme="minorEastAsia"/>
          <w:lang w:val="en-US" w:eastAsia="zh-CN"/>
        </w:rPr>
        <w:t>the most recent United Nations World Population Prospects for that country</w:t>
      </w:r>
      <w:r w:rsidR="007546CB" w:rsidRPr="00F04787">
        <w:rPr>
          <w:rFonts w:eastAsiaTheme="minorEastAsia"/>
          <w:lang w:val="en-US" w:eastAsia="zh-CN"/>
        </w:rPr>
        <w:t>.</w:t>
      </w:r>
      <w:r w:rsidR="006920CC" w:rsidRPr="00F04787">
        <w:rPr>
          <w:rFonts w:eastAsiaTheme="minorEastAsia"/>
          <w:lang w:val="en-US" w:eastAsia="zh-CN"/>
        </w:rPr>
        <w:fldChar w:fldCharType="begin"/>
      </w:r>
      <w:r w:rsidR="007508CC" w:rsidRPr="00F04787">
        <w:rPr>
          <w:rFonts w:eastAsiaTheme="minorEastAsia"/>
          <w:lang w:val="en-US" w:eastAsia="zh-CN"/>
        </w:rPr>
        <w:instrText xml:space="preserve"> ADDIN ZOTERO_ITEM CSL_CITATION {"citationID":"dPv2PI4r","properties":{"formattedCitation":"\\super 24\\nosupersub{}","plainCitation":"24","noteIndex":0},"citationItems":[{"id":175,"uris":["http://zotero.org/users/local/0pdZPGmr/items/UW6QBSYW"],"itemData":{"id":175,"type":"webpage","title":"World Population Prospects","URL":"https://population.un.org/wpp/","author":[{"literal":"United Nations"}],"accessed":{"date-parts":[["2025",1,6]]},"issued":{"date-parts":[["2024"]]}}}],"schema":"https://github.com/citation-style-language/schema/raw/master/csl-citation.json"} </w:instrText>
      </w:r>
      <w:r w:rsidR="006920CC" w:rsidRPr="00F04787">
        <w:rPr>
          <w:rFonts w:eastAsiaTheme="minorEastAsia"/>
          <w:lang w:val="en-US" w:eastAsia="zh-CN"/>
        </w:rPr>
        <w:fldChar w:fldCharType="separate"/>
      </w:r>
      <w:r w:rsidR="007508CC" w:rsidRPr="00F04787">
        <w:rPr>
          <w:vertAlign w:val="superscript"/>
          <w:lang w:val="en-US"/>
        </w:rPr>
        <w:t>24</w:t>
      </w:r>
      <w:r w:rsidR="006920CC" w:rsidRPr="00F04787">
        <w:rPr>
          <w:rFonts w:eastAsiaTheme="minorEastAsia"/>
          <w:lang w:val="en-US" w:eastAsia="zh-CN"/>
        </w:rPr>
        <w:fldChar w:fldCharType="end"/>
      </w:r>
      <w:r w:rsidR="007546CB" w:rsidRPr="00F04787">
        <w:rPr>
          <w:rFonts w:eastAsiaTheme="minorEastAsia"/>
          <w:lang w:val="en-US" w:eastAsia="zh-CN"/>
        </w:rPr>
        <w:t xml:space="preserve"> </w:t>
      </w:r>
      <w:r w:rsidR="00A94BB5" w:rsidRPr="00F04787">
        <w:rPr>
          <w:rFonts w:eastAsiaTheme="minorEastAsia"/>
          <w:lang w:val="en-US" w:eastAsia="zh-CN"/>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α→a</m:t>
            </m:r>
          </m:sub>
        </m:sSub>
      </m:oMath>
      <w:r w:rsidR="006920CC" w:rsidRPr="00F04787">
        <w:rPr>
          <w:rFonts w:eastAsiaTheme="minorEastAsia"/>
          <w:lang w:val="en-US"/>
        </w:rPr>
        <w:t xml:space="preserve"> </w:t>
      </w:r>
      <w:r w:rsidR="00613E45" w:rsidRPr="00F04787">
        <w:rPr>
          <w:rFonts w:eastAsiaTheme="minorEastAsia"/>
          <w:lang w:val="en-US"/>
        </w:rPr>
        <w:t>is</w:t>
      </w:r>
      <w:r w:rsidR="006920CC" w:rsidRPr="00F04787">
        <w:rPr>
          <w:rFonts w:eastAsiaTheme="minorEastAsia"/>
          <w:lang w:val="en-US"/>
        </w:rPr>
        <w:t xml:space="preserve"> inferred from </w:t>
      </w:r>
      <w:r w:rsidR="006920CC" w:rsidRPr="00F04787">
        <w:rPr>
          <w:lang w:val="en-US"/>
        </w:rPr>
        <w:t xml:space="preserve">country-specific estimates of </w:t>
      </w:r>
      <w:r w:rsidR="00F6282C">
        <w:rPr>
          <w:lang w:val="en-US"/>
        </w:rPr>
        <w:t>mean</w:t>
      </w:r>
      <w:r w:rsidR="006920CC" w:rsidRPr="00F04787">
        <w:rPr>
          <w:lang w:val="en-US"/>
        </w:rPr>
        <w:t xml:space="preserve"> contact rate matrix in households </w:t>
      </w:r>
      <w:r w:rsidR="00A94BB5" w:rsidRPr="00F04787">
        <w:rPr>
          <w:rFonts w:eastAsiaTheme="minorEastAsia"/>
          <w:lang w:val="en-US" w:eastAsia="zh-CN"/>
        </w:rPr>
        <w:t>from Prem et al.</w:t>
      </w:r>
      <w:r w:rsidR="00A94BB5" w:rsidRPr="00F04787">
        <w:rPr>
          <w:rFonts w:eastAsiaTheme="minorEastAsia"/>
          <w:lang w:val="en-US" w:eastAsia="zh-CN"/>
        </w:rPr>
        <w:fldChar w:fldCharType="begin"/>
      </w:r>
      <w:r w:rsidR="007508CC" w:rsidRPr="00F04787">
        <w:rPr>
          <w:rFonts w:eastAsiaTheme="minorEastAsia"/>
          <w:lang w:val="en-US" w:eastAsia="zh-CN"/>
        </w:rPr>
        <w:instrText xml:space="preserve"> ADDIN ZOTERO_ITEM CSL_CITATION {"citationID":"CLroednE","properties":{"formattedCitation":"\\super 14,15\\nosupersub{}","plainCitation":"14,15","noteIndex":0},"citationItems":[{"id":102,"uris":["http://zotero.org/users/local/0pdZPGmr/items/QTYWCC5P"],"itemData":{"id":102,"type":"article-journal","abstract":"Author summary The risk of infectious disease transmission varies in different settings, for instance at home, at work or in the community, as a result of the different social structures and mixing patterns in those locations. These social structures vary across countries in different stages of development and with different demographics. Social contact patterns have been measured in a small number of countries, but in large swathes of the world, contact patterns are unmeasured, which makes it challenging to build mathematical or computer models of disease spread and control. In this work, we developed a modelling framework to combine social contact data from the past studies of contact patterns within eight countries in the EU with data from multiple data sources including the Demographic Household Surveys, World Bank and UN Statistics Division, to provide validated approximations to age-and-location-specific contact rates for 152 countries covering 95.9% of the world’s population.","container-title":"PLOS Computational Biology","DOI":"10.1371/journal.pcbi.1005697","issue":"9","journalAbbreviation":"PLOS Computational Biology","note":"publisher: Public Library of Science","page":"e1005697","title":"Projecting social contact matrices in 152 countries using contact surveys and demographic data","volume":"13","author":[{"family":"Prem","given":"Kiesha"},{"family":"Cook","given":"Alex R."},{"family":"Jit","given":"Mark"}],"issued":{"date-parts":[["2017",9,12]]}}},{"id":41,"uris":["http://zotero.org/users/local/0pdZPGmr/items/Y9EYKFFU"],"itemData":{"id":41,"type":"article-journal","abstract":"Author summary The risk of contracting a directly transmitted infectious disease such as the Coronavirus Disease 2019 (COVID-19) depends on who interacts with whom. Such person-to-person interactions vary by age and locations—e.g., at home, at work, at school, or in the community—due to the different social structures. These social structures, and thus contact patterns, vary across and within countries. Although social contact patterns can be measured using contact surveys, the majority of countries around the world, particularly low- and middle-income countries, lack nationally representative contact surveys. A simple way to present contact data is to use matrices where the elements represent the rate of contact between subgroups such as age groups represented by the columns and rows. In 2017, we generated age- and location-specific synthetic contact matrices for 152 geographical regions by adapting contact pattern data from eight European countries using country-specific data on household size, school and workplace composition. We have now updated these matrices with the most recent data (Demographic Household Surveys, World Bank, UN Population Division) extending the coverage to 177 geographical locations, covering 97.2% of the world’s population. We also quantified contact patterns in rural and urban settings. When compared to out-of-sample empirically-measured contact patterns, we found that the synthetic matrices reproduce the main features of these contact patterns.","container-title":"PLOS Computational Biology","DOI":"10.1371/journal.pcbi.1009098","issue":"7","journalAbbreviation":"PLOS Computational Biology","note":"publisher: Public Library of Science","page":"e1009098","title":"Projecting contact matrices in 177 geographical regions: An update and comparison with empirical data for the COVID-19 era","volume":"17","author":[{"family":"Prem","given":"Kiesha"},{"family":"Zandvoort","given":"Kevin","dropping-particle":"van"},{"family":"Klepac","given":"Petra"},{"family":"Eggo","given":"Rosalind M."},{"family":"Davies","given":"Nicholas G."},{"literal":"Centre for the Mathematical Modelling of Infectious Diseases COVID-19 Working Group"},{"family":"Cook","given":"Alex R."},{"family":"Jit","given":"Mark"}],"issued":{"date-parts":[["2021",7,26]]}}}],"schema":"https://github.com/citation-style-language/schema/raw/master/csl-citation.json"} </w:instrText>
      </w:r>
      <w:r w:rsidR="00A94BB5" w:rsidRPr="00F04787">
        <w:rPr>
          <w:rFonts w:eastAsiaTheme="minorEastAsia"/>
          <w:lang w:val="en-US" w:eastAsia="zh-CN"/>
        </w:rPr>
        <w:fldChar w:fldCharType="separate"/>
      </w:r>
      <w:r w:rsidR="007508CC" w:rsidRPr="00F04787">
        <w:rPr>
          <w:vertAlign w:val="superscript"/>
          <w:lang w:val="en-US"/>
        </w:rPr>
        <w:t>14,15</w:t>
      </w:r>
      <w:r w:rsidR="00A94BB5" w:rsidRPr="00F04787">
        <w:rPr>
          <w:rFonts w:eastAsiaTheme="minorEastAsia"/>
          <w:lang w:val="en-US" w:eastAsia="zh-CN"/>
        </w:rPr>
        <w:fldChar w:fldCharType="end"/>
      </w:r>
      <w:r w:rsidR="00A94BB5" w:rsidRPr="00F04787">
        <w:rPr>
          <w:rFonts w:eastAsiaTheme="minorEastAsia"/>
          <w:lang w:val="en-US" w:eastAsia="zh-CN"/>
        </w:rPr>
        <w:t xml:space="preserve"> </w:t>
      </w:r>
      <w:r w:rsidR="006920CC" w:rsidRPr="00F04787">
        <w:rPr>
          <w:rFonts w:eastAsiaTheme="minorEastAsia"/>
          <w:lang w:val="en-US" w:eastAsia="zh-CN"/>
        </w:rPr>
        <w:t xml:space="preserve">The expected number of </w:t>
      </w:r>
      <w:r w:rsidR="00F932A8" w:rsidRPr="00F04787">
        <w:rPr>
          <w:rFonts w:eastAsiaTheme="minorEastAsia"/>
          <w:lang w:val="en-US" w:eastAsia="zh-CN"/>
        </w:rPr>
        <w:t>susceptible</w:t>
      </w:r>
      <w:r w:rsidR="006920CC" w:rsidRPr="00F04787">
        <w:rPr>
          <w:rFonts w:eastAsiaTheme="minorEastAsia"/>
          <w:lang w:val="en-US" w:eastAsia="zh-CN"/>
        </w:rPr>
        <w:t xml:space="preserve"> individuals of age group </w:t>
      </w:r>
      <m:oMath>
        <m:r>
          <w:rPr>
            <w:rFonts w:ascii="Cambria Math" w:eastAsiaTheme="minorEastAsia" w:hAnsi="Cambria Math"/>
            <w:lang w:val="en-US" w:eastAsia="zh-CN"/>
          </w:rPr>
          <m:t>a</m:t>
        </m:r>
      </m:oMath>
      <w:r w:rsidR="006920CC" w:rsidRPr="00F04787">
        <w:rPr>
          <w:rFonts w:eastAsiaTheme="minorEastAsia"/>
          <w:lang w:val="en-US" w:eastAsia="zh-CN"/>
        </w:rPr>
        <w:t xml:space="preserve"> that are traced to be given post-exposure prophylaxis on day </w:t>
      </w:r>
      <m:oMath>
        <m:r>
          <w:rPr>
            <w:rFonts w:ascii="Cambria Math" w:eastAsiaTheme="minorEastAsia" w:hAnsi="Cambria Math"/>
            <w:lang w:val="en-US" w:eastAsia="zh-CN"/>
          </w:rPr>
          <m:t>t</m:t>
        </m:r>
      </m:oMath>
      <w:r w:rsidR="006920CC" w:rsidRPr="00F04787">
        <w:rPr>
          <w:rFonts w:eastAsiaTheme="minorEastAsia"/>
          <w:lang w:val="en-US" w:eastAsia="zh-CN"/>
        </w:rPr>
        <w:t xml:space="preserve"> is then computed as: </w:t>
      </w:r>
    </w:p>
    <w:p w14:paraId="02A43375" w14:textId="7056C3E0" w:rsidR="006920CC" w:rsidRPr="00F04787" w:rsidRDefault="006920CC" w:rsidP="00A446F7">
      <w:pPr>
        <w:rPr>
          <w:rFonts w:eastAsiaTheme="minorEastAsia"/>
          <w:lang w:val="en-US"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35"/>
      </w:tblGrid>
      <w:tr w:rsidR="006920CC" w:rsidRPr="00F04787" w14:paraId="340071A1" w14:textId="77777777" w:rsidTr="007508CC">
        <w:tc>
          <w:tcPr>
            <w:tcW w:w="8075" w:type="dxa"/>
            <w:vAlign w:val="center"/>
          </w:tcPr>
          <w:p w14:paraId="319E0222" w14:textId="52653933" w:rsidR="006920CC" w:rsidRPr="00F04787" w:rsidRDefault="00C3343E" w:rsidP="007508CC">
            <w:pPr>
              <w:rPr>
                <w:lang w:val="en-US"/>
              </w:rPr>
            </w:pPr>
            <m:oMathPara>
              <m:oMath>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t,a</m:t>
                    </m:r>
                  </m:sub>
                  <m:sup>
                    <m:r>
                      <w:rPr>
                        <w:rFonts w:ascii="Cambria Math" w:hAnsi="Cambria Math"/>
                        <w:lang w:val="en-US"/>
                      </w:rPr>
                      <m:t>PEP</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t,a</m:t>
                    </m:r>
                  </m:sub>
                </m:sSub>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t,a</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t-γ</m:t>
                            </m:r>
                          </m:sub>
                          <m:sup>
                            <m:r>
                              <w:rPr>
                                <w:rFonts w:ascii="Cambria Math" w:hAnsi="Cambria Math"/>
                                <w:lang w:val="en-US"/>
                              </w:rPr>
                              <m:t>t-1</m:t>
                            </m:r>
                          </m:sup>
                          <m:e>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t,a</m:t>
                                </m:r>
                              </m:sub>
                              <m:sup>
                                <m:r>
                                  <w:rPr>
                                    <w:rFonts w:ascii="Cambria Math" w:hAnsi="Cambria Math"/>
                                    <w:lang w:val="en-US"/>
                                  </w:rPr>
                                  <m:t>PEP</m:t>
                                </m:r>
                              </m:sup>
                            </m:sSubSup>
                          </m:e>
                        </m:nary>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m:t>
                            </m:r>
                          </m:sub>
                        </m:sSub>
                      </m:den>
                    </m:f>
                  </m:e>
                </m:d>
              </m:oMath>
            </m:oMathPara>
          </w:p>
        </w:tc>
        <w:tc>
          <w:tcPr>
            <w:tcW w:w="935" w:type="dxa"/>
            <w:vAlign w:val="center"/>
          </w:tcPr>
          <w:p w14:paraId="15C4A526" w14:textId="4669DBA3" w:rsidR="006920CC" w:rsidRPr="00F04787" w:rsidRDefault="006920CC" w:rsidP="007508CC">
            <w:pPr>
              <w:jc w:val="center"/>
              <w:rPr>
                <w:lang w:val="en-US"/>
              </w:rPr>
            </w:pPr>
            <m:oMathPara>
              <m:oMath>
                <m:r>
                  <w:rPr>
                    <w:rFonts w:ascii="Cambria Math" w:hAnsi="Cambria Math"/>
                    <w:lang w:val="en-US"/>
                  </w:rPr>
                  <m:t>(20)</m:t>
                </m:r>
              </m:oMath>
            </m:oMathPara>
          </w:p>
        </w:tc>
      </w:tr>
    </w:tbl>
    <w:p w14:paraId="0DDDB887" w14:textId="77777777" w:rsidR="00A77FE7" w:rsidRPr="00F04787" w:rsidRDefault="00A77FE7" w:rsidP="00A446F7">
      <w:pPr>
        <w:rPr>
          <w:rFonts w:eastAsiaTheme="minorEastAsia"/>
          <w:lang w:val="en-US" w:eastAsia="zh-CN"/>
        </w:rPr>
      </w:pPr>
    </w:p>
    <w:p w14:paraId="4971928E" w14:textId="78F69C69" w:rsidR="00D339C7" w:rsidRPr="00F04787" w:rsidRDefault="00E53B07" w:rsidP="00A446F7">
      <w:pPr>
        <w:rPr>
          <w:rFonts w:eastAsiaTheme="minorEastAsia"/>
          <w:lang w:val="en-US" w:eastAsia="zh-CN"/>
        </w:rPr>
      </w:pPr>
      <w:r w:rsidRPr="00F04787">
        <w:rPr>
          <w:rFonts w:eastAsiaTheme="minorEastAsia"/>
          <w:lang w:val="en-US"/>
        </w:rPr>
        <w:t xml:space="preserve">In turn, the number of previously infected individuals of age group </w:t>
      </w:r>
      <m:oMath>
        <m:r>
          <w:rPr>
            <w:rFonts w:ascii="Cambria Math" w:hAnsi="Cambria Math"/>
            <w:lang w:val="en-US"/>
          </w:rPr>
          <m:t>a</m:t>
        </m:r>
      </m:oMath>
      <w:r w:rsidRPr="00F04787">
        <w:rPr>
          <w:rFonts w:eastAsiaTheme="minorEastAsia"/>
          <w:lang w:val="en-US"/>
        </w:rPr>
        <w:t xml:space="preserve"> who are given post-exposure prophylaxis on day </w:t>
      </w:r>
      <m:oMath>
        <m:r>
          <w:rPr>
            <w:rFonts w:ascii="Cambria Math" w:hAnsi="Cambria Math"/>
            <w:lang w:val="en-US"/>
          </w:rPr>
          <m:t>t</m:t>
        </m:r>
      </m:oMath>
      <w:r w:rsidRPr="00F04787">
        <w:rPr>
          <w:rFonts w:eastAsiaTheme="minorEastAsia"/>
          <w:lang w:val="en-US"/>
        </w:rPr>
        <w:t xml:space="preserve"> is equals to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t,a</m:t>
            </m:r>
          </m:sub>
        </m:sSub>
        <m:r>
          <w:rPr>
            <w:rFonts w:ascii="Cambria Math" w:hAnsi="Cambria Math"/>
            <w:lang w:val="en-US"/>
          </w:rPr>
          <m:t>-</m:t>
        </m:r>
        <m:sSubSup>
          <m:sSubSupPr>
            <m:ctrlPr>
              <w:rPr>
                <w:rFonts w:ascii="Cambria Math" w:eastAsiaTheme="minorEastAsia" w:hAnsi="Cambria Math"/>
                <w:i/>
                <w:lang w:val="en-US" w:eastAsia="zh-CN"/>
              </w:rPr>
            </m:ctrlPr>
          </m:sSubSupPr>
          <m:e>
            <m:r>
              <w:rPr>
                <w:rFonts w:ascii="Cambria Math" w:hAnsi="Cambria Math"/>
                <w:lang w:val="en-US"/>
              </w:rPr>
              <m:t>S</m:t>
            </m:r>
          </m:e>
          <m:sub>
            <m:r>
              <w:rPr>
                <w:rFonts w:ascii="Cambria Math" w:hAnsi="Cambria Math"/>
                <w:lang w:val="en-US"/>
              </w:rPr>
              <m:t>t,a</m:t>
            </m:r>
          </m:sub>
          <m:sup>
            <m:r>
              <w:rPr>
                <w:rFonts w:ascii="Cambria Math" w:hAnsi="Cambria Math"/>
                <w:lang w:val="en-US"/>
              </w:rPr>
              <m:t>PEP</m:t>
            </m:r>
          </m:sup>
        </m:sSubSup>
      </m:oMath>
      <w:r w:rsidRPr="00F04787">
        <w:rPr>
          <w:rFonts w:eastAsiaTheme="minorEastAsia"/>
          <w:lang w:val="en-US"/>
        </w:rPr>
        <w:t xml:space="preserve">. We assumed that only undiagnosed and untreated infected individuals (i.e.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τ</m:t>
            </m:r>
            <m:r>
              <m:rPr>
                <m:sty m:val="p"/>
              </m:rPr>
              <w:rPr>
                <w:rFonts w:ascii="Cambria Math" w:hAnsi="Cambria Math"/>
                <w:lang w:val="en-US"/>
              </w:rPr>
              <m:t>,</m:t>
            </m:r>
            <m:r>
              <w:rPr>
                <w:rFonts w:ascii="Cambria Math" w:hAnsi="Cambria Math"/>
                <w:lang w:val="en-US"/>
              </w:rPr>
              <m:t>y=0,a,d=0</m:t>
            </m:r>
          </m:sub>
        </m:sSub>
      </m:oMath>
      <w:r w:rsidRPr="00F04787">
        <w:rPr>
          <w:rFonts w:eastAsiaTheme="minorEastAsia"/>
          <w:lang w:val="en-US"/>
        </w:rPr>
        <w:t xml:space="preserve">) were given post-exposure prophylaxis which would lower their infectiousness that </w:t>
      </w:r>
      <w:r w:rsidR="008E5E90" w:rsidRPr="00F04787">
        <w:rPr>
          <w:rFonts w:eastAsiaTheme="minorEastAsia"/>
          <w:lang w:val="en-US"/>
        </w:rPr>
        <w:t>similarly depend</w:t>
      </w:r>
      <w:r w:rsidRPr="00F04787">
        <w:rPr>
          <w:rFonts w:eastAsiaTheme="minorEastAsia"/>
          <w:lang w:val="en-US"/>
        </w:rPr>
        <w:t>ed</w:t>
      </w:r>
      <w:r w:rsidR="008E5E90" w:rsidRPr="00F04787">
        <w:rPr>
          <w:rFonts w:eastAsiaTheme="minorEastAsia"/>
          <w:lang w:val="en-US"/>
        </w:rPr>
        <w:t xml:space="preserve"> on the age of their infection </w:t>
      </w:r>
      <m:oMath>
        <m:r>
          <w:rPr>
            <w:rFonts w:ascii="Cambria Math" w:eastAsiaTheme="minorEastAsia" w:hAnsi="Cambria Math"/>
            <w:lang w:val="en-US" w:eastAsia="zh-CN"/>
          </w:rPr>
          <m:t>τ</m:t>
        </m:r>
      </m:oMath>
      <w:r w:rsidR="008E5E90" w:rsidRPr="00F04787">
        <w:rPr>
          <w:rFonts w:eastAsiaTheme="minorEastAsia"/>
          <w:lang w:val="en-US" w:eastAsia="zh-CN"/>
        </w:rPr>
        <w:t xml:space="preserve"> when they </w:t>
      </w:r>
      <w:r w:rsidRPr="00F04787">
        <w:rPr>
          <w:rFonts w:eastAsiaTheme="minorEastAsia"/>
          <w:lang w:val="en-US" w:eastAsia="zh-CN"/>
        </w:rPr>
        <w:t>were</w:t>
      </w:r>
      <w:r w:rsidR="008E5E90" w:rsidRPr="00F04787">
        <w:rPr>
          <w:rFonts w:eastAsiaTheme="minorEastAsia"/>
          <w:lang w:val="en-US" w:eastAsia="zh-CN"/>
        </w:rPr>
        <w:t xml:space="preserve"> administered the drug. </w:t>
      </w:r>
      <w:r w:rsidR="00087980" w:rsidRPr="00F04787">
        <w:rPr>
          <w:rFonts w:eastAsiaTheme="minorEastAsia"/>
          <w:lang w:val="en-US" w:eastAsia="zh-CN"/>
        </w:rPr>
        <w:t xml:space="preserve">We assumed that post-exposure prophylaxis are distributed multinomially across individuals with infection age </w:t>
      </w:r>
      <m:oMath>
        <m:r>
          <w:rPr>
            <w:rFonts w:ascii="Cambria Math" w:eastAsiaTheme="minorEastAsia" w:hAnsi="Cambria Math"/>
            <w:lang w:val="en-US" w:eastAsia="zh-CN"/>
          </w:rPr>
          <m:t>τ</m:t>
        </m:r>
      </m:oMath>
      <w:r w:rsidR="00087980" w:rsidRPr="00F04787">
        <w:rPr>
          <w:rFonts w:eastAsiaTheme="minorEastAsia"/>
          <w:lang w:val="en-US" w:eastAsia="zh-CN"/>
        </w:rPr>
        <w:t xml:space="preserve">, employing the Sainte-Laguë apportionment method for integer allocation. </w:t>
      </w:r>
    </w:p>
    <w:p w14:paraId="0FC8AD09" w14:textId="77777777" w:rsidR="00D339C7" w:rsidRPr="00F04787" w:rsidRDefault="00D339C7" w:rsidP="00A446F7">
      <w:pPr>
        <w:rPr>
          <w:rFonts w:eastAsiaTheme="minorEastAsia"/>
          <w:lang w:val="en-US"/>
        </w:rPr>
      </w:pPr>
    </w:p>
    <w:p w14:paraId="74CE1EC7" w14:textId="77777777" w:rsidR="004A69FC" w:rsidRPr="00F04787" w:rsidRDefault="004A69FC" w:rsidP="0055385D">
      <w:pPr>
        <w:pStyle w:val="Heading2"/>
      </w:pPr>
      <w:bookmarkStart w:id="5" w:name="_Toc189816101"/>
      <w:r w:rsidRPr="00F04787">
        <w:t>Hospitalization and deaths</w:t>
      </w:r>
      <w:bookmarkEnd w:id="5"/>
      <w:r w:rsidRPr="00F04787">
        <w:t xml:space="preserve"> </w:t>
      </w:r>
    </w:p>
    <w:p w14:paraId="227FA1A5" w14:textId="58792536" w:rsidR="004A69FC" w:rsidRPr="00F04787" w:rsidRDefault="00C574AA" w:rsidP="004A69FC">
      <w:pPr>
        <w:rPr>
          <w:lang w:val="en-US"/>
        </w:rPr>
      </w:pPr>
      <w:r w:rsidRPr="00F04787">
        <w:rPr>
          <w:lang w:val="en-US"/>
        </w:rPr>
        <w:t>We assumed that t</w:t>
      </w:r>
      <w:r w:rsidR="004A69FC" w:rsidRPr="00F04787">
        <w:rPr>
          <w:lang w:val="en-US"/>
        </w:rPr>
        <w:t xml:space="preserve">he expected number of </w:t>
      </w:r>
      <w:r w:rsidRPr="00F04787">
        <w:rPr>
          <w:lang w:val="en-US"/>
        </w:rPr>
        <w:t xml:space="preserve">hospitalisations and deaths correlate with the number of infected individuals. The number of </w:t>
      </w:r>
      <w:r w:rsidR="004A69FC" w:rsidRPr="00F04787">
        <w:rPr>
          <w:lang w:val="en-US"/>
        </w:rPr>
        <w:t xml:space="preserve">individuals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t,α</m:t>
            </m:r>
          </m:sub>
        </m:sSub>
      </m:oMath>
      <w:r w:rsidR="004A69FC" w:rsidRPr="00F04787">
        <w:rPr>
          <w:lang w:val="en-US"/>
        </w:rPr>
        <w:t xml:space="preserve"> in group </w:t>
      </w:r>
      <m:oMath>
        <m:r>
          <w:rPr>
            <w:rFonts w:ascii="Cambria Math" w:hAnsi="Cambria Math"/>
            <w:lang w:val="en-US"/>
          </w:rPr>
          <m:t>α</m:t>
        </m:r>
      </m:oMath>
      <w:r w:rsidR="004A69FC" w:rsidRPr="00F04787">
        <w:rPr>
          <w:lang w:val="en-US"/>
        </w:rPr>
        <w:t xml:space="preserve"> that are hospitalized on day </w:t>
      </w:r>
      <m:oMath>
        <m:r>
          <w:rPr>
            <w:rFonts w:ascii="Cambria Math" w:hAnsi="Cambria Math"/>
            <w:lang w:val="en-US"/>
          </w:rPr>
          <m:t>t</m:t>
        </m:r>
      </m:oMath>
      <w:r w:rsidR="004A69FC" w:rsidRPr="00F04787">
        <w:rPr>
          <w:lang w:val="en-US"/>
        </w:rPr>
        <w:t xml:space="preserve"> is: </w:t>
      </w:r>
    </w:p>
    <w:p w14:paraId="1568F968" w14:textId="77777777" w:rsidR="004A69FC" w:rsidRPr="00F04787" w:rsidRDefault="004A69FC" w:rsidP="004A69FC">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35"/>
      </w:tblGrid>
      <w:tr w:rsidR="004A69FC" w:rsidRPr="00F04787" w14:paraId="062D1052" w14:textId="77777777" w:rsidTr="006933F4">
        <w:tc>
          <w:tcPr>
            <w:tcW w:w="8075" w:type="dxa"/>
            <w:vAlign w:val="center"/>
          </w:tcPr>
          <w:p w14:paraId="7734C2AD" w14:textId="50E3D199" w:rsidR="004A69FC" w:rsidRPr="00F04787" w:rsidRDefault="00C3343E" w:rsidP="006933F4">
            <w:pP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t,α</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τ=0</m:t>
                    </m:r>
                  </m:sub>
                  <m:sup>
                    <m:r>
                      <w:rPr>
                        <w:rFonts w:ascii="Cambria Math" w:hAnsi="Cambria Math"/>
                        <w:lang w:val="en-US"/>
                      </w:rPr>
                      <m:t>t-1</m:t>
                    </m:r>
                  </m:sup>
                  <m:e>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 xml:space="preserve">ξ=0 </m:t>
                            </m:r>
                          </m:sub>
                          <m:sup>
                            <m:r>
                              <w:rPr>
                                <w:rFonts w:ascii="Cambria Math" w:hAnsi="Cambria Math"/>
                                <w:lang w:val="en-US"/>
                              </w:rPr>
                              <m:t>t-τ</m:t>
                            </m:r>
                          </m:sup>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ξ</m:t>
                                </m:r>
                              </m:sub>
                            </m:sSub>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α</m:t>
                                </m:r>
                              </m:sub>
                              <m:sup>
                                <m:r>
                                  <w:rPr>
                                    <w:rFonts w:ascii="Cambria Math" w:hAnsi="Cambria Math"/>
                                    <w:lang w:val="en-US"/>
                                  </w:rPr>
                                  <m:t>hosp</m:t>
                                </m:r>
                              </m:sup>
                            </m:sSubSup>
                          </m:e>
                        </m:nary>
                      </m:e>
                    </m:d>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τ,α</m:t>
                        </m:r>
                      </m:sub>
                    </m:sSub>
                  </m:e>
                </m:nary>
              </m:oMath>
            </m:oMathPara>
          </w:p>
        </w:tc>
        <w:tc>
          <w:tcPr>
            <w:tcW w:w="935" w:type="dxa"/>
            <w:vAlign w:val="center"/>
          </w:tcPr>
          <w:p w14:paraId="3E1D5405" w14:textId="561A9B4F" w:rsidR="004A69FC" w:rsidRPr="00F04787" w:rsidRDefault="004A69FC" w:rsidP="006933F4">
            <w:pPr>
              <w:jc w:val="center"/>
              <w:rPr>
                <w:lang w:val="en-US"/>
              </w:rPr>
            </w:pPr>
            <m:oMathPara>
              <m:oMath>
                <m:r>
                  <w:rPr>
                    <w:rFonts w:ascii="Cambria Math" w:hAnsi="Cambria Math"/>
                    <w:lang w:val="en-US"/>
                  </w:rPr>
                  <m:t>(21)</m:t>
                </m:r>
              </m:oMath>
            </m:oMathPara>
          </w:p>
        </w:tc>
      </w:tr>
    </w:tbl>
    <w:p w14:paraId="09D7DEBA" w14:textId="77777777" w:rsidR="004A69FC" w:rsidRPr="00F04787" w:rsidRDefault="004A69FC" w:rsidP="004A69FC">
      <w:pPr>
        <w:rPr>
          <w:lang w:val="en-US"/>
        </w:rPr>
      </w:pPr>
    </w:p>
    <w:p w14:paraId="39883D3E" w14:textId="3D38CEB6" w:rsidR="004A69FC" w:rsidRPr="00F04787" w:rsidRDefault="004A69FC" w:rsidP="004A69FC">
      <w:pPr>
        <w:rPr>
          <w:lang w:val="en-US"/>
        </w:rPr>
      </w:pPr>
      <w:r w:rsidRPr="00F04787">
        <w:rPr>
          <w:lang w:val="en-US"/>
        </w:rPr>
        <w:t xml:space="preserve">where </w:t>
      </w:r>
      <m:oMath>
        <m:sSubSup>
          <m:sSubSupPr>
            <m:ctrlPr>
              <w:rPr>
                <w:rFonts w:ascii="Cambria Math" w:eastAsiaTheme="minorEastAsia" w:hAnsi="Cambria Math"/>
                <w:i/>
                <w:lang w:val="en-US" w:eastAsia="zh-CN"/>
              </w:rPr>
            </m:ctrlPr>
          </m:sSubSupPr>
          <m:e>
            <m:r>
              <w:rPr>
                <w:rFonts w:ascii="Cambria Math" w:hAnsi="Cambria Math"/>
                <w:lang w:val="en-US"/>
              </w:rPr>
              <m:t>p</m:t>
            </m:r>
          </m:e>
          <m:sub>
            <m:r>
              <w:rPr>
                <w:rFonts w:ascii="Cambria Math" w:hAnsi="Cambria Math"/>
                <w:lang w:val="en-US"/>
              </w:rPr>
              <m:t>α</m:t>
            </m:r>
          </m:sub>
          <m:sup>
            <m:r>
              <w:rPr>
                <w:rFonts w:ascii="Cambria Math" w:hAnsi="Cambria Math"/>
                <w:lang w:val="en-US"/>
              </w:rPr>
              <m:t>hosp</m:t>
            </m:r>
          </m:sup>
        </m:sSubSup>
      </m:oMath>
      <w:r w:rsidRPr="00F04787">
        <w:rPr>
          <w:lang w:val="en-US"/>
        </w:rPr>
        <w:t xml:space="preserve"> is the probability that symptomatic individuals in group </w:t>
      </w:r>
      <m:oMath>
        <m:r>
          <w:rPr>
            <w:rFonts w:ascii="Cambria Math" w:hAnsi="Cambria Math"/>
            <w:lang w:val="en-US"/>
          </w:rPr>
          <m:t>α</m:t>
        </m:r>
      </m:oMath>
      <w:r w:rsidRPr="00F04787">
        <w:rPr>
          <w:lang w:val="en-US"/>
        </w:rPr>
        <w:t xml:space="preserve"> are hospitalized. </w:t>
      </w:r>
    </w:p>
    <w:p w14:paraId="6EA88D59" w14:textId="53437E26" w:rsidR="00C9431E" w:rsidRPr="00F04787" w:rsidRDefault="00C9431E" w:rsidP="004A69FC">
      <w:pPr>
        <w:rPr>
          <w:lang w:val="en-US"/>
        </w:rPr>
      </w:pPr>
    </w:p>
    <w:p w14:paraId="5F4B6A85" w14:textId="6DA09222" w:rsidR="00C9431E" w:rsidRPr="00F04787" w:rsidRDefault="00C9431E" w:rsidP="004A69FC">
      <w:pPr>
        <w:rPr>
          <w:rFonts w:eastAsiaTheme="minorEastAsia"/>
          <w:lang w:val="en-US"/>
        </w:rPr>
      </w:pPr>
      <w:r w:rsidRPr="00F04787">
        <w:rPr>
          <w:lang w:val="en-US"/>
        </w:rPr>
        <w:t xml:space="preserve">Analogously, the number of deaths in group </w:t>
      </w:r>
      <m:oMath>
        <m:r>
          <w:rPr>
            <w:rFonts w:ascii="Cambria Math" w:hAnsi="Cambria Math"/>
            <w:lang w:val="en-US"/>
          </w:rPr>
          <m:t>α</m:t>
        </m:r>
      </m:oMath>
      <w:r w:rsidRPr="00F04787">
        <w:rPr>
          <w:rFonts w:eastAsiaTheme="minorEastAsia"/>
          <w:lang w:val="en-US"/>
        </w:rPr>
        <w:t xml:space="preserve"> on day </w:t>
      </w:r>
      <m:oMath>
        <m:r>
          <w:rPr>
            <w:rFonts w:ascii="Cambria Math" w:hAnsi="Cambria Math"/>
            <w:lang w:val="en-US"/>
          </w:rPr>
          <m:t>t</m:t>
        </m:r>
      </m:oMath>
      <w:r w:rsidR="009C0D45" w:rsidRPr="00F0478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t,α</m:t>
            </m:r>
          </m:sub>
        </m:sSub>
      </m:oMath>
      <w:r w:rsidR="009C0D45" w:rsidRPr="00F04787">
        <w:rPr>
          <w:rFonts w:eastAsiaTheme="minorEastAsia"/>
          <w:lang w:val="en-US"/>
        </w:rPr>
        <w:t>)</w:t>
      </w:r>
      <w:r w:rsidRPr="00F04787">
        <w:rPr>
          <w:rFonts w:eastAsiaTheme="minorEastAsia"/>
          <w:lang w:val="en-US"/>
        </w:rPr>
        <w:t xml:space="preserve"> is </w:t>
      </w:r>
    </w:p>
    <w:p w14:paraId="631C5AEC" w14:textId="77777777" w:rsidR="00C9431E" w:rsidRPr="00F04787" w:rsidRDefault="00C9431E" w:rsidP="004A69FC">
      <w:pPr>
        <w:rPr>
          <w:rFonts w:eastAsiaTheme="minorEastAsia"/>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35"/>
      </w:tblGrid>
      <w:tr w:rsidR="00C9431E" w:rsidRPr="00F04787" w14:paraId="621A2B31" w14:textId="77777777" w:rsidTr="007508CC">
        <w:tc>
          <w:tcPr>
            <w:tcW w:w="8075" w:type="dxa"/>
            <w:vAlign w:val="center"/>
          </w:tcPr>
          <w:p w14:paraId="41BD5E2C" w14:textId="5B4A20DF" w:rsidR="00C9431E" w:rsidRPr="00F04787" w:rsidRDefault="00C3343E" w:rsidP="007508CC">
            <w:pPr>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t,α</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τ=0</m:t>
                    </m:r>
                  </m:sub>
                  <m:sup>
                    <m:r>
                      <w:rPr>
                        <w:rFonts w:ascii="Cambria Math" w:hAnsi="Cambria Math"/>
                        <w:lang w:val="en-US"/>
                      </w:rPr>
                      <m:t>t-1</m:t>
                    </m:r>
                  </m:sup>
                  <m:e>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 xml:space="preserve">ξ=0 </m:t>
                            </m:r>
                          </m:sub>
                          <m:sup>
                            <m:r>
                              <w:rPr>
                                <w:rFonts w:ascii="Cambria Math" w:hAnsi="Cambria Math"/>
                                <w:lang w:val="en-US"/>
                              </w:rPr>
                              <m:t>t-τ</m:t>
                            </m:r>
                          </m:sup>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ξ</m:t>
                                </m:r>
                              </m:sub>
                            </m:sSub>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α</m:t>
                                </m:r>
                              </m:sub>
                              <m:sup>
                                <m:r>
                                  <w:rPr>
                                    <w:rFonts w:ascii="Cambria Math" w:hAnsi="Cambria Math"/>
                                    <w:lang w:val="en-US"/>
                                  </w:rPr>
                                  <m:t>dea</m:t>
                                </m:r>
                              </m:sup>
                            </m:sSubSup>
                          </m:e>
                        </m:nary>
                      </m:e>
                    </m:d>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τ,α</m:t>
                        </m:r>
                      </m:sub>
                    </m:sSub>
                  </m:e>
                </m:nary>
              </m:oMath>
            </m:oMathPara>
          </w:p>
        </w:tc>
        <w:tc>
          <w:tcPr>
            <w:tcW w:w="935" w:type="dxa"/>
            <w:vAlign w:val="center"/>
          </w:tcPr>
          <w:p w14:paraId="18D297E7" w14:textId="007DEEF7" w:rsidR="00C9431E" w:rsidRPr="00F04787" w:rsidRDefault="00C9431E" w:rsidP="007508CC">
            <w:pPr>
              <w:jc w:val="center"/>
              <w:rPr>
                <w:lang w:val="en-US"/>
              </w:rPr>
            </w:pPr>
            <m:oMathPara>
              <m:oMath>
                <m:r>
                  <w:rPr>
                    <w:rFonts w:ascii="Cambria Math" w:hAnsi="Cambria Math"/>
                    <w:lang w:val="en-US"/>
                  </w:rPr>
                  <m:t>(22)</m:t>
                </m:r>
              </m:oMath>
            </m:oMathPara>
          </w:p>
        </w:tc>
      </w:tr>
    </w:tbl>
    <w:p w14:paraId="62E68D08" w14:textId="77777777" w:rsidR="00C9431E" w:rsidRPr="00F04787" w:rsidRDefault="00C9431E" w:rsidP="004A69FC">
      <w:pPr>
        <w:rPr>
          <w:lang w:val="en-US"/>
        </w:rPr>
      </w:pPr>
    </w:p>
    <w:p w14:paraId="120F2DC4" w14:textId="5E127D9E" w:rsidR="00287C9F" w:rsidRDefault="009C0D45" w:rsidP="009C0D45">
      <w:pPr>
        <w:rPr>
          <w:lang w:val="en-US"/>
        </w:rPr>
      </w:pPr>
      <w:r w:rsidRPr="00F04787">
        <w:rPr>
          <w:lang w:val="en-US"/>
        </w:rPr>
        <w:t xml:space="preserve">where </w:t>
      </w:r>
      <m:oMath>
        <m:sSubSup>
          <m:sSubSupPr>
            <m:ctrlPr>
              <w:rPr>
                <w:rFonts w:ascii="Cambria Math" w:eastAsiaTheme="minorEastAsia" w:hAnsi="Cambria Math"/>
                <w:i/>
                <w:lang w:val="en-US" w:eastAsia="zh-CN"/>
              </w:rPr>
            </m:ctrlPr>
          </m:sSubSupPr>
          <m:e>
            <m:r>
              <w:rPr>
                <w:rFonts w:ascii="Cambria Math" w:hAnsi="Cambria Math"/>
                <w:lang w:val="en-US"/>
              </w:rPr>
              <m:t>p</m:t>
            </m:r>
          </m:e>
          <m:sub>
            <m:r>
              <w:rPr>
                <w:rFonts w:ascii="Cambria Math" w:hAnsi="Cambria Math"/>
                <w:lang w:val="en-US"/>
              </w:rPr>
              <m:t>α</m:t>
            </m:r>
          </m:sub>
          <m:sup>
            <m:r>
              <w:rPr>
                <w:rFonts w:ascii="Cambria Math" w:hAnsi="Cambria Math"/>
                <w:lang w:val="en-US"/>
              </w:rPr>
              <m:t>dea</m:t>
            </m:r>
          </m:sup>
        </m:sSubSup>
      </m:oMath>
      <w:r w:rsidRPr="00F04787">
        <w:rPr>
          <w:lang w:val="en-US"/>
        </w:rPr>
        <w:t xml:space="preserve"> is the probability that symptomatic individuals in group </w:t>
      </w:r>
      <m:oMath>
        <m:r>
          <w:rPr>
            <w:rFonts w:ascii="Cambria Math" w:hAnsi="Cambria Math"/>
            <w:lang w:val="en-US"/>
          </w:rPr>
          <m:t>α</m:t>
        </m:r>
      </m:oMath>
      <w:r w:rsidR="00DB323B">
        <w:rPr>
          <w:rFonts w:eastAsiaTheme="minorEastAsia"/>
          <w:lang w:val="en-US"/>
        </w:rPr>
        <w:t xml:space="preserve"> that</w:t>
      </w:r>
      <w:r w:rsidRPr="00F04787">
        <w:rPr>
          <w:lang w:val="en-US"/>
        </w:rPr>
        <w:t xml:space="preserve"> died. </w:t>
      </w:r>
    </w:p>
    <w:p w14:paraId="49B770EE" w14:textId="1D7445FC" w:rsidR="00BD00C6" w:rsidRDefault="00BD00C6" w:rsidP="009C0D45">
      <w:pPr>
        <w:rPr>
          <w:lang w:val="en-US"/>
        </w:rPr>
      </w:pPr>
    </w:p>
    <w:p w14:paraId="10ADA120" w14:textId="421F4728" w:rsidR="00BD00C6" w:rsidRPr="00F04787" w:rsidRDefault="00BD00C6" w:rsidP="009C0D45">
      <w:pPr>
        <w:rPr>
          <w:lang w:val="en-US"/>
        </w:rPr>
      </w:pPr>
      <w:r>
        <w:rPr>
          <w:lang w:val="en-US"/>
        </w:rPr>
        <w:t>Table S</w:t>
      </w:r>
      <w:r w:rsidR="0050665A">
        <w:rPr>
          <w:lang w:val="en-US"/>
        </w:rPr>
        <w:t>1</w:t>
      </w:r>
      <w:r w:rsidR="00163FD7">
        <w:rPr>
          <w:lang w:val="en-US"/>
        </w:rPr>
        <w:t xml:space="preserve"> </w:t>
      </w:r>
      <w:r>
        <w:rPr>
          <w:lang w:val="en-US"/>
        </w:rPr>
        <w:t xml:space="preserve">tabulates </w:t>
      </w:r>
      <w:r w:rsidR="00370A32">
        <w:rPr>
          <w:lang w:val="en-US"/>
        </w:rPr>
        <w:t>the</w:t>
      </w:r>
      <w:r>
        <w:rPr>
          <w:lang w:val="en-US"/>
        </w:rPr>
        <w:t xml:space="preserve"> parameters </w:t>
      </w:r>
      <w:r w:rsidR="00163FD7">
        <w:rPr>
          <w:lang w:val="en-US"/>
        </w:rPr>
        <w:t xml:space="preserve">used in </w:t>
      </w:r>
      <w:r w:rsidR="00AB372B">
        <w:rPr>
          <w:lang w:val="en-US"/>
        </w:rPr>
        <w:t>the</w:t>
      </w:r>
      <w:r w:rsidR="00163FD7">
        <w:rPr>
          <w:lang w:val="en-US"/>
        </w:rPr>
        <w:t xml:space="preserve"> between-host</w:t>
      </w:r>
      <w:r>
        <w:rPr>
          <w:lang w:val="en-US"/>
        </w:rPr>
        <w:t xml:space="preserve"> </w:t>
      </w:r>
      <w:r w:rsidR="00163FD7">
        <w:rPr>
          <w:lang w:val="en-US"/>
        </w:rPr>
        <w:t xml:space="preserve">transmission </w:t>
      </w:r>
      <w:r>
        <w:rPr>
          <w:lang w:val="en-US"/>
        </w:rPr>
        <w:t>model.</w:t>
      </w:r>
    </w:p>
    <w:p w14:paraId="65C54E36" w14:textId="77777777" w:rsidR="004D778B" w:rsidRPr="00F04787" w:rsidRDefault="004D778B" w:rsidP="00A446F7">
      <w:pPr>
        <w:rPr>
          <w:lang w:val="en-US"/>
        </w:rPr>
      </w:pPr>
    </w:p>
    <w:p w14:paraId="0F27C304" w14:textId="03B44649" w:rsidR="00575E1A" w:rsidRPr="00F04787" w:rsidRDefault="009551BB" w:rsidP="00AE66B8">
      <w:pPr>
        <w:pStyle w:val="Heading1"/>
      </w:pPr>
      <w:bookmarkStart w:id="6" w:name="_Toc189816102"/>
      <w:r w:rsidRPr="00F04787">
        <w:t>Bayesian multilevel model</w:t>
      </w:r>
      <w:bookmarkEnd w:id="6"/>
      <w:r w:rsidRPr="00F04787">
        <w:t xml:space="preserve"> </w:t>
      </w:r>
    </w:p>
    <w:p w14:paraId="670D63AF" w14:textId="4C719515" w:rsidR="00FC4C97" w:rsidRPr="00F04787" w:rsidRDefault="00054693">
      <w:pPr>
        <w:rPr>
          <w:rFonts w:eastAsiaTheme="minorEastAsia"/>
          <w:lang w:val="en-US"/>
        </w:rPr>
      </w:pPr>
      <w:r w:rsidRPr="00F04787">
        <w:rPr>
          <w:lang w:val="en-US"/>
        </w:rPr>
        <w:t>To determine the impact of delays to population distribution and individual treatment, different antiviral distribution strategies including extending the treatment window period since symptom onset, instituting age restrictions on access to treatment and providing prophylactic treatment to exposed contacts, as well as the spread of antiviral resistance, w</w:t>
      </w:r>
      <w:r w:rsidR="00FC4C97" w:rsidRPr="00F04787">
        <w:rPr>
          <w:lang w:val="en-US"/>
        </w:rPr>
        <w:t xml:space="preserve">e </w:t>
      </w:r>
      <w:r w:rsidRPr="00F04787">
        <w:rPr>
          <w:lang w:val="en-US"/>
        </w:rPr>
        <w:t xml:space="preserve">used a Bayesian multilevel model that partially pooled </w:t>
      </w:r>
      <w:r w:rsidR="00F15139" w:rsidRPr="00F04787">
        <w:rPr>
          <w:lang w:val="en-US"/>
        </w:rPr>
        <w:t xml:space="preserve">simulation </w:t>
      </w:r>
      <w:r w:rsidRPr="00F04787">
        <w:rPr>
          <w:lang w:val="en-US"/>
        </w:rPr>
        <w:t xml:space="preserve">estimates </w:t>
      </w:r>
      <w:r w:rsidRPr="00F04787">
        <w:rPr>
          <w:rFonts w:eastAsiaTheme="minorEastAsia"/>
          <w:lang w:val="en-US"/>
        </w:rPr>
        <w:t>of percentage of deaths averted by antiviral use and the amount of antivirals demand relative to population size for a range of the aforementioned factors across countries and pandemic scenarios.</w:t>
      </w:r>
      <w:r w:rsidR="00FC4C97" w:rsidRPr="00F04787">
        <w:rPr>
          <w:lang w:val="en-US"/>
        </w:rPr>
        <w:t xml:space="preserve"> </w:t>
      </w:r>
      <w:r w:rsidRPr="00F04787">
        <w:rPr>
          <w:lang w:val="en-US"/>
        </w:rPr>
        <w:t xml:space="preserve">We assumed a linear correlation </w:t>
      </w:r>
      <w:r w:rsidR="00FC4C97" w:rsidRPr="00F04787">
        <w:rPr>
          <w:lang w:val="en-US"/>
        </w:rPr>
        <w:t>between the</w:t>
      </w:r>
      <w:r w:rsidRPr="00F04787">
        <w:rPr>
          <w:lang w:val="en-US"/>
        </w:rPr>
        <w:t xml:space="preserve"> predicted mean-centered</w:t>
      </w:r>
      <w:r w:rsidR="00FC4C97" w:rsidRPr="00F04787">
        <w:rPr>
          <w:lang w:val="en-US"/>
        </w:rPr>
        <w:t xml:space="preserve"> </w:t>
      </w:r>
      <w:r w:rsidR="002E29E8" w:rsidRPr="00F04787">
        <w:rPr>
          <w:lang w:val="en-US"/>
        </w:rPr>
        <w:t>response</w:t>
      </w:r>
      <w:r w:rsidR="00AD2420" w:rsidRPr="00F04787">
        <w:rPr>
          <w:lang w:val="en-US"/>
        </w:rPr>
        <w:t xml:space="preserve"> </w:t>
      </w:r>
      <w:r w:rsidR="00F15139" w:rsidRPr="00F04787">
        <w:rPr>
          <w:lang w:val="en-US"/>
        </w:rPr>
        <w:t>variable</w:t>
      </w:r>
      <w:r w:rsidR="00FC4C97" w:rsidRPr="00F04787">
        <w:rPr>
          <w:lang w:val="en-US"/>
        </w:rPr>
        <w:t xml:space="preserve"> </w:t>
      </w:r>
      <w:r w:rsidR="00AD2420" w:rsidRPr="00F04787">
        <w:rPr>
          <w:lang w:val="en-US"/>
        </w:rPr>
        <w:t>(</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c,p</m:t>
            </m:r>
          </m:sub>
        </m:sSub>
      </m:oMath>
      <w:r w:rsidR="00AD2420" w:rsidRPr="00F04787">
        <w:rPr>
          <w:rFonts w:eastAsiaTheme="minorEastAsia"/>
          <w:lang w:val="en-US"/>
        </w:rPr>
        <w:t>)</w:t>
      </w:r>
      <w:r w:rsidRPr="00F04787">
        <w:rPr>
          <w:rFonts w:eastAsiaTheme="minorEastAsia"/>
          <w:lang w:val="en-US"/>
        </w:rPr>
        <w:t xml:space="preserve"> </w:t>
      </w:r>
      <w:r w:rsidRPr="00F04787">
        <w:rPr>
          <w:lang w:val="en-US"/>
        </w:rPr>
        <w:t xml:space="preserve">for pandemic </w:t>
      </w:r>
      <m:oMath>
        <m:r>
          <w:rPr>
            <w:rFonts w:ascii="Cambria Math" w:hAnsi="Cambria Math"/>
            <w:lang w:val="en-US"/>
          </w:rPr>
          <m:t>p</m:t>
        </m:r>
      </m:oMath>
      <w:r w:rsidRPr="00F04787">
        <w:rPr>
          <w:rFonts w:eastAsiaTheme="minorEastAsia"/>
          <w:lang w:val="en-US"/>
        </w:rPr>
        <w:t xml:space="preserve"> in country </w:t>
      </w:r>
      <m:oMath>
        <m:r>
          <w:rPr>
            <w:rFonts w:ascii="Cambria Math" w:eastAsiaTheme="minorEastAsia" w:hAnsi="Cambria Math"/>
            <w:lang w:val="en-US"/>
          </w:rPr>
          <m:t>c</m:t>
        </m:r>
      </m:oMath>
      <w:r w:rsidR="00FC4C97" w:rsidRPr="00F04787">
        <w:rPr>
          <w:rFonts w:eastAsiaTheme="minorEastAsia"/>
          <w:lang w:val="en-US"/>
        </w:rPr>
        <w:t xml:space="preserve"> and predictor variables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oMath>
      <w:r w:rsidR="00FC4C97" w:rsidRPr="00F04787">
        <w:rPr>
          <w:rFonts w:eastAsiaTheme="minorEastAsia"/>
          <w:lang w:val="en-US"/>
        </w:rPr>
        <w:t xml:space="preserve">: </w:t>
      </w:r>
    </w:p>
    <w:p w14:paraId="1E32DA0B" w14:textId="77777777" w:rsidR="00A26B67" w:rsidRPr="00F04787" w:rsidRDefault="00A26B67">
      <w:pPr>
        <w:rPr>
          <w:rFonts w:eastAsiaTheme="minorEastAsia"/>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35"/>
      </w:tblGrid>
      <w:tr w:rsidR="00A26B67" w:rsidRPr="00F04787" w14:paraId="6B124559" w14:textId="77777777" w:rsidTr="007508CC">
        <w:tc>
          <w:tcPr>
            <w:tcW w:w="8075" w:type="dxa"/>
            <w:vAlign w:val="center"/>
          </w:tcPr>
          <w:p w14:paraId="7C129CDF" w14:textId="2A921B65" w:rsidR="00A26B67" w:rsidRPr="00F04787" w:rsidRDefault="00C3343E" w:rsidP="007508CC">
            <w:pPr>
              <w:rPr>
                <w:lang w:val="en-US"/>
              </w:rPr>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c,p</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k,c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k,p</m:t>
                            </m:r>
                          </m:sub>
                        </m:sSub>
                      </m:e>
                    </m:d>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k,c,p</m:t>
                        </m:r>
                      </m:sub>
                    </m:sSub>
                  </m:e>
                </m:nary>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0,p</m:t>
                        </m:r>
                      </m:sub>
                    </m:sSub>
                  </m:e>
                </m:d>
              </m:oMath>
            </m:oMathPara>
          </w:p>
        </w:tc>
        <w:tc>
          <w:tcPr>
            <w:tcW w:w="935" w:type="dxa"/>
            <w:vAlign w:val="center"/>
          </w:tcPr>
          <w:p w14:paraId="71191A49" w14:textId="791C7F19" w:rsidR="00A26B67" w:rsidRPr="00F04787" w:rsidRDefault="00A26B67" w:rsidP="007508CC">
            <w:pPr>
              <w:jc w:val="center"/>
              <w:rPr>
                <w:lang w:val="en-US"/>
              </w:rPr>
            </w:pPr>
            <m:oMathPara>
              <m:oMath>
                <m:r>
                  <w:rPr>
                    <w:rFonts w:ascii="Cambria Math" w:hAnsi="Cambria Math"/>
                    <w:lang w:val="en-US"/>
                  </w:rPr>
                  <m:t>(23)</m:t>
                </m:r>
              </m:oMath>
            </m:oMathPara>
          </w:p>
        </w:tc>
      </w:tr>
    </w:tbl>
    <w:p w14:paraId="445E98A4" w14:textId="77777777" w:rsidR="00A26B67" w:rsidRPr="00F04787" w:rsidRDefault="00A26B67">
      <w:pPr>
        <w:rPr>
          <w:rFonts w:eastAsiaTheme="minorEastAsia"/>
          <w:lang w:val="en-US"/>
        </w:rPr>
      </w:pPr>
    </w:p>
    <w:p w14:paraId="6D456C22" w14:textId="398D619E" w:rsidR="004A43D9" w:rsidRPr="00F04787" w:rsidRDefault="00A26B67">
      <w:pPr>
        <w:rPr>
          <w:rFonts w:eastAsiaTheme="minorEastAsia"/>
          <w:lang w:val="en-US"/>
        </w:rPr>
      </w:pPr>
      <w:r w:rsidRPr="00F04787">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k</m:t>
            </m:r>
          </m:sub>
        </m:sSub>
        <m:r>
          <w:rPr>
            <w:rFonts w:ascii="Cambria Math" w:eastAsiaTheme="minorEastAsia" w:hAnsi="Cambria Math"/>
            <w:lang w:val="en-US"/>
          </w:rPr>
          <m:t>,</m:t>
        </m:r>
      </m:oMath>
      <w:r w:rsidRPr="00F0478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k,c</m:t>
            </m:r>
          </m:sub>
        </m:sSub>
      </m:oMath>
      <w:r w:rsidRPr="00F04787">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k,p</m:t>
            </m:r>
          </m:sub>
        </m:sSub>
      </m:oMath>
      <w:r w:rsidRPr="00F04787">
        <w:rPr>
          <w:rFonts w:eastAsiaTheme="minorEastAsia"/>
          <w:lang w:val="en-US"/>
        </w:rPr>
        <w:t xml:space="preserve"> are the respective normalized </w:t>
      </w:r>
      <w:r w:rsidR="00D1473C" w:rsidRPr="00F04787">
        <w:rPr>
          <w:rFonts w:eastAsiaTheme="minorEastAsia"/>
          <w:lang w:val="en-US"/>
        </w:rPr>
        <w:t>fixed</w:t>
      </w:r>
      <w:r w:rsidRPr="00F04787">
        <w:rPr>
          <w:rFonts w:eastAsiaTheme="minorEastAsia"/>
          <w:lang w:val="en-US"/>
        </w:rPr>
        <w:t xml:space="preserve">, country- and pandemic-specific </w:t>
      </w:r>
      <w:r w:rsidR="00D1473C" w:rsidRPr="00F04787">
        <w:rPr>
          <w:rFonts w:eastAsiaTheme="minorEastAsia"/>
          <w:lang w:val="en-US"/>
        </w:rPr>
        <w:t>effects</w:t>
      </w:r>
      <w:r w:rsidRPr="00F04787">
        <w:rPr>
          <w:rFonts w:eastAsiaTheme="minorEastAsia"/>
          <w:lang w:val="en-US"/>
        </w:rPr>
        <w:t xml:space="preserve"> of predictor variable </w:t>
      </w:r>
      <m:oMath>
        <m:r>
          <w:rPr>
            <w:rFonts w:ascii="Cambria Math" w:eastAsiaTheme="minorEastAsia" w:hAnsi="Cambria Math"/>
            <w:lang w:val="en-US"/>
          </w:rPr>
          <m:t>k</m:t>
        </m:r>
      </m:oMath>
      <w:r w:rsidRPr="00F04787">
        <w:rPr>
          <w:rFonts w:eastAsiaTheme="minorEastAsia"/>
          <w:lang w:val="en-US"/>
        </w:rPr>
        <w:t xml:space="preserve"> while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oMath>
      <w:r w:rsidRPr="00F0478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0,c</m:t>
            </m:r>
          </m:sub>
        </m:sSub>
      </m:oMath>
      <w:r w:rsidRPr="00F04787">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0,p</m:t>
            </m:r>
          </m:sub>
        </m:sSub>
      </m:oMath>
      <w:r w:rsidRPr="00F04787">
        <w:rPr>
          <w:rFonts w:eastAsiaTheme="minorEastAsia"/>
          <w:lang w:val="en-US"/>
        </w:rPr>
        <w:t xml:space="preserve"> are the corresponding </w:t>
      </w:r>
      <w:r w:rsidR="00D1473C" w:rsidRPr="00F04787">
        <w:rPr>
          <w:rFonts w:eastAsiaTheme="minorEastAsia"/>
          <w:lang w:val="en-US"/>
        </w:rPr>
        <w:t>fixed</w:t>
      </w:r>
      <w:r w:rsidRPr="00F04787">
        <w:rPr>
          <w:rFonts w:eastAsiaTheme="minorEastAsia"/>
          <w:lang w:val="en-US"/>
        </w:rPr>
        <w:t>, country- and pandemic-specific intercepts.</w:t>
      </w:r>
      <w:r w:rsidR="00717F95" w:rsidRPr="00F04787">
        <w:rPr>
          <w:rFonts w:eastAsiaTheme="minorEastAsia"/>
          <w:lang w:val="en-US"/>
        </w:rPr>
        <w:t xml:space="preserve"> </w:t>
      </w:r>
      <w:r w:rsidR="005B71F4" w:rsidRPr="00F04787">
        <w:rPr>
          <w:rFonts w:eastAsiaTheme="minorEastAsia"/>
          <w:lang w:val="en-US"/>
        </w:rPr>
        <w:t>Following Gelman et al.,</w:t>
      </w:r>
      <w:r w:rsidR="005B71F4" w:rsidRPr="00F04787">
        <w:rPr>
          <w:rFonts w:eastAsiaTheme="minorEastAsia"/>
          <w:lang w:val="en-US"/>
        </w:rPr>
        <w:fldChar w:fldCharType="begin"/>
      </w:r>
      <w:r w:rsidR="007508CC" w:rsidRPr="00F04787">
        <w:rPr>
          <w:rFonts w:eastAsiaTheme="minorEastAsia"/>
          <w:lang w:val="en-US"/>
        </w:rPr>
        <w:instrText xml:space="preserve"> ADDIN ZOTERO_ITEM CSL_CITATION {"citationID":"C23Yj5x0","properties":{"formattedCitation":"\\super 25\\nosupersub{}","plainCitation":"25","noteIndex":0},"citationItems":[{"id":185,"uris":["http://zotero.org/users/local/0pdZPGmr/items/RUUNY33S"],"itemData":{"id":185,"type":"article-journal","container-title":"The Annals of Applied Statistics","DOI":"10.1214/08-AOAS191","issue":"4","journalAbbreviation":"The Annals of Applied Statistics","page":"1360-1383","title":"A weakly informative default prior distribution for logistic and other regression models","volume":"2","author":[{"literal":"Andrew Gelman"},{"literal":"Aleks Jakulin"},{"literal":"Maria Grazia Pittau"},{"literal":"Yu-Sung Su"}],"issued":{"date-parts":[["2008",12,1]]}}}],"schema":"https://github.com/citation-style-language/schema/raw/master/csl-citation.json"} </w:instrText>
      </w:r>
      <w:r w:rsidR="005B71F4" w:rsidRPr="00F04787">
        <w:rPr>
          <w:rFonts w:eastAsiaTheme="minorEastAsia"/>
          <w:lang w:val="en-US"/>
        </w:rPr>
        <w:fldChar w:fldCharType="separate"/>
      </w:r>
      <w:r w:rsidR="007508CC" w:rsidRPr="00F04787">
        <w:rPr>
          <w:vertAlign w:val="superscript"/>
          <w:lang w:val="en-US"/>
        </w:rPr>
        <w:t>25</w:t>
      </w:r>
      <w:r w:rsidR="005B71F4" w:rsidRPr="00F04787">
        <w:rPr>
          <w:rFonts w:eastAsiaTheme="minorEastAsia"/>
          <w:lang w:val="en-US"/>
        </w:rPr>
        <w:fldChar w:fldCharType="end"/>
      </w:r>
      <w:r w:rsidR="005B71F4" w:rsidRPr="00F04787">
        <w:rPr>
          <w:rFonts w:eastAsiaTheme="minorEastAsia"/>
          <w:lang w:val="en-US"/>
        </w:rPr>
        <w:t xml:space="preserve"> w</w:t>
      </w:r>
      <w:r w:rsidR="00D1473C" w:rsidRPr="00F04787">
        <w:rPr>
          <w:rFonts w:eastAsiaTheme="minorEastAsia"/>
          <w:lang w:val="en-US"/>
        </w:rPr>
        <w:t xml:space="preserve">e </w:t>
      </w:r>
      <w:r w:rsidR="005B71F4" w:rsidRPr="00F04787">
        <w:rPr>
          <w:rFonts w:eastAsiaTheme="minorEastAsia"/>
          <w:lang w:val="en-US"/>
        </w:rPr>
        <w:t>used</w:t>
      </w:r>
      <w:r w:rsidR="00D1473C" w:rsidRPr="00F04787">
        <w:rPr>
          <w:rFonts w:eastAsiaTheme="minorEastAsia"/>
          <w:lang w:val="en-US"/>
        </w:rPr>
        <w:t xml:space="preserve"> S</w:t>
      </w:r>
      <w:r w:rsidR="002E29E8" w:rsidRPr="00F04787">
        <w:rPr>
          <w:rFonts w:eastAsiaTheme="minorEastAsia"/>
          <w:lang w:val="en-US"/>
        </w:rPr>
        <w:t>tudent-</w:t>
      </w:r>
      <w:r w:rsidR="00D1473C" w:rsidRPr="00F04787">
        <w:rPr>
          <w:rFonts w:eastAsiaTheme="minorEastAsia"/>
          <w:i/>
          <w:lang w:val="en-US"/>
        </w:rPr>
        <w:t>t</w:t>
      </w:r>
      <w:r w:rsidR="002E29E8" w:rsidRPr="00F04787">
        <w:rPr>
          <w:rFonts w:eastAsiaTheme="minorEastAsia"/>
          <w:lang w:val="en-US"/>
        </w:rPr>
        <w:t xml:space="preserve"> priors</w:t>
      </w:r>
      <w:r w:rsidR="00D1473C" w:rsidRPr="00F04787">
        <w:rPr>
          <w:rFonts w:eastAsiaTheme="minorEastAsia"/>
          <w:lang w:val="en-US"/>
        </w:rPr>
        <w:t xml:space="preserve"> with </w:t>
      </w:r>
      <w:r w:rsidR="004A43D9" w:rsidRPr="00F04787">
        <w:rPr>
          <w:rFonts w:eastAsiaTheme="minorEastAsia"/>
          <w:lang w:val="en-US"/>
        </w:rPr>
        <w:t>three</w:t>
      </w:r>
      <w:r w:rsidR="00D1473C" w:rsidRPr="00F04787">
        <w:rPr>
          <w:rFonts w:eastAsiaTheme="minorEastAsia"/>
          <w:lang w:val="en-US"/>
        </w:rPr>
        <w:t xml:space="preserve"> degrees of freedom, mean of </w:t>
      </w:r>
      <w:r w:rsidR="004A43D9" w:rsidRPr="00F04787">
        <w:rPr>
          <w:rFonts w:eastAsiaTheme="minorEastAsia"/>
          <w:lang w:val="en-US"/>
        </w:rPr>
        <w:t>zero</w:t>
      </w:r>
      <w:r w:rsidR="00D1473C" w:rsidRPr="00F04787">
        <w:rPr>
          <w:rFonts w:eastAsiaTheme="minorEastAsia"/>
          <w:lang w:val="en-US"/>
        </w:rPr>
        <w:t xml:space="preserve"> and standard deviation (s.d.) of 2.5 </w:t>
      </w:r>
      <w:r w:rsidR="002E29E8" w:rsidRPr="00F04787">
        <w:rPr>
          <w:rFonts w:eastAsiaTheme="minorEastAsia"/>
          <w:lang w:val="en-US"/>
        </w:rPr>
        <w:t xml:space="preserve">for all </w:t>
      </w:r>
      <w:r w:rsidR="00D1473C" w:rsidRPr="00F04787">
        <w:rPr>
          <w:rFonts w:eastAsiaTheme="minorEastAsia"/>
          <w:lang w:val="en-US"/>
        </w:rPr>
        <w:t>effects</w:t>
      </w:r>
      <w:r w:rsidR="002E29E8" w:rsidRPr="00F04787">
        <w:rPr>
          <w:rFonts w:eastAsiaTheme="minorEastAsia"/>
          <w:lang w:val="en-US"/>
        </w:rPr>
        <w:t xml:space="preserve"> (</w:t>
      </w:r>
      <w:r w:rsidR="00D1473C" w:rsidRPr="00F04787">
        <w:rPr>
          <w:rFonts w:eastAsiaTheme="minorEastAsia"/>
          <w:lang w:val="en-US"/>
        </w:rPr>
        <w:t xml:space="preserve">i.e.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k</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k,c</m:t>
            </m:r>
          </m:sub>
        </m:sSub>
      </m:oMath>
      <w:r w:rsidR="00D1473C" w:rsidRPr="00F04787">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k,p</m:t>
            </m:r>
          </m:sub>
        </m:sSub>
      </m:oMath>
      <w:r w:rsidR="002E29E8" w:rsidRPr="00F04787">
        <w:rPr>
          <w:rFonts w:eastAsiaTheme="minorEastAsia"/>
          <w:lang w:val="en-US"/>
        </w:rPr>
        <w:t>) while</w:t>
      </w:r>
      <w:r w:rsidR="005B71F4" w:rsidRPr="00F04787">
        <w:rPr>
          <w:rFonts w:eastAsiaTheme="minorEastAsia"/>
          <w:lang w:val="en-US"/>
        </w:rPr>
        <w:t xml:space="preserve"> normal priors with mean of </w:t>
      </w:r>
      <w:r w:rsidR="004A43D9" w:rsidRPr="00F04787">
        <w:rPr>
          <w:rFonts w:eastAsiaTheme="minorEastAsia"/>
          <w:lang w:val="en-US"/>
        </w:rPr>
        <w:t>zero</w:t>
      </w:r>
      <w:r w:rsidR="005B71F4" w:rsidRPr="00F04787">
        <w:rPr>
          <w:rFonts w:eastAsiaTheme="minorEastAsia"/>
          <w:lang w:val="en-US"/>
        </w:rPr>
        <w:t xml:space="preserve"> and s.d. of </w:t>
      </w:r>
      <w:r w:rsidR="004A43D9" w:rsidRPr="00F04787">
        <w:rPr>
          <w:rFonts w:eastAsiaTheme="minorEastAsia"/>
          <w:lang w:val="en-US"/>
        </w:rPr>
        <w:t>one</w:t>
      </w:r>
      <w:r w:rsidR="005B71F4" w:rsidRPr="00F04787">
        <w:rPr>
          <w:rFonts w:eastAsiaTheme="minorEastAsia"/>
          <w:lang w:val="en-US"/>
        </w:rPr>
        <w:t xml:space="preserve"> were placed for</w:t>
      </w:r>
      <w:r w:rsidR="002E29E8" w:rsidRPr="00F04787">
        <w:rPr>
          <w:rFonts w:eastAsiaTheme="minorEastAsia"/>
          <w:lang w:val="en-US"/>
        </w:rPr>
        <w:t xml:space="preserve"> intercepts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0,c</m:t>
            </m:r>
          </m:sub>
        </m:sSub>
      </m:oMath>
      <w:r w:rsidR="00D1473C" w:rsidRPr="00F04787">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0,p</m:t>
            </m:r>
          </m:sub>
        </m:sSub>
      </m:oMath>
      <w:r w:rsidR="005B71F4" w:rsidRPr="00F04787">
        <w:rPr>
          <w:rFonts w:eastAsiaTheme="minorEastAsia"/>
          <w:lang w:val="en-US"/>
        </w:rPr>
        <w:t>)</w:t>
      </w:r>
      <w:r w:rsidR="00D1473C" w:rsidRPr="00F04787">
        <w:rPr>
          <w:rFonts w:eastAsiaTheme="minorEastAsia"/>
          <w:lang w:val="en-US"/>
        </w:rPr>
        <w:t>.</w:t>
      </w:r>
      <w:r w:rsidR="005B71F4" w:rsidRPr="00F04787">
        <w:rPr>
          <w:rFonts w:eastAsiaTheme="minorEastAsia"/>
          <w:lang w:val="en-US"/>
        </w:rPr>
        <w:t xml:space="preserve"> </w:t>
      </w:r>
      <w:r w:rsidR="004A43D9" w:rsidRPr="00F04787">
        <w:rPr>
          <w:rFonts w:eastAsiaTheme="minorEastAsia"/>
          <w:lang w:val="en-US"/>
        </w:rPr>
        <w:t>Half-normal priors with mean of zero and s.d. of one were used for a</w:t>
      </w:r>
      <w:r w:rsidR="005B71F4" w:rsidRPr="00F04787">
        <w:rPr>
          <w:rFonts w:eastAsiaTheme="minorEastAsia"/>
          <w:lang w:val="en-US"/>
        </w:rPr>
        <w:t>ll standard deviations of effects, intercepts and residuals</w:t>
      </w:r>
      <w:r w:rsidR="004A43D9" w:rsidRPr="00F04787">
        <w:rPr>
          <w:rFonts w:eastAsiaTheme="minorEastAsia"/>
          <w:lang w:val="en-US"/>
        </w:rPr>
        <w:t xml:space="preserve">. </w:t>
      </w:r>
      <w:r w:rsidR="005B71F4" w:rsidRPr="00F04787">
        <w:rPr>
          <w:rFonts w:eastAsiaTheme="minorEastAsia"/>
          <w:lang w:val="en-US"/>
        </w:rPr>
        <w:t>For correlation between country- and pandemic-level effects, we used the Lewandowski-Kurowicka-Joe correlation prior with shape parameter of</w:t>
      </w:r>
      <w:r w:rsidR="004A43D9" w:rsidRPr="00F04787">
        <w:rPr>
          <w:rFonts w:eastAsiaTheme="minorEastAsia"/>
          <w:lang w:val="en-US"/>
        </w:rPr>
        <w:t xml:space="preserve"> one</w:t>
      </w:r>
      <w:r w:rsidR="005B71F4" w:rsidRPr="00F04787">
        <w:rPr>
          <w:rFonts w:eastAsiaTheme="minorEastAsia"/>
          <w:lang w:val="en-US"/>
        </w:rPr>
        <w:t xml:space="preserve">. </w:t>
      </w:r>
      <w:r w:rsidR="004A43D9" w:rsidRPr="00F04787">
        <w:rPr>
          <w:rFonts w:eastAsiaTheme="minorEastAsia"/>
          <w:lang w:val="en-US"/>
        </w:rPr>
        <w:t>Posterior sampling was performed using four</w:t>
      </w:r>
      <w:r w:rsidR="0016535E" w:rsidRPr="00F04787">
        <w:rPr>
          <w:rFonts w:eastAsiaTheme="minorEastAsia"/>
          <w:lang w:val="en-US"/>
        </w:rPr>
        <w:t xml:space="preserve"> MCMC</w:t>
      </w:r>
      <w:r w:rsidR="004A43D9" w:rsidRPr="00F04787">
        <w:rPr>
          <w:rFonts w:eastAsiaTheme="minorEastAsia"/>
          <w:lang w:val="en-US"/>
        </w:rPr>
        <w:t xml:space="preserve"> chains, </w:t>
      </w:r>
      <w:r w:rsidR="0016535E" w:rsidRPr="00F04787">
        <w:rPr>
          <w:rFonts w:eastAsiaTheme="minorEastAsia"/>
          <w:lang w:val="en-US"/>
        </w:rPr>
        <w:t xml:space="preserve">with </w:t>
      </w:r>
      <w:r w:rsidR="004A43D9" w:rsidRPr="00F04787">
        <w:rPr>
          <w:rFonts w:eastAsiaTheme="minorEastAsia"/>
          <w:lang w:val="en-US"/>
        </w:rPr>
        <w:t>1000-iteration burn-in</w:t>
      </w:r>
      <w:r w:rsidR="0016535E" w:rsidRPr="00F04787">
        <w:rPr>
          <w:rFonts w:eastAsiaTheme="minorEastAsia"/>
          <w:lang w:val="en-US"/>
        </w:rPr>
        <w:t xml:space="preserve"> and 1000-iteration of saved posterior samples, using</w:t>
      </w:r>
      <w:r w:rsidR="004A43D9" w:rsidRPr="00F04787">
        <w:rPr>
          <w:rFonts w:eastAsiaTheme="minorEastAsia"/>
          <w:lang w:val="en-US"/>
        </w:rPr>
        <w:t xml:space="preserve"> a </w:t>
      </w:r>
      <w:r w:rsidR="0016535E" w:rsidRPr="00F04787">
        <w:rPr>
          <w:rFonts w:eastAsiaTheme="minorEastAsia"/>
          <w:lang w:val="en-US"/>
        </w:rPr>
        <w:t>no-u-turn sampler</w:t>
      </w:r>
      <w:r w:rsidR="004A43D9" w:rsidRPr="00F04787">
        <w:rPr>
          <w:rFonts w:eastAsiaTheme="minorEastAsia"/>
          <w:lang w:val="en-US"/>
        </w:rPr>
        <w:t xml:space="preserve"> implemented in the ‘brms’ package</w:t>
      </w:r>
      <w:r w:rsidR="0089185C" w:rsidRPr="00F04787">
        <w:rPr>
          <w:rFonts w:eastAsiaTheme="minorEastAsia"/>
          <w:lang w:val="en-US"/>
        </w:rPr>
        <w:fldChar w:fldCharType="begin"/>
      </w:r>
      <w:r w:rsidR="007508CC" w:rsidRPr="00F04787">
        <w:rPr>
          <w:rFonts w:eastAsiaTheme="minorEastAsia"/>
          <w:lang w:val="en-US"/>
        </w:rPr>
        <w:instrText xml:space="preserve"> ADDIN ZOTERO_ITEM CSL_CITATION {"citationID":"ZnayNCrk","properties":{"formattedCitation":"\\super 26\\nosupersub{}","plainCitation":"26","noteIndex":0},"citationItems":[{"id":186,"uris":["http://zotero.org/users/local/0pdZPGmr/items/K72HUECP"],"itemData":{"id":186,"type":"article-journal","abstract":"The brms package implements Bayesian multilevel models in R using the probabilistic programming language Stan. A wide range of distributions and link functions are supported, allowing users to fit  -  among others  -  linear, robust linear, binomial, Poisson, survival, ordinal, zero-inflated, hurdle, and even non-linear models all in a multilevel context. Further modeling options include autocorrelation of the response variable, user defined covariance structures, censored data, as well as meta-analytic standard errors. Prior specifications are flexible and explicitly encourage users to apply prior distributions that actually reflect their beliefs. In addition, model fit can easily be assessed and compared with the Watanabe-Akaike information criterion and leave-one-out cross-validation.","container-title":"Journal of Statistical Software","DOI":"10.18637/jss.v080.i01","issue":"1","journalAbbreviation":"J. Stat. Soft.","note":"section: Articles","page":"1 - 28","title":"brms: An R Package for Bayesian Multilevel Models Using Stan","volume":"80","author":[{"family":"Bürkner","given":"Paul-Christian"}],"issued":{"date-parts":[["2017",8,29]]}}}],"schema":"https://github.com/citation-style-language/schema/raw/master/csl-citation.json"} </w:instrText>
      </w:r>
      <w:r w:rsidR="0089185C" w:rsidRPr="00F04787">
        <w:rPr>
          <w:rFonts w:eastAsiaTheme="minorEastAsia"/>
          <w:lang w:val="en-US"/>
        </w:rPr>
        <w:fldChar w:fldCharType="separate"/>
      </w:r>
      <w:r w:rsidR="007508CC" w:rsidRPr="00F04787">
        <w:rPr>
          <w:vertAlign w:val="superscript"/>
          <w:lang w:val="en-US"/>
        </w:rPr>
        <w:t>26</w:t>
      </w:r>
      <w:r w:rsidR="0089185C" w:rsidRPr="00F04787">
        <w:rPr>
          <w:rFonts w:eastAsiaTheme="minorEastAsia"/>
          <w:lang w:val="en-US"/>
        </w:rPr>
        <w:fldChar w:fldCharType="end"/>
      </w:r>
      <w:r w:rsidR="004A43D9" w:rsidRPr="00F04787">
        <w:rPr>
          <w:rFonts w:eastAsiaTheme="minorEastAsia"/>
          <w:lang w:val="en-US"/>
        </w:rPr>
        <w:t xml:space="preserve"> in R.</w:t>
      </w:r>
      <w:r w:rsidR="0089185C" w:rsidRPr="00F04787">
        <w:rPr>
          <w:rFonts w:eastAsiaTheme="minorEastAsia"/>
          <w:lang w:val="en-US"/>
        </w:rPr>
        <w:fldChar w:fldCharType="begin"/>
      </w:r>
      <w:r w:rsidR="007508CC" w:rsidRPr="00F04787">
        <w:rPr>
          <w:rFonts w:eastAsiaTheme="minorEastAsia"/>
          <w:lang w:val="en-US"/>
        </w:rPr>
        <w:instrText xml:space="preserve"> ADDIN ZOTERO_ITEM CSL_CITATION {"citationID":"pTc2RaZR","properties":{"formattedCitation":"\\super 27\\nosupersub{}","plainCitation":"27","noteIndex":0},"citationItems":[{"id":187,"uris":["http://zotero.org/users/local/0pdZPGmr/items/YIQT4BK4"],"itemData":{"id":187,"type":"software","publisher":"CRAN","title":"R: A Language and Environment for Statistical Computing","URL":"https://www.R-project.org/","author":[{"family":"Core Team","given":"R"}],"issued":{"date-parts":[["2024"]]}}}],"schema":"https://github.com/citation-style-language/schema/raw/master/csl-citation.json"} </w:instrText>
      </w:r>
      <w:r w:rsidR="0089185C" w:rsidRPr="00F04787">
        <w:rPr>
          <w:rFonts w:eastAsiaTheme="minorEastAsia"/>
          <w:lang w:val="en-US"/>
        </w:rPr>
        <w:fldChar w:fldCharType="separate"/>
      </w:r>
      <w:r w:rsidR="007508CC" w:rsidRPr="00F04787">
        <w:rPr>
          <w:vertAlign w:val="superscript"/>
          <w:lang w:val="en-US"/>
        </w:rPr>
        <w:t>27</w:t>
      </w:r>
      <w:r w:rsidR="0089185C" w:rsidRPr="00F04787">
        <w:rPr>
          <w:rFonts w:eastAsiaTheme="minorEastAsia"/>
          <w:lang w:val="en-US"/>
        </w:rPr>
        <w:fldChar w:fldCharType="end"/>
      </w:r>
      <w:r w:rsidR="004A43D9" w:rsidRPr="00F04787">
        <w:rPr>
          <w:rFonts w:eastAsiaTheme="minorEastAsia"/>
          <w:lang w:val="en-US"/>
        </w:rPr>
        <w:t xml:space="preserve"> </w:t>
      </w:r>
      <w:r w:rsidR="0016535E" w:rsidRPr="00F04787">
        <w:rPr>
          <w:rFonts w:eastAsiaTheme="minorEastAsia"/>
          <w:lang w:val="en-US"/>
        </w:rPr>
        <w:t xml:space="preserve">Chain convergence was determined by checking traceplots, ensuring all Rhat values &lt; 1.05 with sufficient effective sample size (&gt;200). </w:t>
      </w:r>
    </w:p>
    <w:p w14:paraId="39F069E4" w14:textId="2C1414EA" w:rsidR="004A43D9" w:rsidRPr="00F04787" w:rsidRDefault="004A43D9">
      <w:pPr>
        <w:rPr>
          <w:lang w:val="en-US"/>
        </w:rPr>
      </w:pPr>
    </w:p>
    <w:p w14:paraId="19732363" w14:textId="7121404A" w:rsidR="00101368" w:rsidRPr="00F04787" w:rsidRDefault="00101368">
      <w:pPr>
        <w:rPr>
          <w:lang w:val="en-US"/>
        </w:rPr>
      </w:pPr>
      <w:r w:rsidRPr="00F04787">
        <w:rPr>
          <w:lang w:val="en-US"/>
        </w:rPr>
        <w:br w:type="page"/>
      </w:r>
    </w:p>
    <w:p w14:paraId="23AC40FC" w14:textId="1E067E95" w:rsidR="00101368" w:rsidRPr="00F04787" w:rsidRDefault="00101368" w:rsidP="00101368">
      <w:pPr>
        <w:pStyle w:val="Heading1"/>
      </w:pPr>
      <w:bookmarkStart w:id="7" w:name="_Toc189816103"/>
      <w:r w:rsidRPr="00F04787">
        <w:lastRenderedPageBreak/>
        <w:t>Supplementary Figures</w:t>
      </w:r>
      <w:bookmarkEnd w:id="7"/>
    </w:p>
    <w:p w14:paraId="5375B27A" w14:textId="4E9FEE4C" w:rsidR="007C6093" w:rsidRDefault="007C6093" w:rsidP="00101368">
      <w:r>
        <w:rPr>
          <w:noProof/>
        </w:rPr>
        <w:drawing>
          <wp:inline distT="0" distB="0" distL="0" distR="0" wp14:anchorId="6885C474" wp14:editId="112E0D5A">
            <wp:extent cx="5727700" cy="24117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ncetID_fig_s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411730"/>
                    </a:xfrm>
                    <a:prstGeom prst="rect">
                      <a:avLst/>
                    </a:prstGeom>
                  </pic:spPr>
                </pic:pic>
              </a:graphicData>
            </a:graphic>
          </wp:inline>
        </w:drawing>
      </w:r>
    </w:p>
    <w:p w14:paraId="1F32D1DA" w14:textId="5EFB3B1C" w:rsidR="00DB79D0" w:rsidRDefault="00DB79D0" w:rsidP="00101368">
      <w:r w:rsidRPr="005528F0">
        <w:rPr>
          <w:b/>
        </w:rPr>
        <w:t>Figure S1</w:t>
      </w:r>
      <w:r w:rsidR="005528F0" w:rsidRPr="005528F0">
        <w:rPr>
          <w:b/>
        </w:rPr>
        <w:t xml:space="preserve">: </w:t>
      </w:r>
      <w:r w:rsidR="005528F0">
        <w:rPr>
          <w:b/>
          <w:lang w:val="en-US"/>
        </w:rPr>
        <w:t xml:space="preserve">Estimated infectiousness viral load </w:t>
      </w:r>
      <w:r w:rsidR="00E70BF3">
        <w:rPr>
          <w:b/>
          <w:lang w:val="en-US"/>
        </w:rPr>
        <w:t>when treated with baloxavir marboxil at different days since infection (</w:t>
      </w:r>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treatment</m:t>
            </m:r>
          </m:sub>
        </m:sSub>
      </m:oMath>
      <w:r w:rsidR="00E70BF3">
        <w:rPr>
          <w:rFonts w:eastAsiaTheme="minorEastAsia"/>
          <w:b/>
          <w:lang w:val="en-US"/>
        </w:rPr>
        <w:t>)</w:t>
      </w:r>
      <w:r w:rsidR="005528F0" w:rsidRPr="00F04787">
        <w:rPr>
          <w:b/>
          <w:lang w:val="en-US"/>
        </w:rPr>
        <w:t>.</w:t>
      </w:r>
      <w:r w:rsidR="005528F0" w:rsidRPr="00F04787">
        <w:rPr>
          <w:lang w:val="en-US"/>
        </w:rPr>
        <w:t xml:space="preserve"> Maximum-likelihood within-host viral load trajectories</w:t>
      </w:r>
      <w:r w:rsidR="00E70BF3">
        <w:rPr>
          <w:lang w:val="en-US"/>
        </w:rPr>
        <w:t xml:space="preserve"> estimated by our within-host model. </w:t>
      </w:r>
    </w:p>
    <w:p w14:paraId="04D4618B" w14:textId="77777777" w:rsidR="007C6093" w:rsidRDefault="007C6093" w:rsidP="00101368"/>
    <w:p w14:paraId="4A86D720" w14:textId="77777777" w:rsidR="001A3D8C" w:rsidRDefault="001A3D8C">
      <w:r>
        <w:br w:type="page"/>
      </w:r>
    </w:p>
    <w:p w14:paraId="77654236" w14:textId="6CCE89BC" w:rsidR="00CB0EB6" w:rsidRPr="00F04787" w:rsidRDefault="00CB0EB6" w:rsidP="00101368">
      <w:r w:rsidRPr="00F04787">
        <w:rPr>
          <w:noProof/>
        </w:rPr>
        <w:lastRenderedPageBreak/>
        <w:drawing>
          <wp:inline distT="0" distB="0" distL="0" distR="0" wp14:anchorId="52D36784" wp14:editId="059007DA">
            <wp:extent cx="5727700" cy="3520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S2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20880"/>
                    </a:xfrm>
                    <a:prstGeom prst="rect">
                      <a:avLst/>
                    </a:prstGeom>
                  </pic:spPr>
                </pic:pic>
              </a:graphicData>
            </a:graphic>
          </wp:inline>
        </w:drawing>
      </w:r>
    </w:p>
    <w:p w14:paraId="78D52A97" w14:textId="7D62A0E2" w:rsidR="0055185F" w:rsidRPr="00F04787" w:rsidRDefault="0055185F" w:rsidP="00101368">
      <w:pPr>
        <w:rPr>
          <w:lang w:val="en-US"/>
        </w:rPr>
      </w:pPr>
      <w:r w:rsidRPr="00F04787">
        <w:rPr>
          <w:b/>
          <w:lang w:val="en-US"/>
        </w:rPr>
        <w:t xml:space="preserve">Figure S2: Country-level effects of treatment delays, distribution strategies, post-exposure prophylaxis and antiviral resistance on </w:t>
      </w:r>
      <w:r w:rsidR="00F6282C">
        <w:rPr>
          <w:b/>
          <w:lang w:val="en-US"/>
        </w:rPr>
        <w:t>mean</w:t>
      </w:r>
      <w:r w:rsidRPr="00F04787">
        <w:rPr>
          <w:b/>
          <w:lang w:val="en-US"/>
        </w:rPr>
        <w:t xml:space="preserve"> percentage deaths averted by </w:t>
      </w:r>
      <w:r w:rsidR="002865FF" w:rsidRPr="00F04787">
        <w:rPr>
          <w:b/>
          <w:lang w:val="en-US"/>
        </w:rPr>
        <w:t>baloxavir marboxil</w:t>
      </w:r>
      <w:r w:rsidRPr="00F04787">
        <w:rPr>
          <w:b/>
          <w:lang w:val="en-US"/>
        </w:rPr>
        <w:t xml:space="preserve"> </w:t>
      </w:r>
      <w:r w:rsidR="00EB5FE1" w:rsidRPr="00F04787">
        <w:rPr>
          <w:b/>
          <w:lang w:val="en-US"/>
        </w:rPr>
        <w:t xml:space="preserve">(BXM) </w:t>
      </w:r>
      <w:r w:rsidRPr="00F04787">
        <w:rPr>
          <w:b/>
          <w:lang w:val="en-US"/>
        </w:rPr>
        <w:t>distribution</w:t>
      </w:r>
      <w:r w:rsidRPr="00F04787">
        <w:rPr>
          <w:lang w:val="en-US"/>
        </w:rPr>
        <w:t xml:space="preserve">. Relative to the idealized scenario (i.e. </w:t>
      </w:r>
      <w:r w:rsidR="00EB5FE1" w:rsidRPr="00F04787">
        <w:rPr>
          <w:lang w:val="en-US"/>
        </w:rPr>
        <w:t>BXM</w:t>
      </w:r>
      <w:r w:rsidRPr="00F04787">
        <w:rPr>
          <w:lang w:val="en-US"/>
        </w:rPr>
        <w:t xml:space="preserve"> are swiftly distributed to patients across the country one week after the first infection in the country, with no limits on access and availability of tests and antivirals; &gt;95% of all symptomatic individuals are treated within two days after symptom onset if positively diagnosed by a rapid diagnostic test; </w:t>
      </w:r>
      <w:r w:rsidR="00483462">
        <w:rPr>
          <w:lang w:val="en-US"/>
        </w:rPr>
        <w:t>n</w:t>
      </w:r>
      <w:r w:rsidRPr="00F04787">
        <w:rPr>
          <w:lang w:val="en-US"/>
        </w:rPr>
        <w:t xml:space="preserve">o emergence and spread of BXM-resistant viruses), mean changes in </w:t>
      </w:r>
      <w:r w:rsidR="00F6282C">
        <w:rPr>
          <w:lang w:val="en-US"/>
        </w:rPr>
        <w:t>mean</w:t>
      </w:r>
      <w:r w:rsidRPr="00F04787">
        <w:rPr>
          <w:lang w:val="en-US"/>
        </w:rPr>
        <w:t xml:space="preserve"> percentage deaths averted</w:t>
      </w:r>
      <w:r w:rsidR="008D2B1E" w:rsidRPr="00F04787">
        <w:rPr>
          <w:lang w:val="en-US"/>
        </w:rPr>
        <w:t xml:space="preserve"> due to country-level effects</w:t>
      </w:r>
      <w:r w:rsidRPr="00F04787">
        <w:rPr>
          <w:lang w:val="en-US"/>
        </w:rPr>
        <w:t xml:space="preserve"> (</w:t>
      </w:r>
      <w:r w:rsidR="008D2B1E" w:rsidRPr="00F04787">
        <w:rPr>
          <w:lang w:val="en-US"/>
        </w:rPr>
        <w:t>each circle</w:t>
      </w:r>
      <w:r w:rsidR="00024C8D" w:rsidRPr="00F04787">
        <w:rPr>
          <w:lang w:val="en-US"/>
        </w:rPr>
        <w:t xml:space="preserve"> and line</w:t>
      </w:r>
      <w:r w:rsidR="008D2B1E" w:rsidRPr="00F04787">
        <w:rPr>
          <w:lang w:val="en-US"/>
        </w:rPr>
        <w:t xml:space="preserve"> denotes</w:t>
      </w:r>
      <w:r w:rsidR="00024C8D" w:rsidRPr="00F04787">
        <w:rPr>
          <w:lang w:val="en-US"/>
        </w:rPr>
        <w:t xml:space="preserve"> the</w:t>
      </w:r>
      <w:r w:rsidR="008D2B1E" w:rsidRPr="00F04787">
        <w:rPr>
          <w:lang w:val="en-US"/>
        </w:rPr>
        <w:t xml:space="preserve"> </w:t>
      </w:r>
      <w:r w:rsidR="00024C8D" w:rsidRPr="00F04787">
        <w:rPr>
          <w:lang w:val="en-US"/>
        </w:rPr>
        <w:t>posterior mean and 95% highest posterior density interval estimated</w:t>
      </w:r>
      <w:r w:rsidR="008D2B1E" w:rsidRPr="00F04787">
        <w:rPr>
          <w:lang w:val="en-US"/>
        </w:rPr>
        <w:t xml:space="preserve"> for </w:t>
      </w:r>
      <w:r w:rsidR="00024C8D" w:rsidRPr="00F04787">
        <w:rPr>
          <w:lang w:val="en-US"/>
        </w:rPr>
        <w:t>each</w:t>
      </w:r>
      <w:r w:rsidR="008D2B1E" w:rsidRPr="00F04787">
        <w:rPr>
          <w:lang w:val="en-US"/>
        </w:rPr>
        <w:t xml:space="preserve"> country, shading denotes median age of country’s population</w:t>
      </w:r>
      <w:r w:rsidR="00024C8D" w:rsidRPr="00F04787">
        <w:rPr>
          <w:lang w:val="en-US"/>
        </w:rPr>
        <w:t>)</w:t>
      </w:r>
      <w:r w:rsidR="00251AB5" w:rsidRPr="00F04787">
        <w:rPr>
          <w:lang w:val="en-US"/>
        </w:rPr>
        <w:t xml:space="preserve"> are plotted against countries’ gross national income (GNI) per capita is US dollars (USD) in 2023</w:t>
      </w:r>
      <w:r w:rsidR="00EE3FC2" w:rsidRPr="00F04787">
        <w:rPr>
          <w:lang w:val="en-US"/>
        </w:rPr>
        <w:t xml:space="preserve">. </w:t>
      </w:r>
      <w:r w:rsidR="008D2B1E" w:rsidRPr="00F04787">
        <w:rPr>
          <w:lang w:val="en-US"/>
        </w:rPr>
        <w:t>Background shading denotes the range of GNI per capita distinguishing between different country income groups as classified by the World Bank in 2024 (low income country, LIC; lower-middle income country, LMIC; upper-middle income country, UMIC; and high income country, HIC).</w:t>
      </w:r>
    </w:p>
    <w:p w14:paraId="6FA740AF" w14:textId="7E696D56" w:rsidR="000C44DA" w:rsidRPr="00F04787" w:rsidRDefault="000C44DA" w:rsidP="00101368"/>
    <w:p w14:paraId="07C4F0BC" w14:textId="77777777" w:rsidR="001A3D8C" w:rsidRDefault="001A3D8C">
      <w:r>
        <w:br w:type="page"/>
      </w:r>
    </w:p>
    <w:p w14:paraId="2D946E82" w14:textId="31F7BAC5" w:rsidR="000C44DA" w:rsidRPr="00F04787" w:rsidRDefault="000C44DA" w:rsidP="00101368">
      <w:r w:rsidRPr="00F04787">
        <w:rPr>
          <w:noProof/>
        </w:rPr>
        <w:lastRenderedPageBreak/>
        <w:drawing>
          <wp:inline distT="0" distB="0" distL="0" distR="0" wp14:anchorId="2E16DE01" wp14:editId="1EFC758F">
            <wp:extent cx="5727700" cy="203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S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035175"/>
                    </a:xfrm>
                    <a:prstGeom prst="rect">
                      <a:avLst/>
                    </a:prstGeom>
                  </pic:spPr>
                </pic:pic>
              </a:graphicData>
            </a:graphic>
          </wp:inline>
        </w:drawing>
      </w:r>
    </w:p>
    <w:p w14:paraId="0FAB4BF7" w14:textId="32E0E844" w:rsidR="001F7136" w:rsidRPr="00F04787" w:rsidRDefault="001F7136" w:rsidP="00101368">
      <w:r w:rsidRPr="00F04787">
        <w:rPr>
          <w:b/>
          <w:lang w:val="en-US"/>
        </w:rPr>
        <w:t xml:space="preserve">Figure </w:t>
      </w:r>
      <w:r w:rsidR="00973BE1" w:rsidRPr="00F04787">
        <w:rPr>
          <w:b/>
          <w:lang w:val="en-US"/>
        </w:rPr>
        <w:t>S3</w:t>
      </w:r>
      <w:r w:rsidRPr="00F04787">
        <w:rPr>
          <w:b/>
          <w:lang w:val="en-US"/>
        </w:rPr>
        <w:t xml:space="preserve">: </w:t>
      </w:r>
      <w:r w:rsidR="00A537CB" w:rsidRPr="00F04787">
        <w:rPr>
          <w:b/>
          <w:lang w:val="en-US"/>
        </w:rPr>
        <w:t xml:space="preserve">Correlation between </w:t>
      </w:r>
      <w:r w:rsidR="00F6282C">
        <w:rPr>
          <w:b/>
          <w:lang w:val="en-US"/>
        </w:rPr>
        <w:t>mean</w:t>
      </w:r>
      <w:r w:rsidR="002A7D73" w:rsidRPr="00F04787">
        <w:rPr>
          <w:b/>
          <w:lang w:val="en-US"/>
        </w:rPr>
        <w:t xml:space="preserve"> household size</w:t>
      </w:r>
      <w:r w:rsidR="00A537CB" w:rsidRPr="00F04787">
        <w:rPr>
          <w:b/>
          <w:lang w:val="en-US"/>
        </w:rPr>
        <w:t xml:space="preserve"> and country-level effect on </w:t>
      </w:r>
      <w:r w:rsidR="00F6282C">
        <w:rPr>
          <w:b/>
          <w:lang w:val="en-US"/>
        </w:rPr>
        <w:t>mean</w:t>
      </w:r>
      <w:r w:rsidR="00A537CB" w:rsidRPr="00F04787">
        <w:rPr>
          <w:b/>
          <w:lang w:val="en-US"/>
        </w:rPr>
        <w:t xml:space="preserve"> percentage deaths averted by distributing baloxavir marboxil (BXM) as post-exposure prophylaxis to household members</w:t>
      </w:r>
      <w:r w:rsidRPr="00F04787">
        <w:rPr>
          <w:lang w:val="en-US"/>
        </w:rPr>
        <w:t xml:space="preserve">. </w:t>
      </w:r>
      <w:r w:rsidR="004379B5" w:rsidRPr="00F04787">
        <w:rPr>
          <w:lang w:val="en-US"/>
        </w:rPr>
        <w:t>(</w:t>
      </w:r>
      <w:r w:rsidR="004379B5" w:rsidRPr="00F04787">
        <w:rPr>
          <w:b/>
          <w:lang w:val="en-US"/>
        </w:rPr>
        <w:t>A</w:t>
      </w:r>
      <w:r w:rsidR="004379B5" w:rsidRPr="00F04787">
        <w:rPr>
          <w:lang w:val="en-US"/>
        </w:rPr>
        <w:t>)</w:t>
      </w:r>
      <w:r w:rsidR="002E46FB" w:rsidRPr="00F04787">
        <w:rPr>
          <w:lang w:val="en-US"/>
        </w:rPr>
        <w:t xml:space="preserve"> </w:t>
      </w:r>
      <w:r w:rsidR="00F6282C">
        <w:rPr>
          <w:lang w:val="en-US"/>
        </w:rPr>
        <w:t>Mean</w:t>
      </w:r>
      <w:r w:rsidR="002E46FB" w:rsidRPr="00F04787">
        <w:rPr>
          <w:lang w:val="en-US"/>
        </w:rPr>
        <w:t xml:space="preserve"> household size of each country</w:t>
      </w:r>
      <w:r w:rsidR="0079653B" w:rsidRPr="00F04787">
        <w:rPr>
          <w:lang w:val="en-US"/>
        </w:rPr>
        <w:fldChar w:fldCharType="begin"/>
      </w:r>
      <w:r w:rsidR="0079653B" w:rsidRPr="00F04787">
        <w:rPr>
          <w:lang w:val="en-US"/>
        </w:rPr>
        <w:instrText xml:space="preserve"> ADDIN ZOTERO_ITEM CSL_CITATION {"citationID":"mQN2Smzq","properties":{"formattedCitation":"\\super 24\\nosupersub{}","plainCitation":"24","noteIndex":0},"citationItems":[{"id":175,"uris":["http://zotero.org/users/local/0pdZPGmr/items/UW6QBSYW"],"itemData":{"id":175,"type":"webpage","title":"World Population Prospects","URL":"https://population.un.org/wpp/","author":[{"literal":"United Nations"}],"accessed":{"date-parts":[["2025",1,6]]},"issued":{"date-parts":[["2024"]]}}}],"schema":"https://github.com/citation-style-language/schema/raw/master/csl-citation.json"} </w:instrText>
      </w:r>
      <w:r w:rsidR="0079653B" w:rsidRPr="00F04787">
        <w:rPr>
          <w:lang w:val="en-US"/>
        </w:rPr>
        <w:fldChar w:fldCharType="separate"/>
      </w:r>
      <w:r w:rsidR="0079653B" w:rsidRPr="00F04787">
        <w:rPr>
          <w:vertAlign w:val="superscript"/>
          <w:lang w:val="en-US"/>
        </w:rPr>
        <w:t>24</w:t>
      </w:r>
      <w:r w:rsidR="0079653B" w:rsidRPr="00F04787">
        <w:rPr>
          <w:lang w:val="en-US"/>
        </w:rPr>
        <w:fldChar w:fldCharType="end"/>
      </w:r>
      <w:r w:rsidR="002E46FB" w:rsidRPr="00F04787">
        <w:rPr>
          <w:lang w:val="en-US"/>
        </w:rPr>
        <w:t xml:space="preserve"> (circle</w:t>
      </w:r>
      <w:r w:rsidR="009875E9" w:rsidRPr="00F04787">
        <w:rPr>
          <w:lang w:val="en-US"/>
        </w:rPr>
        <w:t>, shading denotes median age of country’s population</w:t>
      </w:r>
      <w:r w:rsidR="002E46FB" w:rsidRPr="00F04787">
        <w:rPr>
          <w:lang w:val="en-US"/>
        </w:rPr>
        <w:t>) plotted against their gross national income (GNI) per capita is US dollars (USD) in 2023. Background shading denotes the range of GNI per capita distinguishing between different country income groups as classified by the World Bank in 2024 (low income country, LIC; lower-middle income country, LMIC; upper-middle income country, UMIC; and high income country, HIC). (</w:t>
      </w:r>
      <w:r w:rsidR="002E46FB" w:rsidRPr="00F04787">
        <w:rPr>
          <w:b/>
          <w:lang w:val="en-US"/>
        </w:rPr>
        <w:t>B</w:t>
      </w:r>
      <w:r w:rsidR="002E46FB" w:rsidRPr="00F04787">
        <w:rPr>
          <w:lang w:val="en-US"/>
        </w:rPr>
        <w:t>)</w:t>
      </w:r>
      <w:r w:rsidR="00EE55C6" w:rsidRPr="00F04787">
        <w:rPr>
          <w:lang w:val="en-US"/>
        </w:rPr>
        <w:t xml:space="preserve"> </w:t>
      </w:r>
      <w:r w:rsidR="00F6282C">
        <w:rPr>
          <w:lang w:val="en-US"/>
        </w:rPr>
        <w:t>Mean</w:t>
      </w:r>
      <w:r w:rsidR="00EE55C6" w:rsidRPr="00F04787">
        <w:rPr>
          <w:lang w:val="en-US"/>
        </w:rPr>
        <w:t xml:space="preserve"> household size of each country (circle, shading denotes median age of country’s population) plotted against mean changes in </w:t>
      </w:r>
      <w:r w:rsidR="00F6282C">
        <w:rPr>
          <w:lang w:val="en-US"/>
        </w:rPr>
        <w:t>mean</w:t>
      </w:r>
      <w:r w:rsidR="00EE55C6" w:rsidRPr="00F04787">
        <w:rPr>
          <w:lang w:val="en-US"/>
        </w:rPr>
        <w:t xml:space="preserve"> percentage deaths averted due to country-level effects (each circle and line denotes the posterior mean and 95% highest posterior density interval estimated for each country, shading denotes median age of country’s population).</w:t>
      </w:r>
      <w:r w:rsidR="00A45B26" w:rsidRPr="00F04787">
        <w:rPr>
          <w:lang w:val="en-US"/>
        </w:rPr>
        <w:t xml:space="preserve"> Dash line denotes the best-fit linear regression line</w:t>
      </w:r>
      <w:r w:rsidR="00E107CC" w:rsidRPr="00F04787">
        <w:rPr>
          <w:lang w:val="en-US"/>
        </w:rPr>
        <w:t xml:space="preserve">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eastAsiaTheme="minorEastAsia" w:hAnsi="Cambria Math"/>
            <w:lang w:val="en-US"/>
          </w:rPr>
          <m:t>=0.80</m:t>
        </m:r>
      </m:oMath>
      <w:r w:rsidR="00E107CC" w:rsidRPr="00F04787">
        <w:rPr>
          <w:lang w:val="en-US"/>
        </w:rPr>
        <w:t>)</w:t>
      </w:r>
      <w:r w:rsidR="00A45B26" w:rsidRPr="00F04787">
        <w:rPr>
          <w:lang w:val="en-US"/>
        </w:rPr>
        <w:t xml:space="preserve">. </w:t>
      </w:r>
    </w:p>
    <w:p w14:paraId="0BFD234B" w14:textId="77777777" w:rsidR="00CB0EB6" w:rsidRPr="00F04787" w:rsidRDefault="00CB0EB6" w:rsidP="00101368"/>
    <w:p w14:paraId="35B386D8" w14:textId="56BFE7B7" w:rsidR="00CB0EB6" w:rsidRPr="00F04787" w:rsidRDefault="00CB0EB6" w:rsidP="00101368"/>
    <w:p w14:paraId="19CE2684" w14:textId="77777777" w:rsidR="001A3D8C" w:rsidRDefault="001A3D8C">
      <w:r>
        <w:br w:type="page"/>
      </w:r>
    </w:p>
    <w:p w14:paraId="1B2928EE" w14:textId="2954159E" w:rsidR="00CB0EB6" w:rsidRPr="00F04787" w:rsidRDefault="00CB0EB6" w:rsidP="00101368">
      <w:r w:rsidRPr="00F04787">
        <w:rPr>
          <w:noProof/>
        </w:rPr>
        <w:lastRenderedPageBreak/>
        <w:drawing>
          <wp:inline distT="0" distB="0" distL="0" distR="0" wp14:anchorId="19B62B7F" wp14:editId="2434EA14">
            <wp:extent cx="5727700" cy="3520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S2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520880"/>
                    </a:xfrm>
                    <a:prstGeom prst="rect">
                      <a:avLst/>
                    </a:prstGeom>
                  </pic:spPr>
                </pic:pic>
              </a:graphicData>
            </a:graphic>
          </wp:inline>
        </w:drawing>
      </w:r>
    </w:p>
    <w:p w14:paraId="3364229B" w14:textId="70CF7336" w:rsidR="00115295" w:rsidRPr="00F04787" w:rsidRDefault="00115295" w:rsidP="00115295">
      <w:pPr>
        <w:rPr>
          <w:lang w:val="en-US"/>
        </w:rPr>
      </w:pPr>
      <w:r w:rsidRPr="00F04787">
        <w:rPr>
          <w:b/>
          <w:lang w:val="en-US"/>
        </w:rPr>
        <w:t xml:space="preserve">Figure S4: Country-level effects of treatment delays, distribution strategies, post-exposure prophylaxis and antiviral resistance on </w:t>
      </w:r>
      <w:r w:rsidR="00F6282C">
        <w:rPr>
          <w:b/>
          <w:lang w:val="en-US"/>
        </w:rPr>
        <w:t>mean</w:t>
      </w:r>
      <w:r w:rsidRPr="00F04787">
        <w:rPr>
          <w:b/>
          <w:lang w:val="en-US"/>
        </w:rPr>
        <w:t xml:space="preserve"> baloxavir marboxil (BXM) demand</w:t>
      </w:r>
      <w:r w:rsidRPr="00F04787">
        <w:rPr>
          <w:lang w:val="en-US"/>
        </w:rPr>
        <w:t xml:space="preserve">. Relative to the idealized scenario (i.e. </w:t>
      </w:r>
      <w:r w:rsidR="00B7473E" w:rsidRPr="00F04787">
        <w:rPr>
          <w:lang w:val="en-US"/>
        </w:rPr>
        <w:t>BXM</w:t>
      </w:r>
      <w:r w:rsidRPr="00F04787">
        <w:rPr>
          <w:lang w:val="en-US"/>
        </w:rPr>
        <w:t xml:space="preserve"> are swiftly distributed to patients across the country one week after the first infection in the country, with no limits on access and availability of tests and antivirals; &gt;95% of all symptomatic individuals are treated within two days after symptom onset if positively diagnosed by a rapid diagnostic test; </w:t>
      </w:r>
      <w:r w:rsidR="00483462">
        <w:rPr>
          <w:lang w:val="en-US"/>
        </w:rPr>
        <w:t>n</w:t>
      </w:r>
      <w:r w:rsidRPr="00F04787">
        <w:rPr>
          <w:lang w:val="en-US"/>
        </w:rPr>
        <w:t xml:space="preserve">o emergence and spread of BXM-resistant viruses), mean changes in </w:t>
      </w:r>
      <w:r w:rsidR="005C3D6E" w:rsidRPr="00F04787">
        <w:rPr>
          <w:lang w:val="en-US"/>
        </w:rPr>
        <w:t>BXM demand</w:t>
      </w:r>
      <w:r w:rsidRPr="00F04787">
        <w:rPr>
          <w:lang w:val="en-US"/>
        </w:rPr>
        <w:t xml:space="preserve"> due to country-level effects (each circle and line denotes the posterior mean and 95% highest posterior density interval estimated for each country, shading denotes median age of country’s population) are plotted against countries’ gross national income (GNI) per capita is US dollars (USD) in 2023. Background shading denotes the range of GNI per capita distinguishing between different country income groups as classified by the World Bank in 2024 (low income country, LIC; lower-middle income country, LMIC; upper-middle income country, UMIC; and high income country, HIC).</w:t>
      </w:r>
    </w:p>
    <w:p w14:paraId="725487FE" w14:textId="2FF20646" w:rsidR="00115295" w:rsidRPr="00F04787" w:rsidRDefault="00115295" w:rsidP="00101368"/>
    <w:p w14:paraId="72E76D97" w14:textId="77777777" w:rsidR="00115295" w:rsidRPr="00F04787" w:rsidRDefault="00115295" w:rsidP="00101368"/>
    <w:p w14:paraId="1A96AA49" w14:textId="77777777" w:rsidR="001A3D8C" w:rsidRDefault="001A3D8C">
      <w:r>
        <w:br w:type="page"/>
      </w:r>
    </w:p>
    <w:p w14:paraId="38D09F12" w14:textId="14A860CF" w:rsidR="00101368" w:rsidRPr="00F04787" w:rsidRDefault="00101368" w:rsidP="00101368">
      <w:r w:rsidRPr="00F04787">
        <w:rPr>
          <w:noProof/>
        </w:rPr>
        <w:lastRenderedPageBreak/>
        <w:drawing>
          <wp:inline distT="0" distB="0" distL="0" distR="0" wp14:anchorId="0200BF2C" wp14:editId="5724EF1E">
            <wp:extent cx="5615754" cy="2398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cetID_fig_s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5754" cy="2398395"/>
                    </a:xfrm>
                    <a:prstGeom prst="rect">
                      <a:avLst/>
                    </a:prstGeom>
                  </pic:spPr>
                </pic:pic>
              </a:graphicData>
            </a:graphic>
          </wp:inline>
        </w:drawing>
      </w:r>
    </w:p>
    <w:p w14:paraId="367357EC" w14:textId="1E984109" w:rsidR="00101368" w:rsidRPr="00F04787" w:rsidRDefault="00101368" w:rsidP="00101368">
      <w:pPr>
        <w:rPr>
          <w:lang w:val="en-US"/>
        </w:rPr>
      </w:pPr>
      <w:r w:rsidRPr="00F04787">
        <w:rPr>
          <w:b/>
          <w:lang w:val="en-US"/>
        </w:rPr>
        <w:t>Figure S</w:t>
      </w:r>
      <w:r w:rsidR="00E82EC7" w:rsidRPr="00F04787">
        <w:rPr>
          <w:b/>
          <w:lang w:val="en-US"/>
        </w:rPr>
        <w:t>5</w:t>
      </w:r>
      <w:r w:rsidRPr="00F04787">
        <w:rPr>
          <w:b/>
          <w:lang w:val="en-US"/>
        </w:rPr>
        <w:t>: Data fitting for time to symptom onset since infection and time to treatment administration since symptom onset.</w:t>
      </w:r>
      <w:r w:rsidRPr="00F04787">
        <w:rPr>
          <w:lang w:val="en-US"/>
        </w:rPr>
        <w:t xml:space="preserve"> (</w:t>
      </w:r>
      <w:r w:rsidRPr="00F04787">
        <w:rPr>
          <w:b/>
          <w:lang w:val="en-US"/>
        </w:rPr>
        <w:t>A</w:t>
      </w:r>
      <w:r w:rsidRPr="00F04787">
        <w:rPr>
          <w:lang w:val="en-US"/>
        </w:rPr>
        <w:t>) Continuous (black line) and discrete (blue bars) probability distribution function (PDF) of lognormal distribution fit to pooled data of the time of symptom onset since influenza virus infection as reported in Lessler et al.</w:t>
      </w:r>
      <w:r w:rsidRPr="00F04787">
        <w:rPr>
          <w:lang w:val="en-US"/>
        </w:rPr>
        <w:fldChar w:fldCharType="begin"/>
      </w:r>
      <w:r w:rsidRPr="00F04787">
        <w:rPr>
          <w:lang w:val="en-US"/>
        </w:rPr>
        <w:instrText xml:space="preserve"> ADDIN ZOTERO_ITEM CSL_CITATION {"citationID":"W8UuGGw9","properties":{"formattedCitation":"\\super 3\\nosupersub{}","plainCitation":"3","noteIndex":0},"citationItems":[{"id":11,"uris":["http://zotero.org/users/local/0pdZPGmr/items/5IH5IJHG"],"itemData":{"id":11,"type":"article-journal","container-title":"The Lancet Infectious Diseases","DOI":"10.1016/S1473-3099(09)70069-6","ISSN":"1473-3099, 1474-4457","issue":"5","journalAbbreviation":"The Lancet Infectious Diseases","language":"English","note":"publisher: Elsevier\nPMID: 19393959","page":"291-300","source":"www.thelancet.com","title":"Incubation periods of acute respiratory viral infections: a systematic review","title-short":"Incubation periods of acute respiratory viral infections","volume":"9","author":[{"family":"Lessler","given":"Justin"},{"family":"Reich","given":"Nicholas G."},{"family":"Brookmeyer","given":"Ron"},{"family":"Perl","given":"Trish M."},{"family":"Nelson","given":"Kenrad E."},{"family":"Cummings","given":"Derek AT"}],"issued":{"date-parts":[["2009",5,1]]}}}],"schema":"https://github.com/citation-style-language/schema/raw/master/csl-citation.json"} </w:instrText>
      </w:r>
      <w:r w:rsidRPr="00F04787">
        <w:rPr>
          <w:lang w:val="en-US"/>
        </w:rPr>
        <w:fldChar w:fldCharType="separate"/>
      </w:r>
      <w:r w:rsidRPr="00F04787">
        <w:rPr>
          <w:vertAlign w:val="superscript"/>
          <w:lang w:val="en-US"/>
        </w:rPr>
        <w:t>3</w:t>
      </w:r>
      <w:r w:rsidRPr="00F04787">
        <w:rPr>
          <w:lang w:val="en-US"/>
        </w:rPr>
        <w:fldChar w:fldCharType="end"/>
      </w:r>
      <w:r w:rsidRPr="00F04787">
        <w:rPr>
          <w:lang w:val="en-US"/>
        </w:rPr>
        <w:t xml:space="preserve"> (</w:t>
      </w:r>
      <w:r w:rsidRPr="00F04787">
        <w:rPr>
          <w:b/>
          <w:lang w:val="en-US"/>
        </w:rPr>
        <w:t>B-D</w:t>
      </w:r>
      <w:r w:rsidRPr="00F04787">
        <w:rPr>
          <w:lang w:val="en-US"/>
        </w:rPr>
        <w:t>) Continuous (black line) cumulative distribution function of gamma distribution fit to time of treatment initiation since symptom onset in the phase 3 clinical trial of baloxavir marboxil (red circles);</w:t>
      </w:r>
      <w:r w:rsidRPr="00F04787">
        <w:rPr>
          <w:lang w:val="en-US"/>
        </w:rPr>
        <w:fldChar w:fldCharType="begin"/>
      </w:r>
      <w:r w:rsidRPr="00F04787">
        <w:rPr>
          <w:lang w:val="en-US"/>
        </w:rPr>
        <w:instrText xml:space="preserve"> ADDIN ZOTERO_ITEM CSL_CITATION {"citationID":"WCFhb7BO","properties":{"formattedCitation":"\\super 1,2\\nosupersub{}","plainCitation":"1,2","noteIndex":0},"citationItems":[{"id":14,"uris":["http://zotero.org/users/local/0pdZPGmr/items/Q75YUA7U"],"itemData":{"id":14,"type":"article-journal","abstract":"Single-dose baloxavir rapidly reduces influenza virus titers and symptoms in patients with uncomplicated influenza, but viruses with reduced in vitro susceptibility due to amino acid substitutions at position 38 of polymerase acidic protein (PA/I38X) sometimes emerge.We evaluated the kinetics, risk factors, and effects on clinical and virologic outcomes of emergence of PA/I38X-substituted viruses.Viruses containing PA/I38X substitutions were identified 3–9 days after baloxavir treatment in 9.7% (36/370) of patients, of whom 85.3% had transient virus titer rises. Median time to sustained cessation of infectious virus detection was 192, 48, and 96 hours in the baloxavir recipients with PA/I38X-substituted viruses, without PA/I38X-substituted viruses, and placebo recipients, respectively. The corresponding median times to alleviation of symptoms were 63.1, 51.0, and 80.2 hours, respectively. After day 5, symptom increases occurred in 11.5%, 8.0%, and 13.0%, respectively, and in 8.9% of oseltamivir recipients. Variant virus emergence was associated with lower baseline neutralizing antibody titers.The emergence of viruses with PA/I38X substitutions following baloxavir treatment was associated with transient rises in infectious virus titers, prolongation of virus detectability, initial delay in symptom alleviation, and uncommonly with symptom rebound. The potential transmissibility of PA/I38X-substituted viruses requires careful study.NCT02954354.","container-title":"The Journal of Infectious Diseases","DOI":"10.1093/infdis/jiz244","ISSN":"0022-1899","issue":"3","journalAbbreviation":"The Journal of Infectious Diseases","page":"346-355","title":"Treatment-Emergent Influenza Variant Viruses With Reduced Baloxavir Susceptibility: Impact on Clinical and Virologic Outcomes in Uncomplicated Influenza","volume":"221","author":[{"family":"Uehara","given":"Takeki"},{"family":"Hayden","given":"Frederick G"},{"family":"Kawaguchi","given":"Keiko"},{"family":"Omoto","given":"Shinya"},{"family":"Hurt","given":"Aeron C"},{"family":"De Jong","given":"Menno D"},{"family":"Hirotsu","given":"Nobuo"},{"family":"Sugaya","given":"Norio"},{"family":"Lee","given":"Nelson"},{"family":"Baba","given":"Keiko"},{"family":"Shishido","given":"Takao"},{"family":"Tsuchiya","given":"Kenji"},{"family":"Portsmouth","given":"Simon"},{"family":"Kida","given":"Hiroshi"}],"issued":{"date-parts":[["2020",1,14]]}}},{"id":9,"uris":["http://zotero.org/users/local/0pdZPGmr/items/LU5QH5UX"],"itemData":{"id":9,"type":"article-journal","abstract":"In phase 2 and 3 randomized, controlled trials, baloxavir — an inhibitor of influenza cap-dependent endonuclease — showed evidence of clinical symptom relief and antiviral activity against influenza. However, influenza-resistant variants appeared to develop with treatment.","container-title":"New England Journal of Medicine","DOI":"10.1056/NEJMoa1716197","issue":"10","note":"publisher: Massachusetts Medical Society\n_eprint: https://www.nejm.org/doi/pdf/10.1056/NEJMoa1716197","page":"913-923","source":"Taylor and Francis+NEJM","title":"Baloxavir Marboxil for Uncomplicated Influenza in Adults and Adolescents","volume":"379","author":[{"literal":"Hayden Frederick G."},{"literal":"Sugaya Norio"},{"literal":"Hirotsu Nobuo"},{"literal":"Lee Nelson"},{"literal":"de Jong Menno D."},{"literal":"Hurt Aeron C."},{"literal":"Ishida Tadashi"},{"literal":"Sekino Hisakuni"},{"literal":"Yamada Kota"},{"literal":"Portsmouth Simon"},{"literal":"Kawaguchi Keiko"},{"literal":"Shishido Takao"},{"literal":"Arai Masatsugu"},{"literal":"Tsuchiya Kenji"},{"literal":"Uehara Takeki"},{"literal":"Watanabe Akira"}],"issued":{"date-parts":[["2018",9,6]]}}}],"schema":"https://github.com/citation-style-language/schema/raw/master/csl-citation.json"} </w:instrText>
      </w:r>
      <w:r w:rsidRPr="00F04787">
        <w:rPr>
          <w:lang w:val="en-US"/>
        </w:rPr>
        <w:fldChar w:fldCharType="separate"/>
      </w:r>
      <w:r w:rsidRPr="00F04787">
        <w:rPr>
          <w:vertAlign w:val="superscript"/>
          <w:lang w:val="en-US"/>
        </w:rPr>
        <w:t>1,2</w:t>
      </w:r>
      <w:r w:rsidRPr="00F04787">
        <w:rPr>
          <w:lang w:val="en-US"/>
        </w:rPr>
        <w:fldChar w:fldCharType="end"/>
      </w:r>
      <w:r w:rsidRPr="00F04787">
        <w:rPr>
          <w:lang w:val="en-US"/>
        </w:rPr>
        <w:t xml:space="preserve"> (</w:t>
      </w:r>
      <w:r w:rsidRPr="00F04787">
        <w:rPr>
          <w:b/>
          <w:lang w:val="en-US"/>
        </w:rPr>
        <w:t>B</w:t>
      </w:r>
      <w:r w:rsidRPr="00F04787">
        <w:rPr>
          <w:lang w:val="en-US"/>
        </w:rPr>
        <w:t xml:space="preserve">) </w:t>
      </w:r>
      <w:r w:rsidR="002A4D31">
        <w:rPr>
          <w:lang w:val="en-US"/>
        </w:rPr>
        <w:t>p</w:t>
      </w:r>
      <w:r w:rsidR="002A4D31" w:rsidRPr="00F04787">
        <w:rPr>
          <w:lang w:val="en-US"/>
        </w:rPr>
        <w:t>lacebo</w:t>
      </w:r>
      <w:r w:rsidRPr="00F04787">
        <w:rPr>
          <w:lang w:val="en-US"/>
        </w:rPr>
        <w:t>, (</w:t>
      </w:r>
      <w:r w:rsidRPr="00F04787">
        <w:rPr>
          <w:b/>
          <w:lang w:val="en-US"/>
        </w:rPr>
        <w:t>C</w:t>
      </w:r>
      <w:r w:rsidRPr="00F04787">
        <w:rPr>
          <w:lang w:val="en-US"/>
        </w:rPr>
        <w:t xml:space="preserve">) </w:t>
      </w:r>
      <w:r w:rsidR="002A4D31">
        <w:rPr>
          <w:lang w:val="en-US"/>
        </w:rPr>
        <w:t>b</w:t>
      </w:r>
      <w:r w:rsidR="002A4D31" w:rsidRPr="00F04787">
        <w:rPr>
          <w:lang w:val="en-US"/>
        </w:rPr>
        <w:t xml:space="preserve">aloxavir </w:t>
      </w:r>
      <w:r w:rsidRPr="00F04787">
        <w:rPr>
          <w:lang w:val="en-US"/>
        </w:rPr>
        <w:t>marboxil, and (</w:t>
      </w:r>
      <w:r w:rsidRPr="00F04787">
        <w:rPr>
          <w:b/>
          <w:lang w:val="en-US"/>
        </w:rPr>
        <w:t>D</w:t>
      </w:r>
      <w:r w:rsidRPr="00F04787">
        <w:rPr>
          <w:lang w:val="en-US"/>
        </w:rPr>
        <w:t xml:space="preserve">) </w:t>
      </w:r>
      <w:r w:rsidR="002A4D31">
        <w:rPr>
          <w:lang w:val="en-US"/>
        </w:rPr>
        <w:t>o</w:t>
      </w:r>
      <w:r w:rsidRPr="00F04787">
        <w:rPr>
          <w:lang w:val="en-US"/>
        </w:rPr>
        <w:t xml:space="preserve">seltamivir. </w:t>
      </w:r>
    </w:p>
    <w:p w14:paraId="25704B3C" w14:textId="30026522" w:rsidR="00101368" w:rsidRPr="00F04787" w:rsidRDefault="00101368"/>
    <w:p w14:paraId="66EE904E" w14:textId="77777777" w:rsidR="000221BB" w:rsidRPr="00F04787" w:rsidRDefault="000221BB"/>
    <w:p w14:paraId="69805A02" w14:textId="77777777" w:rsidR="001A3D8C" w:rsidRDefault="001A3D8C">
      <w:pPr>
        <w:rPr>
          <w:lang w:val="en-US"/>
        </w:rPr>
      </w:pPr>
      <w:r>
        <w:rPr>
          <w:lang w:val="en-US"/>
        </w:rPr>
        <w:br w:type="page"/>
      </w:r>
    </w:p>
    <w:p w14:paraId="600313F0" w14:textId="210F7821" w:rsidR="00101368" w:rsidRPr="00F04787" w:rsidRDefault="00101368" w:rsidP="00101368">
      <w:pPr>
        <w:rPr>
          <w:lang w:val="en-US"/>
        </w:rPr>
      </w:pPr>
      <w:r w:rsidRPr="00F04787">
        <w:rPr>
          <w:noProof/>
          <w:lang w:val="en-US"/>
        </w:rPr>
        <w:lastRenderedPageBreak/>
        <w:drawing>
          <wp:inline distT="0" distB="0" distL="0" distR="0" wp14:anchorId="10ADC5CB" wp14:editId="7589BD8E">
            <wp:extent cx="5727073" cy="286956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ncetID_fig_s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073" cy="2869565"/>
                    </a:xfrm>
                    <a:prstGeom prst="rect">
                      <a:avLst/>
                    </a:prstGeom>
                  </pic:spPr>
                </pic:pic>
              </a:graphicData>
            </a:graphic>
          </wp:inline>
        </w:drawing>
      </w:r>
    </w:p>
    <w:p w14:paraId="7120C18A" w14:textId="1B9D6950" w:rsidR="00101368" w:rsidRPr="00F04787" w:rsidRDefault="00101368" w:rsidP="00101368">
      <w:pPr>
        <w:rPr>
          <w:lang w:val="en-US"/>
        </w:rPr>
      </w:pPr>
      <w:r w:rsidRPr="00F04787">
        <w:rPr>
          <w:b/>
          <w:lang w:val="en-US"/>
        </w:rPr>
        <w:t>Figure S</w:t>
      </w:r>
      <w:r w:rsidR="00E82EC7" w:rsidRPr="00F04787">
        <w:rPr>
          <w:b/>
          <w:lang w:val="en-US"/>
        </w:rPr>
        <w:t>6</w:t>
      </w:r>
      <w:r w:rsidRPr="00F04787">
        <w:rPr>
          <w:b/>
          <w:lang w:val="en-US"/>
        </w:rPr>
        <w:t>: Within-host viral load model fitted to clinical trial data.</w:t>
      </w:r>
      <w:r w:rsidRPr="00F04787">
        <w:rPr>
          <w:lang w:val="en-US"/>
        </w:rPr>
        <w:t xml:space="preserve"> Maximum-likelihood within-host viral load trajectories for drug-sensitive wild type (blue solid line) and drug-resistant mutant (red dashed line) viruses by fitting to </w:t>
      </w:r>
      <w:r w:rsidR="00F6282C">
        <w:rPr>
          <w:lang w:val="en-US"/>
        </w:rPr>
        <w:t>mean</w:t>
      </w:r>
      <w:r w:rsidRPr="00F04787">
        <w:rPr>
          <w:lang w:val="en-US"/>
        </w:rPr>
        <w:t xml:space="preserve"> viral load data (gray circles) obtained in the phase 3 clinical trial of baloxavir marboxil.</w:t>
      </w:r>
      <w:r w:rsidRPr="00F04787">
        <w:rPr>
          <w:lang w:val="en-US"/>
        </w:rPr>
        <w:fldChar w:fldCharType="begin"/>
      </w:r>
      <w:r w:rsidRPr="00F04787">
        <w:rPr>
          <w:lang w:val="en-US"/>
        </w:rPr>
        <w:instrText xml:space="preserve"> ADDIN ZOTERO_ITEM CSL_CITATION {"citationID":"7w48skwK","properties":{"formattedCitation":"\\super 1,2\\nosupersub{}","plainCitation":"1,2","noteIndex":0},"citationItems":[{"id":14,"uris":["http://zotero.org/users/local/0pdZPGmr/items/Q75YUA7U"],"itemData":{"id":14,"type":"article-journal","abstract":"Single-dose baloxavir rapidly reduces influenza virus titers and symptoms in patients with uncomplicated influenza, but viruses with reduced in vitro susceptibility due to amino acid substitutions at position 38 of polymerase acidic protein (PA/I38X) sometimes emerge.We evaluated the kinetics, risk factors, and effects on clinical and virologic outcomes of emergence of PA/I38X-substituted viruses.Viruses containing PA/I38X substitutions were identified 3–9 days after baloxavir treatment in 9.7% (36/370) of patients, of whom 85.3% had transient virus titer rises. Median time to sustained cessation of infectious virus detection was 192, 48, and 96 hours in the baloxavir recipients with PA/I38X-substituted viruses, without PA/I38X-substituted viruses, and placebo recipients, respectively. The corresponding median times to alleviation of symptoms were 63.1, 51.0, and 80.2 hours, respectively. After day 5, symptom increases occurred in 11.5%, 8.0%, and 13.0%, respectively, and in 8.9% of oseltamivir recipients. Variant virus emergence was associated with lower baseline neutralizing antibody titers.The emergence of viruses with PA/I38X substitutions following baloxavir treatment was associated with transient rises in infectious virus titers, prolongation of virus detectability, initial delay in symptom alleviation, and uncommonly with symptom rebound. The potential transmissibility of PA/I38X-substituted viruses requires careful study.NCT02954354.","container-title":"The Journal of Infectious Diseases","DOI":"10.1093/infdis/jiz244","ISSN":"0022-1899","issue":"3","journalAbbreviation":"The Journal of Infectious Diseases","page":"346-355","title":"Treatment-Emergent Influenza Variant Viruses With Reduced Baloxavir Susceptibility: Impact on Clinical and Virologic Outcomes in Uncomplicated Influenza","volume":"221","author":[{"family":"Uehara","given":"Takeki"},{"family":"Hayden","given":"Frederick G"},{"family":"Kawaguchi","given":"Keiko"},{"family":"Omoto","given":"Shinya"},{"family":"Hurt","given":"Aeron C"},{"family":"De Jong","given":"Menno D"},{"family":"Hirotsu","given":"Nobuo"},{"family":"Sugaya","given":"Norio"},{"family":"Lee","given":"Nelson"},{"family":"Baba","given":"Keiko"},{"family":"Shishido","given":"Takao"},{"family":"Tsuchiya","given":"Kenji"},{"family":"Portsmouth","given":"Simon"},{"family":"Kida","given":"Hiroshi"}],"issued":{"date-parts":[["2020",1,14]]}}},{"id":9,"uris":["http://zotero.org/users/local/0pdZPGmr/items/LU5QH5UX"],"itemData":{"id":9,"type":"article-journal","abstract":"In phase 2 and 3 randomized, controlled trials, baloxavir — an inhibitor of influenza cap-dependent endonuclease — showed evidence of clinical symptom relief and antiviral activity against influenza. However, influenza-resistant variants appeared to develop with treatment.","container-title":"New England Journal of Medicine","DOI":"10.1056/NEJMoa1716197","issue":"10","note":"publisher: Massachusetts Medical Society\n_eprint: https://www.nejm.org/doi/pdf/10.1056/NEJMoa1716197","page":"913-923","source":"Taylor and Francis+NEJM","title":"Baloxavir Marboxil for Uncomplicated Influenza in Adults and Adolescents","volume":"379","author":[{"literal":"Hayden Frederick G."},{"literal":"Sugaya Norio"},{"literal":"Hirotsu Nobuo"},{"literal":"Lee Nelson"},{"literal":"de Jong Menno D."},{"literal":"Hurt Aeron C."},{"literal":"Ishida Tadashi"},{"literal":"Sekino Hisakuni"},{"literal":"Yamada Kota"},{"literal":"Portsmouth Simon"},{"literal":"Kawaguchi Keiko"},{"literal":"Shishido Takao"},{"literal":"Arai Masatsugu"},{"literal":"Tsuchiya Kenji"},{"literal":"Uehara Takeki"},{"literal":"Watanabe Akira"}],"issued":{"date-parts":[["2018",9,6]]}}}],"schema":"https://github.com/citation-style-language/schema/raw/master/csl-citation.json"} </w:instrText>
      </w:r>
      <w:r w:rsidRPr="00F04787">
        <w:rPr>
          <w:lang w:val="en-US"/>
        </w:rPr>
        <w:fldChar w:fldCharType="separate"/>
      </w:r>
      <w:r w:rsidRPr="00F04787">
        <w:rPr>
          <w:vertAlign w:val="superscript"/>
          <w:lang w:val="en-US"/>
        </w:rPr>
        <w:t>1,2</w:t>
      </w:r>
      <w:r w:rsidRPr="00F04787">
        <w:rPr>
          <w:lang w:val="en-US"/>
        </w:rPr>
        <w:fldChar w:fldCharType="end"/>
      </w:r>
    </w:p>
    <w:p w14:paraId="5571A87A" w14:textId="04593E8B" w:rsidR="005B5593" w:rsidRPr="00F04787" w:rsidRDefault="005B5593"/>
    <w:p w14:paraId="7FAF82A3" w14:textId="77777777" w:rsidR="00CB0EB6" w:rsidRPr="00F04787" w:rsidRDefault="00CB0EB6"/>
    <w:p w14:paraId="61D8E68D" w14:textId="0358E023" w:rsidR="005B5593" w:rsidRPr="00F04787" w:rsidRDefault="005B5593">
      <w:pPr>
        <w:rPr>
          <w:rFonts w:eastAsia="Times New Roman"/>
          <w:b/>
          <w:lang w:val="en-US"/>
        </w:rPr>
      </w:pPr>
      <w:r w:rsidRPr="00F04787">
        <w:br w:type="page"/>
      </w:r>
    </w:p>
    <w:p w14:paraId="02EFA828" w14:textId="77777777" w:rsidR="00860AEA" w:rsidRDefault="00860AEA">
      <w:r>
        <w:rPr>
          <w:noProof/>
        </w:rPr>
        <w:lastRenderedPageBreak/>
        <w:drawing>
          <wp:inline distT="0" distB="0" distL="0" distR="0" wp14:anchorId="7247BCBB" wp14:editId="199D74D5">
            <wp:extent cx="5727700" cy="29838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ncetID_fig_s0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983865"/>
                    </a:xfrm>
                    <a:prstGeom prst="rect">
                      <a:avLst/>
                    </a:prstGeom>
                  </pic:spPr>
                </pic:pic>
              </a:graphicData>
            </a:graphic>
          </wp:inline>
        </w:drawing>
      </w:r>
    </w:p>
    <w:p w14:paraId="37F0F576" w14:textId="5C25AE7F" w:rsidR="00860AEA" w:rsidRDefault="006407FC">
      <w:pPr>
        <w:rPr>
          <w:rFonts w:eastAsia="Times New Roman"/>
          <w:b/>
          <w:lang w:val="en-US"/>
        </w:rPr>
      </w:pPr>
      <w:r w:rsidRPr="00F04787">
        <w:rPr>
          <w:b/>
          <w:lang w:val="en-US"/>
        </w:rPr>
        <w:t>Figure S</w:t>
      </w:r>
      <w:r>
        <w:rPr>
          <w:b/>
          <w:lang w:val="en-US"/>
        </w:rPr>
        <w:t>7</w:t>
      </w:r>
      <w:r w:rsidRPr="00F04787">
        <w:rPr>
          <w:b/>
          <w:lang w:val="en-US"/>
        </w:rPr>
        <w:t xml:space="preserve">: </w:t>
      </w:r>
      <w:r w:rsidR="005F7E81">
        <w:rPr>
          <w:b/>
          <w:lang w:val="en-US"/>
        </w:rPr>
        <w:t>Model validation</w:t>
      </w:r>
      <w:r w:rsidR="00F33A2C">
        <w:rPr>
          <w:b/>
          <w:lang w:val="en-US"/>
        </w:rPr>
        <w:t>; e</w:t>
      </w:r>
      <w:r>
        <w:rPr>
          <w:b/>
          <w:lang w:val="en-US"/>
        </w:rPr>
        <w:t xml:space="preserve">stimated incidence using our multiscale modelling approach </w:t>
      </w:r>
      <w:r w:rsidR="00EA15FF">
        <w:rPr>
          <w:b/>
          <w:lang w:val="en-US"/>
        </w:rPr>
        <w:t>when</w:t>
      </w:r>
      <w:r>
        <w:rPr>
          <w:b/>
          <w:lang w:val="en-US"/>
        </w:rPr>
        <w:t xml:space="preserve"> apply</w:t>
      </w:r>
      <w:r w:rsidR="00EA15FF">
        <w:rPr>
          <w:b/>
          <w:lang w:val="en-US"/>
        </w:rPr>
        <w:t>ing</w:t>
      </w:r>
      <w:r>
        <w:rPr>
          <w:b/>
          <w:lang w:val="en-US"/>
        </w:rPr>
        <w:t xml:space="preserve"> different within-host viral load to infectiousness</w:t>
      </w:r>
      <w:r w:rsidR="00CE6653">
        <w:rPr>
          <w:b/>
          <w:lang w:val="en-US"/>
        </w:rPr>
        <w:t xml:space="preserve"> correlative</w:t>
      </w:r>
      <w:bookmarkStart w:id="8" w:name="_GoBack"/>
      <w:bookmarkEnd w:id="8"/>
      <w:r>
        <w:rPr>
          <w:b/>
          <w:lang w:val="en-US"/>
        </w:rPr>
        <w:t xml:space="preserve"> models</w:t>
      </w:r>
      <w:r w:rsidRPr="00F04787">
        <w:rPr>
          <w:b/>
          <w:lang w:val="en-US"/>
        </w:rPr>
        <w:t>.</w:t>
      </w:r>
      <w:r w:rsidRPr="00F04787">
        <w:rPr>
          <w:lang w:val="en-US"/>
        </w:rPr>
        <w:t xml:space="preserve"> </w:t>
      </w:r>
      <w:r w:rsidR="000D6702">
        <w:rPr>
          <w:lang w:val="en-US"/>
        </w:rPr>
        <w:t>We compared the output of our multiscale model, applying</w:t>
      </w:r>
      <w:r w:rsidR="001A5A8C">
        <w:rPr>
          <w:lang w:val="en-US"/>
        </w:rPr>
        <w:t xml:space="preserve"> seasonal influenza</w:t>
      </w:r>
      <w:r w:rsidR="000D6702">
        <w:rPr>
          <w:lang w:val="en-US"/>
        </w:rPr>
        <w:t xml:space="preserve"> parameters</w:t>
      </w:r>
      <w:r w:rsidR="00485DAB">
        <w:rPr>
          <w:lang w:val="en-US"/>
        </w:rPr>
        <w:fldChar w:fldCharType="begin"/>
      </w:r>
      <w:r w:rsidR="00485DAB">
        <w:rPr>
          <w:lang w:val="en-US"/>
        </w:rPr>
        <w:instrText xml:space="preserve"> ADDIN ZOTERO_ITEM CSL_CITATION {"citationID":"6WAOmdJv","properties":{"formattedCitation":"\\super 16\\nosupersub{}","plainCitation":"16","noteIndex":0},"citationItems":[{"id":103,"uris":["http://zotero.org/users/local/0pdZPGmr/items/ETJ2898P"],"itemData":{"id":103,"type":"article-journal","abstract":"Understanding the seasonal patterns of influenza transmission is critical to help plan public health measures for the management and control of epidemics. Mathematical models of infectious disease transmission have been widely used to quantify the transmissibility of and susceptibility to past influenza seasons in many countries. The objective of this study was to obtain a detailed picture of the transmission dynamics of seasonal influenza in Switzerland from 2003 to 2015. To this end, we developed a compartmental influenza transmission model taking into account social mixing between different age groups and seasonal forcing. We applied a Bayesian approach using Markov chain Monte Carlo (MCMC) methods to fit the model to the reported incidence of influenza-like-illness (ILI) and virological data from Sentinella, the Swiss Sentinel Surveillance Network. The maximal basic reproduction number, R0, ranged from 1.46 to 1.81 (median). Median estimates of susceptibility to influenza ranged from 29% to 98% for different age groups, and typically decreased with age. We also found a decline in ascertainability of influenza cases with age. Our study illustrates how influenza surveillance data from Switzerland can be integrated into a Bayesian modeling framework in order to assess age-specific transmission of and susceptibility to influenza.","container-title":"Epidemics","DOI":"10.1016/j.epidem.2019.100373","ISSN":"1755-4365","journalAbbreviation":"Epidemics","page":"100373","title":"Transmission of and susceptibility to seasonal influenza in Switzerland from 2003 to 2015","volume":"30","author":[{"family":"Brugger","given":"Jon"},{"family":"Althaus","given":"Christian L."}],"issued":{"date-parts":[["2020",3,1]]}}}],"schema":"https://github.com/citation-style-language/schema/raw/master/csl-citation.json"} </w:instrText>
      </w:r>
      <w:r w:rsidR="00485DAB">
        <w:rPr>
          <w:lang w:val="en-US"/>
        </w:rPr>
        <w:fldChar w:fldCharType="separate"/>
      </w:r>
      <w:r w:rsidR="00485DAB" w:rsidRPr="00485DAB">
        <w:rPr>
          <w:vertAlign w:val="superscript"/>
          <w:lang w:val="en-US"/>
        </w:rPr>
        <w:t>16</w:t>
      </w:r>
      <w:r w:rsidR="00485DAB">
        <w:rPr>
          <w:lang w:val="en-US"/>
        </w:rPr>
        <w:fldChar w:fldCharType="end"/>
      </w:r>
      <w:r w:rsidR="000D6702">
        <w:rPr>
          <w:lang w:val="en-US"/>
        </w:rPr>
        <w:t xml:space="preserve"> to estimate the incidence during the 2017/2018 influenza season</w:t>
      </w:r>
      <w:r w:rsidR="002B0C95">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r>
          <w:rPr>
            <w:rFonts w:ascii="Cambria Math" w:hAnsi="Cambria Math"/>
            <w:lang w:val="en-US"/>
          </w:rPr>
          <m:t>=1.3</m:t>
        </m:r>
      </m:oMath>
      <w:r w:rsidR="002B0C95">
        <w:rPr>
          <w:rFonts w:eastAsiaTheme="minorEastAsia"/>
          <w:lang w:val="en-US"/>
        </w:rPr>
        <w:t>)</w:t>
      </w:r>
      <w:r w:rsidR="002B0C95">
        <w:rPr>
          <w:rFonts w:eastAsiaTheme="minorEastAsia"/>
          <w:lang w:val="en-US"/>
        </w:rPr>
        <w:fldChar w:fldCharType="begin"/>
      </w:r>
      <w:r w:rsidR="002B0C95">
        <w:rPr>
          <w:rFonts w:eastAsiaTheme="minorEastAsia"/>
          <w:lang w:val="en-US"/>
        </w:rPr>
        <w:instrText xml:space="preserve"> ADDIN ZOTERO_ITEM CSL_CITATION {"citationID":"TUYLQVd7","properties":{"formattedCitation":"\\super 28\\nosupersub{}","plainCitation":"28","noteIndex":0},"citationItems":[{"id":7,"uris":["http://zotero.org/users/local/0pdZPGmr/items/GTQ2MMFT"],"itemData":{"id":7,"type":"article-journal","abstract":"Influenza viruses annually kill 290,000–650,000 people worldwide. Antivirals can reduce death tolls. Baloxavir, the recently approved influenza antiviral, inhibits initiation of viral mRNA synthesis, whereas oseltamivir, an older drug, inhibits release of virus progeny. Baloxavir blocks virus replication more rapidly and completely than oseltamivir, reducing the duration of infectiousness. Hence, early baloxavir treatment may indirectly prevent transmission. Here, we estimate impacts of ramping up and accelerating baloxavir treatment on population-level incidence using a new model that links viral load dynamics from clinical trial data to between-host transmission. We estimate that ~22 million infections and &gt;6,000 deaths would have been averted in the 2017–2018 epidemic season by administering baloxavir to 30% of infected cases within 48 h after symptom onset. Treatment within 24 h would almost double the impact. Consequently, scaling up early baloxavir treatment would substantially reduce influenza morbidity and mortality every year. The development of antivirals against the SARS-CoV2 virus that function like baloxavir might similarly curtail transmission and save lives.","container-title":"Nature Communications","DOI":"10.1038/s41467-020-16585-y","ISSN":"2041-1723","issue":"1","journalAbbreviation":"Nature Communications","page":"2750","title":"Modeling mitigation of influenza epidemics by baloxavir","volume":"11","author":[{"family":"Du","given":"Zhanwei"},{"family":"Nugent","given":"Ciara"},{"family":"Galvani","given":"Alison P."},{"family":"Krug","given":"Robert M."},{"family":"Meyers","given":"Lauren Ancel"}],"issued":{"date-parts":[["2020",6,2]]}}}],"schema":"https://github.com/citation-style-language/schema/raw/master/csl-citation.json"} </w:instrText>
      </w:r>
      <w:r w:rsidR="002B0C95">
        <w:rPr>
          <w:rFonts w:eastAsiaTheme="minorEastAsia"/>
          <w:lang w:val="en-US"/>
        </w:rPr>
        <w:fldChar w:fldCharType="separate"/>
      </w:r>
      <w:r w:rsidR="002B0C95" w:rsidRPr="002B0C95">
        <w:rPr>
          <w:vertAlign w:val="superscript"/>
          <w:lang w:val="en-US"/>
        </w:rPr>
        <w:t>28</w:t>
      </w:r>
      <w:r w:rsidR="002B0C95">
        <w:rPr>
          <w:rFonts w:eastAsiaTheme="minorEastAsia"/>
          <w:lang w:val="en-US"/>
        </w:rPr>
        <w:fldChar w:fldCharType="end"/>
      </w:r>
      <w:r w:rsidR="000D6702">
        <w:rPr>
          <w:lang w:val="en-US"/>
        </w:rPr>
        <w:t xml:space="preserve"> in the United States (US), against </w:t>
      </w:r>
      <w:r w:rsidR="00977BA6">
        <w:rPr>
          <w:lang w:val="en-US"/>
        </w:rPr>
        <w:t xml:space="preserve">reported </w:t>
      </w:r>
      <w:r w:rsidR="000D6702">
        <w:rPr>
          <w:lang w:val="en-US"/>
        </w:rPr>
        <w:t>influenza-like (ILI) data</w:t>
      </w:r>
      <w:r w:rsidR="00977BA6">
        <w:rPr>
          <w:lang w:val="en-US"/>
        </w:rPr>
        <w:t xml:space="preserve"> (</w:t>
      </w:r>
      <w:hyperlink r:id="rId15" w:history="1">
        <w:r w:rsidR="00977BA6" w:rsidRPr="003632ED">
          <w:rPr>
            <w:rStyle w:val="Hyperlink"/>
            <w:lang w:val="en-US"/>
          </w:rPr>
          <w:t>https://www.cdc.gov/flu/weekly/fluviewinteractive.htm</w:t>
        </w:r>
      </w:hyperlink>
      <w:r w:rsidR="00977BA6">
        <w:rPr>
          <w:lang w:val="en-US"/>
        </w:rPr>
        <w:t xml:space="preserve">; </w:t>
      </w:r>
      <w:r w:rsidR="00076EEF">
        <w:rPr>
          <w:lang w:val="en-US"/>
        </w:rPr>
        <w:t>black circles)</w:t>
      </w:r>
      <w:r w:rsidR="000D6702">
        <w:rPr>
          <w:lang w:val="en-US"/>
        </w:rPr>
        <w:t>. We find minimal difference in total incidence (&lt;10% difference) when applying different within-host viral load to infectiousness correlative models</w:t>
      </w:r>
      <w:r w:rsidR="00076EEF">
        <w:rPr>
          <w:lang w:val="en-US"/>
        </w:rPr>
        <w:t xml:space="preserve"> (differently colored lines)</w:t>
      </w:r>
      <w:r w:rsidR="000D6702">
        <w:rPr>
          <w:lang w:val="en-US"/>
        </w:rPr>
        <w:t xml:space="preserve">.   </w:t>
      </w:r>
      <w:r w:rsidR="00860AEA">
        <w:br w:type="page"/>
      </w:r>
    </w:p>
    <w:p w14:paraId="4F0D4B60" w14:textId="73FFD08F" w:rsidR="00103F19" w:rsidRDefault="005B5593" w:rsidP="00370A32">
      <w:pPr>
        <w:pStyle w:val="Heading1"/>
      </w:pPr>
      <w:bookmarkStart w:id="9" w:name="_Toc189816104"/>
      <w:r w:rsidRPr="00F04787">
        <w:lastRenderedPageBreak/>
        <w:t>Supplementary Tables</w:t>
      </w:r>
      <w:bookmarkEnd w:id="9"/>
      <w:r w:rsidRPr="00F04787">
        <w:t xml:space="preserve"> </w:t>
      </w:r>
    </w:p>
    <w:p w14:paraId="1BF6403D" w14:textId="111E8F90" w:rsidR="00257ABA" w:rsidRDefault="002851F2">
      <w:pPr>
        <w:rPr>
          <w:b/>
        </w:rPr>
      </w:pPr>
      <w:r w:rsidRPr="00257ABA">
        <w:rPr>
          <w:b/>
        </w:rPr>
        <w:t>Table S</w:t>
      </w:r>
      <w:r w:rsidR="00370A32">
        <w:rPr>
          <w:b/>
        </w:rPr>
        <w:t>1</w:t>
      </w:r>
      <w:r w:rsidRPr="00257ABA">
        <w:rPr>
          <w:b/>
        </w:rPr>
        <w:t xml:space="preserve">. </w:t>
      </w:r>
      <w:r w:rsidR="00257ABA" w:rsidRPr="00257ABA">
        <w:rPr>
          <w:b/>
        </w:rPr>
        <w:t xml:space="preserve">Parameters used in </w:t>
      </w:r>
      <w:r w:rsidR="00833826">
        <w:rPr>
          <w:b/>
        </w:rPr>
        <w:t>between</w:t>
      </w:r>
      <w:r w:rsidR="00257ABA" w:rsidRPr="00257ABA">
        <w:rPr>
          <w:b/>
        </w:rPr>
        <w:t>-host</w:t>
      </w:r>
      <w:r w:rsidR="00833826">
        <w:rPr>
          <w:b/>
        </w:rPr>
        <w:t xml:space="preserve"> transmission</w:t>
      </w:r>
      <w:r w:rsidR="00257ABA" w:rsidRPr="00257ABA">
        <w:rPr>
          <w:b/>
        </w:rPr>
        <w:t xml:space="preserve"> model.</w:t>
      </w:r>
    </w:p>
    <w:p w14:paraId="479ABEF4" w14:textId="77777777" w:rsidR="00DB7E22" w:rsidRPr="00257ABA" w:rsidRDefault="00257ABA">
      <w:pPr>
        <w:rPr>
          <w:b/>
        </w:rPr>
      </w:pPr>
      <w:r w:rsidRPr="00257ABA">
        <w:rPr>
          <w:b/>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849"/>
        <w:gridCol w:w="1050"/>
      </w:tblGrid>
      <w:tr w:rsidR="00DB323B" w:rsidRPr="00370A32" w14:paraId="62A6C466" w14:textId="77777777" w:rsidTr="00DB323B">
        <w:tc>
          <w:tcPr>
            <w:tcW w:w="4111" w:type="dxa"/>
            <w:tcBorders>
              <w:top w:val="single" w:sz="4" w:space="0" w:color="auto"/>
              <w:bottom w:val="single" w:sz="4" w:space="0" w:color="auto"/>
            </w:tcBorders>
          </w:tcPr>
          <w:p w14:paraId="169C75CD" w14:textId="77777777" w:rsidR="00DB7E22" w:rsidRPr="00370A32" w:rsidRDefault="00DB7E22" w:rsidP="00370A32">
            <w:pPr>
              <w:spacing w:line="288" w:lineRule="auto"/>
              <w:rPr>
                <w:rFonts w:ascii="Arial" w:hAnsi="Arial" w:cs="Arial"/>
                <w:b/>
                <w:sz w:val="15"/>
                <w:szCs w:val="15"/>
              </w:rPr>
            </w:pPr>
            <w:r w:rsidRPr="00370A32">
              <w:rPr>
                <w:rFonts w:ascii="Arial" w:hAnsi="Arial" w:cs="Arial"/>
                <w:b/>
                <w:sz w:val="15"/>
                <w:szCs w:val="15"/>
              </w:rPr>
              <w:t>Parameter</w:t>
            </w:r>
          </w:p>
        </w:tc>
        <w:tc>
          <w:tcPr>
            <w:tcW w:w="3849" w:type="dxa"/>
            <w:tcBorders>
              <w:top w:val="single" w:sz="4" w:space="0" w:color="auto"/>
              <w:bottom w:val="single" w:sz="4" w:space="0" w:color="auto"/>
            </w:tcBorders>
          </w:tcPr>
          <w:p w14:paraId="0B60072D" w14:textId="77777777" w:rsidR="00DB7E22" w:rsidRPr="00370A32" w:rsidRDefault="00DB7E22" w:rsidP="00370A32">
            <w:pPr>
              <w:spacing w:line="288" w:lineRule="auto"/>
              <w:rPr>
                <w:rFonts w:ascii="Arial" w:hAnsi="Arial" w:cs="Arial"/>
                <w:b/>
                <w:sz w:val="15"/>
                <w:szCs w:val="15"/>
              </w:rPr>
            </w:pPr>
            <w:r w:rsidRPr="00370A32">
              <w:rPr>
                <w:rFonts w:ascii="Arial" w:hAnsi="Arial" w:cs="Arial"/>
                <w:b/>
                <w:sz w:val="15"/>
                <w:szCs w:val="15"/>
              </w:rPr>
              <w:t>Value</w:t>
            </w:r>
          </w:p>
        </w:tc>
        <w:tc>
          <w:tcPr>
            <w:tcW w:w="1050" w:type="dxa"/>
            <w:tcBorders>
              <w:top w:val="single" w:sz="4" w:space="0" w:color="auto"/>
              <w:bottom w:val="single" w:sz="4" w:space="0" w:color="auto"/>
            </w:tcBorders>
          </w:tcPr>
          <w:p w14:paraId="7E000AAF" w14:textId="77777777" w:rsidR="00DB7E22" w:rsidRPr="00370A32" w:rsidRDefault="00DB7E22" w:rsidP="00370A32">
            <w:pPr>
              <w:spacing w:line="288" w:lineRule="auto"/>
              <w:rPr>
                <w:rFonts w:ascii="Arial" w:hAnsi="Arial" w:cs="Arial"/>
                <w:b/>
                <w:sz w:val="15"/>
                <w:szCs w:val="15"/>
              </w:rPr>
            </w:pPr>
            <w:r w:rsidRPr="00370A32">
              <w:rPr>
                <w:rFonts w:ascii="Arial" w:hAnsi="Arial" w:cs="Arial"/>
                <w:b/>
                <w:sz w:val="15"/>
                <w:szCs w:val="15"/>
              </w:rPr>
              <w:t>Source</w:t>
            </w:r>
          </w:p>
        </w:tc>
      </w:tr>
      <w:tr w:rsidR="00DB323B" w:rsidRPr="00370A32" w14:paraId="40A0A250" w14:textId="77777777" w:rsidTr="00DB323B">
        <w:tc>
          <w:tcPr>
            <w:tcW w:w="4111" w:type="dxa"/>
            <w:tcBorders>
              <w:top w:val="single" w:sz="4" w:space="0" w:color="auto"/>
            </w:tcBorders>
          </w:tcPr>
          <w:p w14:paraId="32C95B64" w14:textId="77777777" w:rsidR="00DB7E22" w:rsidRPr="00370A32" w:rsidRDefault="00DB7E22" w:rsidP="00370A32">
            <w:pPr>
              <w:tabs>
                <w:tab w:val="left" w:pos="519"/>
              </w:tabs>
              <w:spacing w:line="288" w:lineRule="auto"/>
              <w:rPr>
                <w:rFonts w:ascii="Arial" w:hAnsi="Arial" w:cs="Arial"/>
                <w:sz w:val="15"/>
                <w:szCs w:val="15"/>
              </w:rPr>
            </w:pPr>
            <w:r w:rsidRPr="00370A32">
              <w:rPr>
                <w:rFonts w:ascii="Arial" w:hAnsi="Arial" w:cs="Arial"/>
                <w:sz w:val="15"/>
                <w:szCs w:val="15"/>
                <w:lang w:val="en-US"/>
              </w:rPr>
              <w:t>Effectiveness in lowering infection likelihood by baloxavir marboxil (BXM) as post-exposure prophylaxis (PEP) (</w:t>
            </w:r>
            <m:oMath>
              <m:sSub>
                <m:sSubPr>
                  <m:ctrlPr>
                    <w:rPr>
                      <w:rFonts w:ascii="Cambria Math" w:hAnsi="Cambria Math" w:cs="Arial"/>
                      <w:i/>
                      <w:sz w:val="15"/>
                      <w:szCs w:val="15"/>
                      <w:lang w:val="en-US"/>
                    </w:rPr>
                  </m:ctrlPr>
                </m:sSubPr>
                <m:e>
                  <m:r>
                    <w:rPr>
                      <w:rFonts w:ascii="Cambria Math" w:hAnsi="Cambria Math" w:cs="Arial"/>
                      <w:sz w:val="15"/>
                      <w:szCs w:val="15"/>
                      <w:lang w:val="en-US"/>
                    </w:rPr>
                    <m:t>ϵ</m:t>
                  </m:r>
                </m:e>
                <m:sub>
                  <m:r>
                    <w:rPr>
                      <w:rFonts w:ascii="Cambria Math" w:hAnsi="Cambria Math" w:cs="Arial"/>
                      <w:sz w:val="15"/>
                      <w:szCs w:val="15"/>
                      <w:lang w:val="en-US"/>
                    </w:rPr>
                    <m:t>PEP</m:t>
                  </m:r>
                </m:sub>
              </m:sSub>
            </m:oMath>
            <w:r w:rsidRPr="00370A32">
              <w:rPr>
                <w:rFonts w:ascii="Arial" w:hAnsi="Arial" w:cs="Arial"/>
                <w:sz w:val="15"/>
                <w:szCs w:val="15"/>
                <w:lang w:val="en-US"/>
              </w:rPr>
              <w:t>)</w:t>
            </w:r>
          </w:p>
        </w:tc>
        <w:tc>
          <w:tcPr>
            <w:tcW w:w="3849" w:type="dxa"/>
            <w:tcBorders>
              <w:top w:val="single" w:sz="4" w:space="0" w:color="auto"/>
            </w:tcBorders>
          </w:tcPr>
          <w:p w14:paraId="71C3D91A"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0.57</w:t>
            </w:r>
          </w:p>
        </w:tc>
        <w:tc>
          <w:tcPr>
            <w:tcW w:w="1050" w:type="dxa"/>
            <w:tcBorders>
              <w:top w:val="single" w:sz="4" w:space="0" w:color="auto"/>
            </w:tcBorders>
          </w:tcPr>
          <w:p w14:paraId="016CA91E" w14:textId="78C8C40A" w:rsidR="00DB7E22" w:rsidRPr="00370A32" w:rsidRDefault="00370A32" w:rsidP="00370A32">
            <w:pPr>
              <w:spacing w:line="288" w:lineRule="auto"/>
              <w:rPr>
                <w:rFonts w:ascii="Arial" w:hAnsi="Arial" w:cs="Arial"/>
                <w:sz w:val="15"/>
                <w:szCs w:val="15"/>
              </w:rPr>
            </w:pPr>
            <w:r w:rsidRPr="00370A32">
              <w:rPr>
                <w:rFonts w:ascii="Arial" w:hAnsi="Arial" w:cs="Arial"/>
                <w:sz w:val="15"/>
                <w:szCs w:val="15"/>
                <w:lang w:val="en-US"/>
              </w:rPr>
              <w:t>Ikematsu et al., 2020</w:t>
            </w:r>
            <w:r w:rsidR="00DB7E22" w:rsidRPr="00370A32">
              <w:rPr>
                <w:rFonts w:ascii="Arial" w:hAnsi="Arial" w:cs="Arial"/>
                <w:sz w:val="15"/>
                <w:szCs w:val="15"/>
                <w:lang w:val="en-US"/>
              </w:rPr>
              <w:fldChar w:fldCharType="begin"/>
            </w:r>
            <w:r w:rsidR="003A1579" w:rsidRPr="00370A32">
              <w:rPr>
                <w:rFonts w:ascii="Arial" w:hAnsi="Arial" w:cs="Arial"/>
                <w:sz w:val="15"/>
                <w:szCs w:val="15"/>
                <w:lang w:val="en-US"/>
              </w:rPr>
              <w:instrText xml:space="preserve"> ADDIN ZOTERO_ITEM CSL_CITATION {"citationID":"akknfomn15","properties":{"formattedCitation":"\\super 21\\nosupersub{}","plainCitation":"21","noteIndex":0},"citationItems":[{"id":100,"uris":["http://zotero.org/users/local/0pdZPGmr/items/XGBVRI4I"],"itemData":{"id":100,"type":"article-journal","container-title":"New England Journal of Medicine","DOI":"10.1056/NEJMoa1915341","issue":"4","journalAbbreviation":"New England Journal of Medicine","note":"publisher: Massachusetts Medical Society","page":"309-320","title":"Baloxavir Marboxil for Prophylaxis against Influenza in Household Contacts","volume":"383","author":[{"literal":"Ikematsu Hideyuki"},{"literal":"Hayden Frederick G."},{"literal":"Kawaguchi Keiko"},{"literal":"Kinoshita Masahiro"},{"literal":"de Jong Menno D."},{"literal":"Lee Nelson"},{"literal":"Takashima Satoru"},{"literal":"Noshi Takeshi"},{"literal":"Tsuchiya Kenji"},{"literal":"Uehara Takeki"}],"issued":{"date-parts":[["2020",7,23]]}}}],"schema":"https://github.com/citation-style-language/schema/raw/master/csl-citation.json"} </w:instrText>
            </w:r>
            <w:r w:rsidR="00DB7E22" w:rsidRPr="00370A32">
              <w:rPr>
                <w:rFonts w:ascii="Arial" w:hAnsi="Arial" w:cs="Arial"/>
                <w:sz w:val="15"/>
                <w:szCs w:val="15"/>
                <w:lang w:val="en-US"/>
              </w:rPr>
              <w:fldChar w:fldCharType="separate"/>
            </w:r>
            <w:r w:rsidR="003A1579" w:rsidRPr="00370A32">
              <w:rPr>
                <w:rFonts w:ascii="Arial" w:hAnsi="Arial" w:cs="Arial"/>
                <w:sz w:val="15"/>
                <w:szCs w:val="15"/>
                <w:vertAlign w:val="superscript"/>
                <w:lang w:val="en-US"/>
              </w:rPr>
              <w:t>21</w:t>
            </w:r>
            <w:r w:rsidR="00DB7E22" w:rsidRPr="00370A32">
              <w:rPr>
                <w:rFonts w:ascii="Arial" w:hAnsi="Arial" w:cs="Arial"/>
                <w:sz w:val="15"/>
                <w:szCs w:val="15"/>
                <w:lang w:val="en-US"/>
              </w:rPr>
              <w:fldChar w:fldCharType="end"/>
            </w:r>
          </w:p>
        </w:tc>
      </w:tr>
      <w:tr w:rsidR="00DB323B" w:rsidRPr="00370A32" w14:paraId="4C27A138" w14:textId="77777777" w:rsidTr="00DB323B">
        <w:tc>
          <w:tcPr>
            <w:tcW w:w="4111" w:type="dxa"/>
            <w:tcBorders>
              <w:bottom w:val="single" w:sz="4" w:space="0" w:color="auto"/>
            </w:tcBorders>
          </w:tcPr>
          <w:p w14:paraId="6D7FBCAA"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Protective period of BXM as PEP in days (</w:t>
            </w:r>
            <m:oMath>
              <m:sSub>
                <m:sSubPr>
                  <m:ctrlPr>
                    <w:rPr>
                      <w:rFonts w:ascii="Cambria Math" w:hAnsi="Cambria Math" w:cs="Arial"/>
                      <w:i/>
                      <w:sz w:val="15"/>
                      <w:szCs w:val="15"/>
                      <w:lang w:val="en-US"/>
                    </w:rPr>
                  </m:ctrlPr>
                </m:sSubPr>
                <m:e>
                  <m:r>
                    <w:rPr>
                      <w:rFonts w:ascii="Cambria Math" w:hAnsi="Cambria Math" w:cs="Arial"/>
                      <w:sz w:val="15"/>
                      <w:szCs w:val="15"/>
                      <w:lang w:val="en-US"/>
                    </w:rPr>
                    <m:t>γ</m:t>
                  </m:r>
                </m:e>
                <m:sub>
                  <m:r>
                    <w:rPr>
                      <w:rFonts w:ascii="Cambria Math" w:hAnsi="Cambria Math" w:cs="Arial"/>
                      <w:sz w:val="15"/>
                      <w:szCs w:val="15"/>
                      <w:lang w:val="en-US"/>
                    </w:rPr>
                    <m:t>PEP</m:t>
                  </m:r>
                </m:sub>
              </m:sSub>
            </m:oMath>
            <w:r w:rsidRPr="00370A32">
              <w:rPr>
                <w:rFonts w:ascii="Arial" w:hAnsi="Arial" w:cs="Arial"/>
                <w:sz w:val="15"/>
                <w:szCs w:val="15"/>
                <w:lang w:val="en-US"/>
              </w:rPr>
              <w:t>)</w:t>
            </w:r>
          </w:p>
        </w:tc>
        <w:tc>
          <w:tcPr>
            <w:tcW w:w="3849" w:type="dxa"/>
            <w:tcBorders>
              <w:bottom w:val="single" w:sz="4" w:space="0" w:color="auto"/>
            </w:tcBorders>
          </w:tcPr>
          <w:p w14:paraId="5875B6C0"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10</w:t>
            </w:r>
          </w:p>
        </w:tc>
        <w:tc>
          <w:tcPr>
            <w:tcW w:w="1050" w:type="dxa"/>
            <w:tcBorders>
              <w:bottom w:val="single" w:sz="4" w:space="0" w:color="auto"/>
            </w:tcBorders>
          </w:tcPr>
          <w:p w14:paraId="36F0BA4B" w14:textId="5FB25525" w:rsidR="00DB7E22" w:rsidRPr="00370A32" w:rsidRDefault="00DB7E22" w:rsidP="00370A32">
            <w:pPr>
              <w:spacing w:line="288" w:lineRule="auto"/>
              <w:rPr>
                <w:rFonts w:ascii="Arial" w:hAnsi="Arial" w:cs="Arial"/>
                <w:sz w:val="15"/>
                <w:szCs w:val="15"/>
              </w:rPr>
            </w:pPr>
          </w:p>
        </w:tc>
      </w:tr>
      <w:tr w:rsidR="00DB7E22" w:rsidRPr="00370A32" w14:paraId="43561EA1" w14:textId="77777777" w:rsidTr="00DB323B">
        <w:tc>
          <w:tcPr>
            <w:tcW w:w="9010" w:type="dxa"/>
            <w:gridSpan w:val="3"/>
            <w:tcBorders>
              <w:top w:val="single" w:sz="4" w:space="0" w:color="auto"/>
              <w:bottom w:val="single" w:sz="4" w:space="0" w:color="auto"/>
            </w:tcBorders>
          </w:tcPr>
          <w:p w14:paraId="2760B03F" w14:textId="77777777" w:rsidR="00DB7E22" w:rsidRPr="00370A32" w:rsidRDefault="00DB7E22" w:rsidP="00370A32">
            <w:pPr>
              <w:spacing w:line="288" w:lineRule="auto"/>
              <w:rPr>
                <w:rFonts w:ascii="Arial" w:hAnsi="Arial" w:cs="Arial"/>
                <w:i/>
                <w:sz w:val="15"/>
                <w:szCs w:val="15"/>
              </w:rPr>
            </w:pPr>
            <w:r w:rsidRPr="00370A32">
              <w:rPr>
                <w:rFonts w:ascii="Arial" w:hAnsi="Arial" w:cs="Arial"/>
                <w:i/>
                <w:sz w:val="15"/>
                <w:szCs w:val="15"/>
              </w:rPr>
              <w:t>Relative susceptibility to infection by age (</w:t>
            </w:r>
            <m:oMath>
              <m:sSub>
                <m:sSubPr>
                  <m:ctrlPr>
                    <w:rPr>
                      <w:rFonts w:ascii="Cambria Math" w:hAnsi="Cambria Math" w:cs="Arial"/>
                      <w:i/>
                      <w:sz w:val="15"/>
                      <w:szCs w:val="15"/>
                      <w:lang w:val="en-US"/>
                    </w:rPr>
                  </m:ctrlPr>
                </m:sSubPr>
                <m:e>
                  <m:r>
                    <w:rPr>
                      <w:rFonts w:ascii="Cambria Math" w:hAnsi="Cambria Math" w:cs="Arial"/>
                      <w:sz w:val="15"/>
                      <w:szCs w:val="15"/>
                      <w:lang w:val="en-US"/>
                    </w:rPr>
                    <m:t>η</m:t>
                  </m:r>
                </m:e>
                <m:sub>
                  <m:r>
                    <w:rPr>
                      <w:rFonts w:ascii="Cambria Math" w:hAnsi="Cambria Math" w:cs="Arial"/>
                      <w:sz w:val="15"/>
                      <w:szCs w:val="15"/>
                      <w:lang w:val="en-US"/>
                    </w:rPr>
                    <m:t>a</m:t>
                  </m:r>
                </m:sub>
              </m:sSub>
            </m:oMath>
            <w:r w:rsidRPr="00370A32">
              <w:rPr>
                <w:rFonts w:ascii="Arial" w:hAnsi="Arial" w:cs="Arial"/>
                <w:i/>
                <w:sz w:val="15"/>
                <w:szCs w:val="15"/>
                <w:lang w:val="en-US"/>
              </w:rPr>
              <w:t>)</w:t>
            </w:r>
          </w:p>
        </w:tc>
      </w:tr>
      <w:tr w:rsidR="00DB323B" w:rsidRPr="00370A32" w14:paraId="39FF9B2D" w14:textId="77777777" w:rsidTr="00DB323B">
        <w:tc>
          <w:tcPr>
            <w:tcW w:w="4111" w:type="dxa"/>
            <w:tcBorders>
              <w:top w:val="single" w:sz="4" w:space="0" w:color="auto"/>
            </w:tcBorders>
          </w:tcPr>
          <w:p w14:paraId="59E1D3BD"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1918 A/H1N1, 0-99 years</w:t>
            </w:r>
          </w:p>
        </w:tc>
        <w:tc>
          <w:tcPr>
            <w:tcW w:w="3849" w:type="dxa"/>
            <w:tcBorders>
              <w:top w:val="single" w:sz="4" w:space="0" w:color="auto"/>
            </w:tcBorders>
          </w:tcPr>
          <w:p w14:paraId="4784DDEA"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1.00</w:t>
            </w:r>
          </w:p>
        </w:tc>
        <w:tc>
          <w:tcPr>
            <w:tcW w:w="1050" w:type="dxa"/>
            <w:tcBorders>
              <w:top w:val="single" w:sz="4" w:space="0" w:color="auto"/>
            </w:tcBorders>
          </w:tcPr>
          <w:p w14:paraId="4F423532"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Assumed</w:t>
            </w:r>
          </w:p>
        </w:tc>
      </w:tr>
      <w:tr w:rsidR="00DB7E22" w:rsidRPr="00370A32" w14:paraId="49680537" w14:textId="77777777" w:rsidTr="00DB323B">
        <w:tc>
          <w:tcPr>
            <w:tcW w:w="4111" w:type="dxa"/>
          </w:tcPr>
          <w:p w14:paraId="1DF0E949"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1968 A/H3N2, 0-99 years</w:t>
            </w:r>
          </w:p>
        </w:tc>
        <w:tc>
          <w:tcPr>
            <w:tcW w:w="3849" w:type="dxa"/>
          </w:tcPr>
          <w:p w14:paraId="3E326A7D"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1.00</w:t>
            </w:r>
          </w:p>
        </w:tc>
        <w:tc>
          <w:tcPr>
            <w:tcW w:w="1050" w:type="dxa"/>
          </w:tcPr>
          <w:p w14:paraId="2F2C1680"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Assumed</w:t>
            </w:r>
          </w:p>
        </w:tc>
      </w:tr>
      <w:tr w:rsidR="00370A32" w:rsidRPr="00370A32" w14:paraId="23C1DE31" w14:textId="77777777" w:rsidTr="00DB323B">
        <w:tc>
          <w:tcPr>
            <w:tcW w:w="4111" w:type="dxa"/>
          </w:tcPr>
          <w:p w14:paraId="369CEB38"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2009 A/H1N1, 0-19 years</w:t>
            </w:r>
          </w:p>
        </w:tc>
        <w:tc>
          <w:tcPr>
            <w:tcW w:w="3849" w:type="dxa"/>
          </w:tcPr>
          <w:p w14:paraId="3CF88DD3"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1.00</w:t>
            </w:r>
          </w:p>
        </w:tc>
        <w:tc>
          <w:tcPr>
            <w:tcW w:w="1050" w:type="dxa"/>
            <w:vMerge w:val="restart"/>
          </w:tcPr>
          <w:p w14:paraId="2665A042" w14:textId="6D65A08F" w:rsidR="00DB7E22" w:rsidRPr="00370A32" w:rsidRDefault="00370A32" w:rsidP="00370A32">
            <w:pPr>
              <w:spacing w:line="288" w:lineRule="auto"/>
              <w:rPr>
                <w:rFonts w:ascii="Arial" w:hAnsi="Arial" w:cs="Arial"/>
                <w:sz w:val="15"/>
                <w:szCs w:val="15"/>
              </w:rPr>
            </w:pPr>
            <w:r w:rsidRPr="00370A32">
              <w:rPr>
                <w:rFonts w:ascii="Arial" w:hAnsi="Arial" w:cs="Arial"/>
                <w:sz w:val="15"/>
                <w:szCs w:val="15"/>
                <w:lang w:val="en-US"/>
              </w:rPr>
              <w:t>Cauchemez et al., 2009</w:t>
            </w:r>
            <w:r w:rsidR="00DB7E22" w:rsidRPr="00370A32">
              <w:rPr>
                <w:rFonts w:ascii="Arial" w:hAnsi="Arial" w:cs="Arial"/>
                <w:sz w:val="15"/>
                <w:szCs w:val="15"/>
                <w:lang w:val="en-US"/>
              </w:rPr>
              <w:fldChar w:fldCharType="begin"/>
            </w:r>
            <w:r w:rsidR="00485DAB">
              <w:rPr>
                <w:rFonts w:ascii="Arial" w:hAnsi="Arial" w:cs="Arial"/>
                <w:sz w:val="15"/>
                <w:szCs w:val="15"/>
                <w:lang w:val="en-US"/>
              </w:rPr>
              <w:instrText xml:space="preserve"> ADDIN ZOTERO_ITEM CSL_CITATION {"citationID":"aydLMoMh","properties":{"formattedCitation":"\\super 17\\nosupersub{}","plainCitation":"17","noteIndex":0},"citationItems":[{"id":104,"uris":["http://zotero.org/users/local/0pdZPGmr/items/S2ALJ8LS"],"itemData":{"id":104,"type":"article-journal","container-title":"New England Journal of Medicine","DOI":"10.1056/NEJMoa0905498","issue":"27","journalAbbreviation":"New England Journal of Medicine","note":"publisher: Massachusetts Medical Society","page":"2619-2627","title":"Household Transmission of 2009 Pandemic Influenza A (H1N1) Virus in the United States","volume":"361","author":[{"literal":"Cauchemez Simon"},{"literal":"Donnelly Christl A."},{"literal":"Reed Carrie"},{"literal":"Ghani Azra C."},{"literal":"Fraser Christophe"},{"literal":"Kent Charlotte K."},{"literal":"Finelli Lyn"},{"literal":"Ferguson Neil M."}],"issued":{"date-parts":[["2009"]]}}}],"schema":"https://github.com/citation-style-language/schema/raw/master/csl-citation.json"} </w:instrText>
            </w:r>
            <w:r w:rsidR="00DB7E22" w:rsidRPr="00370A32">
              <w:rPr>
                <w:rFonts w:ascii="Arial" w:hAnsi="Arial" w:cs="Arial"/>
                <w:sz w:val="15"/>
                <w:szCs w:val="15"/>
                <w:lang w:val="en-US"/>
              </w:rPr>
              <w:fldChar w:fldCharType="separate"/>
            </w:r>
            <w:r w:rsidR="00DB7E22" w:rsidRPr="00370A32">
              <w:rPr>
                <w:rFonts w:ascii="Arial" w:hAnsi="Arial" w:cs="Arial"/>
                <w:sz w:val="15"/>
                <w:szCs w:val="15"/>
                <w:vertAlign w:val="superscript"/>
                <w:lang w:val="en-US"/>
              </w:rPr>
              <w:t>17</w:t>
            </w:r>
            <w:r w:rsidR="00DB7E22" w:rsidRPr="00370A32">
              <w:rPr>
                <w:rFonts w:ascii="Arial" w:hAnsi="Arial" w:cs="Arial"/>
                <w:sz w:val="15"/>
                <w:szCs w:val="15"/>
                <w:lang w:val="en-US"/>
              </w:rPr>
              <w:fldChar w:fldCharType="end"/>
            </w:r>
          </w:p>
        </w:tc>
      </w:tr>
      <w:tr w:rsidR="00370A32" w:rsidRPr="00370A32" w14:paraId="2D9DB22C" w14:textId="77777777" w:rsidTr="00DB323B">
        <w:tc>
          <w:tcPr>
            <w:tcW w:w="4111" w:type="dxa"/>
          </w:tcPr>
          <w:p w14:paraId="5F75CBF3"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2009 A/H1N1, 20-64 years</w:t>
            </w:r>
          </w:p>
        </w:tc>
        <w:tc>
          <w:tcPr>
            <w:tcW w:w="3849" w:type="dxa"/>
          </w:tcPr>
          <w:p w14:paraId="451E146D"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0.510</w:t>
            </w:r>
          </w:p>
        </w:tc>
        <w:tc>
          <w:tcPr>
            <w:tcW w:w="1050" w:type="dxa"/>
            <w:vMerge/>
          </w:tcPr>
          <w:p w14:paraId="2E0269B3" w14:textId="77777777" w:rsidR="00DB7E22" w:rsidRPr="00370A32" w:rsidRDefault="00DB7E22" w:rsidP="00370A32">
            <w:pPr>
              <w:spacing w:line="288" w:lineRule="auto"/>
              <w:rPr>
                <w:rFonts w:ascii="Arial" w:hAnsi="Arial" w:cs="Arial"/>
                <w:sz w:val="15"/>
                <w:szCs w:val="15"/>
              </w:rPr>
            </w:pPr>
          </w:p>
        </w:tc>
      </w:tr>
      <w:tr w:rsidR="00370A32" w:rsidRPr="00370A32" w14:paraId="649919DA" w14:textId="77777777" w:rsidTr="00DB323B">
        <w:tc>
          <w:tcPr>
            <w:tcW w:w="4111" w:type="dxa"/>
          </w:tcPr>
          <w:p w14:paraId="15C91A07"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2009 A/H1N1, 65-99 years</w:t>
            </w:r>
          </w:p>
        </w:tc>
        <w:tc>
          <w:tcPr>
            <w:tcW w:w="3849" w:type="dxa"/>
          </w:tcPr>
          <w:p w14:paraId="5EF8426D"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0.087</w:t>
            </w:r>
          </w:p>
        </w:tc>
        <w:tc>
          <w:tcPr>
            <w:tcW w:w="1050" w:type="dxa"/>
            <w:vMerge/>
          </w:tcPr>
          <w:p w14:paraId="75193F2A" w14:textId="77777777" w:rsidR="00DB7E22" w:rsidRPr="00370A32" w:rsidRDefault="00DB7E22" w:rsidP="00370A32">
            <w:pPr>
              <w:spacing w:line="288" w:lineRule="auto"/>
              <w:rPr>
                <w:rFonts w:ascii="Arial" w:hAnsi="Arial" w:cs="Arial"/>
                <w:sz w:val="15"/>
                <w:szCs w:val="15"/>
              </w:rPr>
            </w:pPr>
          </w:p>
        </w:tc>
      </w:tr>
      <w:tr w:rsidR="00DB7E22" w:rsidRPr="00370A32" w14:paraId="5E0D5CA2" w14:textId="77777777" w:rsidTr="00DB323B">
        <w:tc>
          <w:tcPr>
            <w:tcW w:w="4111" w:type="dxa"/>
          </w:tcPr>
          <w:p w14:paraId="6081BA1A"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COVID-19, 0-14 years</w:t>
            </w:r>
          </w:p>
        </w:tc>
        <w:tc>
          <w:tcPr>
            <w:tcW w:w="3849" w:type="dxa"/>
          </w:tcPr>
          <w:p w14:paraId="6BCD6596"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0.231</w:t>
            </w:r>
          </w:p>
        </w:tc>
        <w:tc>
          <w:tcPr>
            <w:tcW w:w="1050" w:type="dxa"/>
            <w:vMerge w:val="restart"/>
          </w:tcPr>
          <w:p w14:paraId="41BF2C25" w14:textId="71CDD16C" w:rsidR="00DB7E22" w:rsidRPr="00370A32" w:rsidRDefault="00370A32" w:rsidP="00370A32">
            <w:pPr>
              <w:spacing w:line="288" w:lineRule="auto"/>
              <w:rPr>
                <w:rFonts w:ascii="Arial" w:hAnsi="Arial" w:cs="Arial"/>
                <w:sz w:val="15"/>
                <w:szCs w:val="15"/>
              </w:rPr>
            </w:pPr>
            <w:r w:rsidRPr="00370A32">
              <w:rPr>
                <w:rFonts w:ascii="Arial" w:hAnsi="Arial" w:cs="Arial"/>
                <w:sz w:val="15"/>
                <w:szCs w:val="15"/>
                <w:lang w:val="en-US"/>
              </w:rPr>
              <w:t>Zhang et al., 2020</w:t>
            </w:r>
            <w:r w:rsidR="00DB7E22" w:rsidRPr="00370A32">
              <w:rPr>
                <w:rFonts w:ascii="Arial" w:hAnsi="Arial" w:cs="Arial"/>
                <w:sz w:val="15"/>
                <w:szCs w:val="15"/>
                <w:lang w:val="en-US"/>
              </w:rPr>
              <w:fldChar w:fldCharType="begin"/>
            </w:r>
            <w:r w:rsidR="003A1579" w:rsidRPr="00370A32">
              <w:rPr>
                <w:rFonts w:ascii="Arial" w:hAnsi="Arial" w:cs="Arial"/>
                <w:sz w:val="15"/>
                <w:szCs w:val="15"/>
                <w:lang w:val="en-US"/>
              </w:rPr>
              <w:instrText xml:space="preserve"> ADDIN ZOTERO_ITEM CSL_CITATION {"citationID":"8uvzmj00","properties":{"formattedCitation":"\\super 18\\nosupersub{}","plainCitation":"18","noteIndex":0},"citationItems":[{"id":106,"uris":["http://zotero.org/users/local/0pdZPGmr/items/TC6DZ35V"],"itemData":{"id":106,"type":"article-journal","abstract":"The coronavirus 2019 (COVID-19) pandemic has brought tighter restrictions on the daily lives of millions of people, but we do not yet understand what measures are the most effective. Zhang et al. modeled virus transmission in Wuhan, China, in February 2020, investigating the effects of interventions ranging from patient management to social isolation. Age-mixing patterns were estimated by contact surveys conducted in Wuhan and Shanghai at the beginning of February 2020. Once people reduced their average daily contacts from 14 to 20 down to 2, transmission rapidly fell below the epidemic threshold. The model also showed that preemptive school closures helped to reduce transmission, although alone they would not prevent a COVID-19 outbreak. Limiting human mixing to within households appeared to be the most effective measure. Science, this issue p. 1481 Reducing social contacts on the scale achieved in Wuhan and Shanghai in early 2020 could be sufficient to bring a COVID-19 outbreak under control. Intense nonpharmaceutical interventions were put in place in China to stop transmission of the novel coronavirus disease 2019 (COVID-19). As transmission intensifies in other countries, the interplay between age, contact patterns, social distancing, susceptibility to infection, and COVID-19 dynamics remains unclear. To answer these questions, we analyze contact survey data for Wuhan and Shanghai before and during the outbreak and contact-tracing information from Hunan province. Daily contacts were reduced seven- to eightfold during the COVID-19 social distancing period, with most interactions restricted to the household. We find that children 0 to 14 years of age are less susceptible to severe acute respiratory syndrome coronavirus 2 (SARS-CoV-2) infection than adults 15 to 64 years of age (odds ratio 0.34, 95% confidence interval 0.24 to 0.49), whereas individuals more than 65 years of age are more susceptible to infection (odds ratio 1.47, 95% confidence interval 1.12 to 1.92). Based on these data, we built a transmission model to study the impact of social distancing and school closure on transmission. We find that social distancing alone, as implemented in China during the outbreak, is sufficient to control COVID-19. Although proactive school closures cannot interrupt transmission on their own, they can reduce peak incidence by 40 to 60% and delay the epidemic.","container-title":"Science","DOI":"10.1126/science.abb8001","issue":"6498","journalAbbreviation":"Science","note":"publisher: American Association for the Advancement of Science","page":"1481-1486","title":"Changes in contact patterns shape the dynamics of the COVID-19 outbreak in China","volume":"368","author":[{"family":"Zhang","given":"Juanjuan"},{"family":"Litvinova","given":"Maria"},{"family":"Liang","given":"Yuxia"},{"family":"Wang","given":"Yan"},{"family":"Wang","given":"Wei"},{"family":"Zhao","given":"Shanlu"},{"family":"Wu","given":"Qianhui"},{"family":"Merler","given":"Stefano"},{"family":"Viboud","given":"Cécile"},{"family":"Vespignani","given":"Alessandro"},{"family":"Ajelli","given":"Marco"},{"family":"Yu","given":"Hongjie"}],"issued":{"date-parts":[["2020",6,26]]}}}],"schema":"https://github.com/citation-style-language/schema/raw/master/csl-citation.json"} </w:instrText>
            </w:r>
            <w:r w:rsidR="00DB7E22" w:rsidRPr="00370A32">
              <w:rPr>
                <w:rFonts w:ascii="Arial" w:hAnsi="Arial" w:cs="Arial"/>
                <w:sz w:val="15"/>
                <w:szCs w:val="15"/>
                <w:lang w:val="en-US"/>
              </w:rPr>
              <w:fldChar w:fldCharType="separate"/>
            </w:r>
            <w:r w:rsidR="00DB7E22" w:rsidRPr="00370A32">
              <w:rPr>
                <w:rFonts w:ascii="Arial" w:hAnsi="Arial" w:cs="Arial"/>
                <w:sz w:val="15"/>
                <w:szCs w:val="15"/>
                <w:vertAlign w:val="superscript"/>
                <w:lang w:val="en-US"/>
              </w:rPr>
              <w:t>18</w:t>
            </w:r>
            <w:r w:rsidR="00DB7E22" w:rsidRPr="00370A32">
              <w:rPr>
                <w:rFonts w:ascii="Arial" w:hAnsi="Arial" w:cs="Arial"/>
                <w:sz w:val="15"/>
                <w:szCs w:val="15"/>
                <w:lang w:val="en-US"/>
              </w:rPr>
              <w:fldChar w:fldCharType="end"/>
            </w:r>
          </w:p>
        </w:tc>
      </w:tr>
      <w:tr w:rsidR="00DB7E22" w:rsidRPr="00370A32" w14:paraId="3D70899A" w14:textId="77777777" w:rsidTr="00DB323B">
        <w:tc>
          <w:tcPr>
            <w:tcW w:w="4111" w:type="dxa"/>
          </w:tcPr>
          <w:p w14:paraId="41A7A0D9"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COVID-19, 15-64 years</w:t>
            </w:r>
          </w:p>
        </w:tc>
        <w:tc>
          <w:tcPr>
            <w:tcW w:w="3849" w:type="dxa"/>
          </w:tcPr>
          <w:p w14:paraId="56D2712F"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0.680</w:t>
            </w:r>
          </w:p>
        </w:tc>
        <w:tc>
          <w:tcPr>
            <w:tcW w:w="1050" w:type="dxa"/>
            <w:vMerge/>
          </w:tcPr>
          <w:p w14:paraId="624CF56F" w14:textId="77777777" w:rsidR="00DB7E22" w:rsidRPr="00370A32" w:rsidRDefault="00DB7E22" w:rsidP="00370A32">
            <w:pPr>
              <w:spacing w:line="288" w:lineRule="auto"/>
              <w:rPr>
                <w:rFonts w:ascii="Arial" w:hAnsi="Arial" w:cs="Arial"/>
                <w:sz w:val="15"/>
                <w:szCs w:val="15"/>
              </w:rPr>
            </w:pPr>
          </w:p>
        </w:tc>
      </w:tr>
      <w:tr w:rsidR="00370A32" w:rsidRPr="00370A32" w14:paraId="02120B3F" w14:textId="77777777" w:rsidTr="00DB323B">
        <w:tc>
          <w:tcPr>
            <w:tcW w:w="4111" w:type="dxa"/>
            <w:tcBorders>
              <w:bottom w:val="single" w:sz="4" w:space="0" w:color="auto"/>
            </w:tcBorders>
          </w:tcPr>
          <w:p w14:paraId="215BB077"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COVID-19, 65-99 years</w:t>
            </w:r>
          </w:p>
        </w:tc>
        <w:tc>
          <w:tcPr>
            <w:tcW w:w="3849" w:type="dxa"/>
            <w:tcBorders>
              <w:bottom w:val="single" w:sz="4" w:space="0" w:color="auto"/>
            </w:tcBorders>
          </w:tcPr>
          <w:p w14:paraId="558D7EB3"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1.00</w:t>
            </w:r>
          </w:p>
        </w:tc>
        <w:tc>
          <w:tcPr>
            <w:tcW w:w="1050" w:type="dxa"/>
            <w:vMerge/>
            <w:tcBorders>
              <w:bottom w:val="single" w:sz="4" w:space="0" w:color="auto"/>
            </w:tcBorders>
          </w:tcPr>
          <w:p w14:paraId="30427F15" w14:textId="77777777" w:rsidR="00DB7E22" w:rsidRPr="00370A32" w:rsidRDefault="00DB7E22" w:rsidP="00370A32">
            <w:pPr>
              <w:spacing w:line="288" w:lineRule="auto"/>
              <w:rPr>
                <w:rFonts w:ascii="Arial" w:hAnsi="Arial" w:cs="Arial"/>
                <w:sz w:val="15"/>
                <w:szCs w:val="15"/>
              </w:rPr>
            </w:pPr>
          </w:p>
        </w:tc>
      </w:tr>
      <w:tr w:rsidR="00DB7E22" w:rsidRPr="00370A32" w14:paraId="5FC7FAFD" w14:textId="77777777" w:rsidTr="00DB323B">
        <w:tc>
          <w:tcPr>
            <w:tcW w:w="9010" w:type="dxa"/>
            <w:gridSpan w:val="3"/>
            <w:tcBorders>
              <w:top w:val="single" w:sz="4" w:space="0" w:color="auto"/>
              <w:bottom w:val="single" w:sz="4" w:space="0" w:color="auto"/>
            </w:tcBorders>
          </w:tcPr>
          <w:p w14:paraId="09460F5C" w14:textId="15407987" w:rsidR="00DB7E22" w:rsidRPr="00370A32" w:rsidRDefault="00DB7E22" w:rsidP="00370A32">
            <w:pPr>
              <w:spacing w:line="288" w:lineRule="auto"/>
              <w:rPr>
                <w:rFonts w:ascii="Arial" w:hAnsi="Arial" w:cs="Arial"/>
                <w:i/>
                <w:sz w:val="15"/>
                <w:szCs w:val="15"/>
              </w:rPr>
            </w:pPr>
            <w:r w:rsidRPr="00370A32">
              <w:rPr>
                <w:rFonts w:ascii="Arial" w:hAnsi="Arial" w:cs="Arial"/>
                <w:i/>
                <w:sz w:val="15"/>
                <w:szCs w:val="15"/>
              </w:rPr>
              <w:t>Case fatality rate by age (</w:t>
            </w:r>
            <m:oMath>
              <m:sSubSup>
                <m:sSubSupPr>
                  <m:ctrlPr>
                    <w:rPr>
                      <w:rFonts w:ascii="Cambria Math" w:eastAsiaTheme="minorHAnsi" w:hAnsi="Cambria Math" w:cs="Arial"/>
                      <w:i/>
                      <w:sz w:val="15"/>
                      <w:szCs w:val="15"/>
                      <w:lang w:val="en-SG" w:eastAsia="en-US"/>
                    </w:rPr>
                  </m:ctrlPr>
                </m:sSubSupPr>
                <m:e>
                  <m:r>
                    <w:rPr>
                      <w:rFonts w:ascii="Cambria Math" w:hAnsi="Cambria Math" w:cs="Arial"/>
                      <w:sz w:val="15"/>
                      <w:szCs w:val="15"/>
                    </w:rPr>
                    <m:t>p</m:t>
                  </m:r>
                </m:e>
                <m:sub>
                  <m:r>
                    <w:rPr>
                      <w:rFonts w:ascii="Cambria Math" w:hAnsi="Cambria Math" w:cs="Arial"/>
                      <w:sz w:val="15"/>
                      <w:szCs w:val="15"/>
                    </w:rPr>
                    <m:t>α</m:t>
                  </m:r>
                </m:sub>
                <m:sup>
                  <m:r>
                    <w:rPr>
                      <w:rFonts w:ascii="Cambria Math" w:hAnsi="Cambria Math" w:cs="Arial"/>
                      <w:sz w:val="15"/>
                      <w:szCs w:val="15"/>
                    </w:rPr>
                    <m:t>dea</m:t>
                  </m:r>
                </m:sup>
              </m:sSubSup>
            </m:oMath>
            <w:r w:rsidRPr="00370A32">
              <w:rPr>
                <w:rFonts w:ascii="Arial" w:hAnsi="Arial" w:cs="Arial"/>
                <w:i/>
                <w:sz w:val="15"/>
                <w:szCs w:val="15"/>
              </w:rPr>
              <w:t>)</w:t>
            </w:r>
          </w:p>
        </w:tc>
      </w:tr>
      <w:tr w:rsidR="00370A32" w:rsidRPr="00370A32" w14:paraId="1391729A" w14:textId="77777777" w:rsidTr="00DB323B">
        <w:tc>
          <w:tcPr>
            <w:tcW w:w="4111" w:type="dxa"/>
            <w:tcBorders>
              <w:top w:val="single" w:sz="4" w:space="0" w:color="auto"/>
            </w:tcBorders>
          </w:tcPr>
          <w:p w14:paraId="15F4A015"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1918 A/H1N1, 0-4 years</w:t>
            </w:r>
          </w:p>
        </w:tc>
        <w:tc>
          <w:tcPr>
            <w:tcW w:w="3849" w:type="dxa"/>
            <w:tcBorders>
              <w:top w:val="single" w:sz="4" w:space="0" w:color="auto"/>
            </w:tcBorders>
            <w:vAlign w:val="bottom"/>
          </w:tcPr>
          <w:p w14:paraId="64AE0A90" w14:textId="77777777" w:rsidR="00DB7E22" w:rsidRPr="00370A32" w:rsidRDefault="00DB7E22" w:rsidP="00370A32">
            <w:pPr>
              <w:spacing w:line="288" w:lineRule="auto"/>
              <w:rPr>
                <w:rFonts w:ascii="Arial" w:hAnsi="Arial" w:cs="Arial"/>
                <w:sz w:val="15"/>
                <w:szCs w:val="15"/>
              </w:rPr>
            </w:pPr>
            <w:r w:rsidRPr="00370A32">
              <w:rPr>
                <w:rFonts w:ascii="Arial" w:hAnsi="Arial" w:cs="Arial"/>
                <w:color w:val="000000"/>
                <w:sz w:val="15"/>
                <w:szCs w:val="15"/>
              </w:rPr>
              <w:t>0.01867</w:t>
            </w:r>
          </w:p>
        </w:tc>
        <w:tc>
          <w:tcPr>
            <w:tcW w:w="1050" w:type="dxa"/>
            <w:vMerge w:val="restart"/>
            <w:tcBorders>
              <w:top w:val="single" w:sz="4" w:space="0" w:color="auto"/>
            </w:tcBorders>
          </w:tcPr>
          <w:p w14:paraId="03D8145A" w14:textId="25E708B8"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 xml:space="preserve">By fitting W-shape mortality curve reported in </w:t>
            </w:r>
            <w:r w:rsidRPr="00370A32">
              <w:rPr>
                <w:rFonts w:ascii="Arial" w:hAnsi="Arial" w:cs="Arial"/>
                <w:sz w:val="15"/>
                <w:szCs w:val="15"/>
                <w:lang w:val="en-US"/>
              </w:rPr>
              <w:fldChar w:fldCharType="begin"/>
            </w:r>
            <w:r w:rsidR="002B0C95">
              <w:rPr>
                <w:rFonts w:ascii="Arial" w:hAnsi="Arial" w:cs="Arial"/>
                <w:sz w:val="15"/>
                <w:szCs w:val="15"/>
                <w:lang w:val="en-US"/>
              </w:rPr>
              <w:instrText xml:space="preserve"> ADDIN ZOTERO_ITEM CSL_CITATION {"citationID":"a2no0huc2p8","properties":{"formattedCitation":"\\super 29,30\\nosupersub{}","plainCitation":"29,30","noteIndex":0},"citationItems":[{"id":189,"uris":["http://zotero.org/users/local/0pdZPGmr/items/B4YIBH2K"],"itemData":{"id":189,"type":"article-journal","abstract":"The original purpose of our study was to examine the unusual W-shaped mortality curve associated with the 1918 influenza pandemic and possibly explain the peak in mortality among individuals aged 20–40 years. We plotted age-specific excess mortality instead of total mortality for the 1918 pandemic using a 5-year baseline. For comparison, we also graphed excess mortality curves for the 1957 and 1968 pandemics using 5-year baselines. The 1957 and 1968 curves exhibited the usual U-shaped curve, with high excess mortality among infants and the elderly population relative to young adults. The 1918 curve, however, presented unexpected results. A peak in excess mortality among infants and young adults was seen, but the expected W shape did not result. We instead found negative excess mortality among elderly individuals, suggesting that this group was exposed, at an earlier date, to an influenza strain similar to the so-called Spanish influenza (H1N1) strain.","container-title":"Clinical Infectious Diseases","DOI":"10.1086/322662","ISSN":"1058-4838","issue":"8","journalAbbreviation":"Clinical Infectious Diseases","page":"1375-1378","title":"Observations on Mortality during the 1918 Influenza Pandemic","volume":"33","author":[{"family":"Luk","given":"Jeffrey"},{"family":"Gross","given":"Peter"},{"family":"Thompson","given":"William W."}],"issued":{"date-parts":[["2001",10,15]]}}},{"id":192,"uris":["http://zotero.org/users/local/0pdZPGmr/items/89XR3V2F"],"itemData":{"id":192,"type":"article-journal","abstract":"The \"Spanish\" influenza pandemic of 1918–1919, which caused ≈50 million deaths worldwide, remains an ominous warning to public health. Many questions about its origins, its unusual epidemiologic features, and the basis of its pathogenicity remain unanswered. The public health implications of the pandemic therefore remain in doubt even as we now grapple with the feared emergence of a pandemic caused by H5N1 or other virus. However, new information about the 1918 virus is emerging, for example, sequencing of the entire genome from archival autopsy tissues. But, the viral genome alone is unlikely to provide answers to some critical questions. Understanding the 1918 pandemic and its implications for future pandemics requires careful experimentation and in-depth historical analysis.","container-title":"Emerging Infectious Disease journal","DOI":"10.3201/eid1201.050979","ISSN":"1080-6059","issue":"1","page":"15","title":"1918 Influenza: the Mother of All Pandemics","volume":"12","author":[{"family":"Taubenberger","given":"Jeffery"},{"family":"Morens","given":"David"}],"issued":{"date-parts":[["2006"]]}}}],"schema":"https://github.com/citation-style-language/schema/raw/master/csl-citation.json"} </w:instrText>
            </w:r>
            <w:r w:rsidRPr="00370A32">
              <w:rPr>
                <w:rFonts w:ascii="Arial" w:hAnsi="Arial" w:cs="Arial"/>
                <w:sz w:val="15"/>
                <w:szCs w:val="15"/>
                <w:lang w:val="en-US"/>
              </w:rPr>
              <w:fldChar w:fldCharType="separate"/>
            </w:r>
            <w:r w:rsidR="002B0C95" w:rsidRPr="002B0C95">
              <w:rPr>
                <w:rFonts w:ascii="Arial" w:hAnsi="Arial" w:cs="Arial"/>
                <w:sz w:val="15"/>
                <w:vertAlign w:val="superscript"/>
                <w:lang w:val="en-US"/>
              </w:rPr>
              <w:t>29,30</w:t>
            </w:r>
            <w:r w:rsidRPr="00370A32">
              <w:rPr>
                <w:rFonts w:ascii="Arial" w:hAnsi="Arial" w:cs="Arial"/>
                <w:sz w:val="15"/>
                <w:szCs w:val="15"/>
                <w:lang w:val="en-US"/>
              </w:rPr>
              <w:fldChar w:fldCharType="end"/>
            </w:r>
          </w:p>
        </w:tc>
      </w:tr>
      <w:tr w:rsidR="00DB7E22" w:rsidRPr="00370A32" w14:paraId="50202FDF" w14:textId="77777777" w:rsidTr="00DB323B">
        <w:tc>
          <w:tcPr>
            <w:tcW w:w="4111" w:type="dxa"/>
          </w:tcPr>
          <w:p w14:paraId="4DE6305F"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1918 A/H1N1, 5-14 years</w:t>
            </w:r>
          </w:p>
        </w:tc>
        <w:tc>
          <w:tcPr>
            <w:tcW w:w="3849" w:type="dxa"/>
            <w:vAlign w:val="bottom"/>
          </w:tcPr>
          <w:p w14:paraId="12DA8FB8" w14:textId="77777777" w:rsidR="00DB7E22" w:rsidRPr="00370A32" w:rsidRDefault="00DB7E22" w:rsidP="00370A32">
            <w:pPr>
              <w:spacing w:line="288" w:lineRule="auto"/>
              <w:rPr>
                <w:rFonts w:ascii="Arial" w:hAnsi="Arial" w:cs="Arial"/>
                <w:sz w:val="15"/>
                <w:szCs w:val="15"/>
              </w:rPr>
            </w:pPr>
            <w:r w:rsidRPr="00370A32">
              <w:rPr>
                <w:rFonts w:ascii="Arial" w:hAnsi="Arial" w:cs="Arial"/>
                <w:color w:val="000000"/>
                <w:sz w:val="15"/>
                <w:szCs w:val="15"/>
              </w:rPr>
              <w:t>0.00201</w:t>
            </w:r>
          </w:p>
        </w:tc>
        <w:tc>
          <w:tcPr>
            <w:tcW w:w="1050" w:type="dxa"/>
            <w:vMerge/>
          </w:tcPr>
          <w:p w14:paraId="65C84C33" w14:textId="77777777" w:rsidR="00DB7E22" w:rsidRPr="00370A32" w:rsidRDefault="00DB7E22" w:rsidP="00370A32">
            <w:pPr>
              <w:spacing w:line="288" w:lineRule="auto"/>
              <w:rPr>
                <w:rFonts w:ascii="Arial" w:hAnsi="Arial" w:cs="Arial"/>
                <w:sz w:val="15"/>
                <w:szCs w:val="15"/>
              </w:rPr>
            </w:pPr>
          </w:p>
        </w:tc>
      </w:tr>
      <w:tr w:rsidR="00DB7E22" w:rsidRPr="00370A32" w14:paraId="2E371A58" w14:textId="77777777" w:rsidTr="00DB323B">
        <w:tc>
          <w:tcPr>
            <w:tcW w:w="4111" w:type="dxa"/>
          </w:tcPr>
          <w:p w14:paraId="7DD954B3"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1918 A/H1N1, 15-24 years</w:t>
            </w:r>
          </w:p>
        </w:tc>
        <w:tc>
          <w:tcPr>
            <w:tcW w:w="3849" w:type="dxa"/>
            <w:vAlign w:val="bottom"/>
          </w:tcPr>
          <w:p w14:paraId="15935D4D" w14:textId="77777777" w:rsidR="00DB7E22" w:rsidRPr="00370A32" w:rsidRDefault="00DB7E22" w:rsidP="00370A32">
            <w:pPr>
              <w:spacing w:line="288" w:lineRule="auto"/>
              <w:rPr>
                <w:rFonts w:ascii="Arial" w:hAnsi="Arial" w:cs="Arial"/>
                <w:sz w:val="15"/>
                <w:szCs w:val="15"/>
              </w:rPr>
            </w:pPr>
            <w:r w:rsidRPr="00370A32">
              <w:rPr>
                <w:rFonts w:ascii="Arial" w:hAnsi="Arial" w:cs="Arial"/>
                <w:color w:val="000000"/>
                <w:sz w:val="15"/>
                <w:szCs w:val="15"/>
              </w:rPr>
              <w:t>0.00719</w:t>
            </w:r>
          </w:p>
        </w:tc>
        <w:tc>
          <w:tcPr>
            <w:tcW w:w="1050" w:type="dxa"/>
            <w:vMerge/>
          </w:tcPr>
          <w:p w14:paraId="516F19A1" w14:textId="77777777" w:rsidR="00DB7E22" w:rsidRPr="00370A32" w:rsidRDefault="00DB7E22" w:rsidP="00370A32">
            <w:pPr>
              <w:spacing w:line="288" w:lineRule="auto"/>
              <w:rPr>
                <w:rFonts w:ascii="Arial" w:hAnsi="Arial" w:cs="Arial"/>
                <w:sz w:val="15"/>
                <w:szCs w:val="15"/>
              </w:rPr>
            </w:pPr>
          </w:p>
        </w:tc>
      </w:tr>
      <w:tr w:rsidR="00DB7E22" w:rsidRPr="00370A32" w14:paraId="454E4985" w14:textId="77777777" w:rsidTr="00DB323B">
        <w:tc>
          <w:tcPr>
            <w:tcW w:w="4111" w:type="dxa"/>
          </w:tcPr>
          <w:p w14:paraId="12FA682E"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1918 A/H1N1, 25-34 years</w:t>
            </w:r>
          </w:p>
        </w:tc>
        <w:tc>
          <w:tcPr>
            <w:tcW w:w="3849" w:type="dxa"/>
            <w:vAlign w:val="bottom"/>
          </w:tcPr>
          <w:p w14:paraId="2B7B67C2" w14:textId="77777777" w:rsidR="00DB7E22" w:rsidRPr="00370A32" w:rsidRDefault="00DB7E22" w:rsidP="00370A32">
            <w:pPr>
              <w:spacing w:line="288" w:lineRule="auto"/>
              <w:rPr>
                <w:rFonts w:ascii="Arial" w:hAnsi="Arial" w:cs="Arial"/>
                <w:sz w:val="15"/>
                <w:szCs w:val="15"/>
              </w:rPr>
            </w:pPr>
            <w:r w:rsidRPr="00370A32">
              <w:rPr>
                <w:rFonts w:ascii="Arial" w:hAnsi="Arial" w:cs="Arial"/>
                <w:color w:val="000000"/>
                <w:sz w:val="15"/>
                <w:szCs w:val="15"/>
              </w:rPr>
              <w:t>0.01327</w:t>
            </w:r>
          </w:p>
        </w:tc>
        <w:tc>
          <w:tcPr>
            <w:tcW w:w="1050" w:type="dxa"/>
            <w:vMerge/>
          </w:tcPr>
          <w:p w14:paraId="3848360C" w14:textId="77777777" w:rsidR="00DB7E22" w:rsidRPr="00370A32" w:rsidRDefault="00DB7E22" w:rsidP="00370A32">
            <w:pPr>
              <w:spacing w:line="288" w:lineRule="auto"/>
              <w:rPr>
                <w:rFonts w:ascii="Arial" w:hAnsi="Arial" w:cs="Arial"/>
                <w:sz w:val="15"/>
                <w:szCs w:val="15"/>
              </w:rPr>
            </w:pPr>
          </w:p>
        </w:tc>
      </w:tr>
      <w:tr w:rsidR="00DB7E22" w:rsidRPr="00370A32" w14:paraId="71263C9B" w14:textId="77777777" w:rsidTr="00DB323B">
        <w:tc>
          <w:tcPr>
            <w:tcW w:w="4111" w:type="dxa"/>
          </w:tcPr>
          <w:p w14:paraId="67674104"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1918 A/H1N1, 35-44 years</w:t>
            </w:r>
          </w:p>
        </w:tc>
        <w:tc>
          <w:tcPr>
            <w:tcW w:w="3849" w:type="dxa"/>
            <w:vAlign w:val="bottom"/>
          </w:tcPr>
          <w:p w14:paraId="7F361E26" w14:textId="77777777" w:rsidR="00DB7E22" w:rsidRPr="00370A32" w:rsidRDefault="00DB7E22" w:rsidP="00370A32">
            <w:pPr>
              <w:spacing w:line="288" w:lineRule="auto"/>
              <w:rPr>
                <w:rFonts w:ascii="Arial" w:hAnsi="Arial" w:cs="Arial"/>
                <w:sz w:val="15"/>
                <w:szCs w:val="15"/>
              </w:rPr>
            </w:pPr>
            <w:r w:rsidRPr="00370A32">
              <w:rPr>
                <w:rFonts w:ascii="Arial" w:hAnsi="Arial" w:cs="Arial"/>
                <w:color w:val="000000"/>
                <w:sz w:val="15"/>
                <w:szCs w:val="15"/>
              </w:rPr>
              <w:t>0.00716</w:t>
            </w:r>
          </w:p>
        </w:tc>
        <w:tc>
          <w:tcPr>
            <w:tcW w:w="1050" w:type="dxa"/>
            <w:vMerge/>
          </w:tcPr>
          <w:p w14:paraId="5A2FA6FE" w14:textId="77777777" w:rsidR="00DB7E22" w:rsidRPr="00370A32" w:rsidRDefault="00DB7E22" w:rsidP="00370A32">
            <w:pPr>
              <w:spacing w:line="288" w:lineRule="auto"/>
              <w:rPr>
                <w:rFonts w:ascii="Arial" w:hAnsi="Arial" w:cs="Arial"/>
                <w:sz w:val="15"/>
                <w:szCs w:val="15"/>
              </w:rPr>
            </w:pPr>
          </w:p>
        </w:tc>
      </w:tr>
      <w:tr w:rsidR="00DB7E22" w:rsidRPr="00370A32" w14:paraId="157B174C" w14:textId="77777777" w:rsidTr="00DB323B">
        <w:tc>
          <w:tcPr>
            <w:tcW w:w="4111" w:type="dxa"/>
          </w:tcPr>
          <w:p w14:paraId="62EFFA72"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1918 A/H1N1, 45-54 years</w:t>
            </w:r>
          </w:p>
        </w:tc>
        <w:tc>
          <w:tcPr>
            <w:tcW w:w="3849" w:type="dxa"/>
            <w:vAlign w:val="bottom"/>
          </w:tcPr>
          <w:p w14:paraId="2B67D63C" w14:textId="77777777" w:rsidR="00DB7E22" w:rsidRPr="00370A32" w:rsidRDefault="00DB7E22" w:rsidP="00370A32">
            <w:pPr>
              <w:spacing w:line="288" w:lineRule="auto"/>
              <w:rPr>
                <w:rFonts w:ascii="Arial" w:hAnsi="Arial" w:cs="Arial"/>
                <w:sz w:val="15"/>
                <w:szCs w:val="15"/>
              </w:rPr>
            </w:pPr>
            <w:r w:rsidRPr="00370A32">
              <w:rPr>
                <w:rFonts w:ascii="Arial" w:hAnsi="Arial" w:cs="Arial"/>
                <w:color w:val="000000"/>
                <w:sz w:val="15"/>
                <w:szCs w:val="15"/>
              </w:rPr>
              <w:t>0.00512</w:t>
            </w:r>
          </w:p>
        </w:tc>
        <w:tc>
          <w:tcPr>
            <w:tcW w:w="1050" w:type="dxa"/>
            <w:vMerge/>
          </w:tcPr>
          <w:p w14:paraId="49928813" w14:textId="77777777" w:rsidR="00DB7E22" w:rsidRPr="00370A32" w:rsidRDefault="00DB7E22" w:rsidP="00370A32">
            <w:pPr>
              <w:spacing w:line="288" w:lineRule="auto"/>
              <w:rPr>
                <w:rFonts w:ascii="Arial" w:hAnsi="Arial" w:cs="Arial"/>
                <w:sz w:val="15"/>
                <w:szCs w:val="15"/>
              </w:rPr>
            </w:pPr>
          </w:p>
        </w:tc>
      </w:tr>
      <w:tr w:rsidR="00DB7E22" w:rsidRPr="00370A32" w14:paraId="0770E2FF" w14:textId="77777777" w:rsidTr="00DB323B">
        <w:tc>
          <w:tcPr>
            <w:tcW w:w="4111" w:type="dxa"/>
          </w:tcPr>
          <w:p w14:paraId="2E3982A5"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1918 A/H1N1, 55-64 years</w:t>
            </w:r>
          </w:p>
        </w:tc>
        <w:tc>
          <w:tcPr>
            <w:tcW w:w="3849" w:type="dxa"/>
            <w:vAlign w:val="bottom"/>
          </w:tcPr>
          <w:p w14:paraId="6F55CB15" w14:textId="77777777" w:rsidR="00DB7E22" w:rsidRPr="00370A32" w:rsidRDefault="00DB7E22" w:rsidP="00370A32">
            <w:pPr>
              <w:spacing w:line="288" w:lineRule="auto"/>
              <w:rPr>
                <w:rFonts w:ascii="Arial" w:hAnsi="Arial" w:cs="Arial"/>
                <w:sz w:val="15"/>
                <w:szCs w:val="15"/>
              </w:rPr>
            </w:pPr>
            <w:r w:rsidRPr="00370A32">
              <w:rPr>
                <w:rFonts w:ascii="Arial" w:hAnsi="Arial" w:cs="Arial"/>
                <w:color w:val="000000"/>
                <w:sz w:val="15"/>
                <w:szCs w:val="15"/>
              </w:rPr>
              <w:t>0.00943</w:t>
            </w:r>
          </w:p>
        </w:tc>
        <w:tc>
          <w:tcPr>
            <w:tcW w:w="1050" w:type="dxa"/>
            <w:vMerge/>
          </w:tcPr>
          <w:p w14:paraId="495CC7FC" w14:textId="77777777" w:rsidR="00DB7E22" w:rsidRPr="00370A32" w:rsidRDefault="00DB7E22" w:rsidP="00370A32">
            <w:pPr>
              <w:spacing w:line="288" w:lineRule="auto"/>
              <w:rPr>
                <w:rFonts w:ascii="Arial" w:hAnsi="Arial" w:cs="Arial"/>
                <w:sz w:val="15"/>
                <w:szCs w:val="15"/>
              </w:rPr>
            </w:pPr>
          </w:p>
        </w:tc>
      </w:tr>
      <w:tr w:rsidR="00DB7E22" w:rsidRPr="00370A32" w14:paraId="49A549F4" w14:textId="77777777" w:rsidTr="00DB323B">
        <w:tc>
          <w:tcPr>
            <w:tcW w:w="4111" w:type="dxa"/>
          </w:tcPr>
          <w:p w14:paraId="10C0F8F4"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1918 A/H1N1, 65-74 years</w:t>
            </w:r>
          </w:p>
        </w:tc>
        <w:tc>
          <w:tcPr>
            <w:tcW w:w="3849" w:type="dxa"/>
            <w:vAlign w:val="bottom"/>
          </w:tcPr>
          <w:p w14:paraId="561B517A" w14:textId="77777777" w:rsidR="00DB7E22" w:rsidRPr="00370A32" w:rsidRDefault="00DB7E22" w:rsidP="00370A32">
            <w:pPr>
              <w:spacing w:line="288" w:lineRule="auto"/>
              <w:rPr>
                <w:rFonts w:ascii="Arial" w:hAnsi="Arial" w:cs="Arial"/>
                <w:sz w:val="15"/>
                <w:szCs w:val="15"/>
              </w:rPr>
            </w:pPr>
            <w:r w:rsidRPr="00370A32">
              <w:rPr>
                <w:rFonts w:ascii="Arial" w:hAnsi="Arial" w:cs="Arial"/>
                <w:color w:val="000000"/>
                <w:sz w:val="15"/>
                <w:szCs w:val="15"/>
              </w:rPr>
              <w:t>0.03005</w:t>
            </w:r>
          </w:p>
        </w:tc>
        <w:tc>
          <w:tcPr>
            <w:tcW w:w="1050" w:type="dxa"/>
            <w:vMerge/>
          </w:tcPr>
          <w:p w14:paraId="71118EEF" w14:textId="77777777" w:rsidR="00DB7E22" w:rsidRPr="00370A32" w:rsidRDefault="00DB7E22" w:rsidP="00370A32">
            <w:pPr>
              <w:spacing w:line="288" w:lineRule="auto"/>
              <w:rPr>
                <w:rFonts w:ascii="Arial" w:hAnsi="Arial" w:cs="Arial"/>
                <w:sz w:val="15"/>
                <w:szCs w:val="15"/>
              </w:rPr>
            </w:pPr>
          </w:p>
        </w:tc>
      </w:tr>
      <w:tr w:rsidR="00DB7E22" w:rsidRPr="00370A32" w14:paraId="50B72172" w14:textId="77777777" w:rsidTr="00DB323B">
        <w:tc>
          <w:tcPr>
            <w:tcW w:w="4111" w:type="dxa"/>
          </w:tcPr>
          <w:p w14:paraId="6512FB77"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1918 A/H1N1, 75-84 years</w:t>
            </w:r>
          </w:p>
        </w:tc>
        <w:tc>
          <w:tcPr>
            <w:tcW w:w="3849" w:type="dxa"/>
            <w:vAlign w:val="bottom"/>
          </w:tcPr>
          <w:p w14:paraId="2445FEAA" w14:textId="77777777" w:rsidR="00DB7E22" w:rsidRPr="00370A32" w:rsidRDefault="00DB7E22" w:rsidP="00370A32">
            <w:pPr>
              <w:spacing w:line="288" w:lineRule="auto"/>
              <w:rPr>
                <w:rFonts w:ascii="Arial" w:hAnsi="Arial" w:cs="Arial"/>
                <w:sz w:val="15"/>
                <w:szCs w:val="15"/>
              </w:rPr>
            </w:pPr>
            <w:r w:rsidRPr="00370A32">
              <w:rPr>
                <w:rFonts w:ascii="Arial" w:hAnsi="Arial" w:cs="Arial"/>
                <w:color w:val="000000"/>
                <w:sz w:val="15"/>
                <w:szCs w:val="15"/>
              </w:rPr>
              <w:t>0.05380</w:t>
            </w:r>
          </w:p>
        </w:tc>
        <w:tc>
          <w:tcPr>
            <w:tcW w:w="1050" w:type="dxa"/>
            <w:vMerge/>
          </w:tcPr>
          <w:p w14:paraId="2C4791F5" w14:textId="77777777" w:rsidR="00DB7E22" w:rsidRPr="00370A32" w:rsidRDefault="00DB7E22" w:rsidP="00370A32">
            <w:pPr>
              <w:spacing w:line="288" w:lineRule="auto"/>
              <w:rPr>
                <w:rFonts w:ascii="Arial" w:hAnsi="Arial" w:cs="Arial"/>
                <w:sz w:val="15"/>
                <w:szCs w:val="15"/>
              </w:rPr>
            </w:pPr>
          </w:p>
        </w:tc>
      </w:tr>
      <w:tr w:rsidR="00DB7E22" w:rsidRPr="00370A32" w14:paraId="56B0DB31" w14:textId="77777777" w:rsidTr="00DB323B">
        <w:tc>
          <w:tcPr>
            <w:tcW w:w="4111" w:type="dxa"/>
          </w:tcPr>
          <w:p w14:paraId="1C8AEA28"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1918 A/H1N1, 85-99 years</w:t>
            </w:r>
          </w:p>
        </w:tc>
        <w:tc>
          <w:tcPr>
            <w:tcW w:w="3849" w:type="dxa"/>
            <w:vAlign w:val="bottom"/>
          </w:tcPr>
          <w:p w14:paraId="1845CEE9" w14:textId="77777777" w:rsidR="00DB7E22" w:rsidRPr="00370A32" w:rsidRDefault="00DB7E22" w:rsidP="00370A32">
            <w:pPr>
              <w:spacing w:line="288" w:lineRule="auto"/>
              <w:rPr>
                <w:rFonts w:ascii="Arial" w:hAnsi="Arial" w:cs="Arial"/>
                <w:sz w:val="15"/>
                <w:szCs w:val="15"/>
              </w:rPr>
            </w:pPr>
            <w:r w:rsidRPr="00370A32">
              <w:rPr>
                <w:rFonts w:ascii="Arial" w:hAnsi="Arial" w:cs="Arial"/>
                <w:color w:val="000000"/>
                <w:sz w:val="15"/>
                <w:szCs w:val="15"/>
              </w:rPr>
              <w:t>0.04155</w:t>
            </w:r>
          </w:p>
        </w:tc>
        <w:tc>
          <w:tcPr>
            <w:tcW w:w="1050" w:type="dxa"/>
            <w:vMerge/>
          </w:tcPr>
          <w:p w14:paraId="491F73F8" w14:textId="77777777" w:rsidR="00DB7E22" w:rsidRPr="00370A32" w:rsidRDefault="00DB7E22" w:rsidP="00370A32">
            <w:pPr>
              <w:spacing w:line="288" w:lineRule="auto"/>
              <w:rPr>
                <w:rFonts w:ascii="Arial" w:hAnsi="Arial" w:cs="Arial"/>
                <w:sz w:val="15"/>
                <w:szCs w:val="15"/>
              </w:rPr>
            </w:pPr>
          </w:p>
        </w:tc>
      </w:tr>
      <w:tr w:rsidR="003A1579" w:rsidRPr="00370A32" w14:paraId="6406B3F7" w14:textId="77777777" w:rsidTr="00DB323B">
        <w:tc>
          <w:tcPr>
            <w:tcW w:w="4111" w:type="dxa"/>
          </w:tcPr>
          <w:p w14:paraId="59D5C86E" w14:textId="657C07C8" w:rsidR="003A1579" w:rsidRPr="00370A32" w:rsidRDefault="003A1579" w:rsidP="00370A32">
            <w:pPr>
              <w:spacing w:line="288" w:lineRule="auto"/>
              <w:rPr>
                <w:rFonts w:ascii="Arial" w:hAnsi="Arial" w:cs="Arial"/>
                <w:sz w:val="15"/>
                <w:szCs w:val="15"/>
              </w:rPr>
            </w:pPr>
            <w:r w:rsidRPr="00370A32">
              <w:rPr>
                <w:rFonts w:ascii="Arial" w:hAnsi="Arial" w:cs="Arial"/>
                <w:sz w:val="15"/>
                <w:szCs w:val="15"/>
              </w:rPr>
              <w:t>1968 A/H3N2, 0-4 years</w:t>
            </w:r>
          </w:p>
        </w:tc>
        <w:tc>
          <w:tcPr>
            <w:tcW w:w="3849" w:type="dxa"/>
            <w:vAlign w:val="bottom"/>
          </w:tcPr>
          <w:p w14:paraId="797717CC" w14:textId="5731A1D7" w:rsidR="003A1579" w:rsidRPr="00370A32" w:rsidRDefault="003A1579" w:rsidP="00370A32">
            <w:pPr>
              <w:spacing w:line="288" w:lineRule="auto"/>
              <w:rPr>
                <w:rFonts w:ascii="Arial" w:hAnsi="Arial" w:cs="Arial"/>
                <w:sz w:val="15"/>
                <w:szCs w:val="15"/>
              </w:rPr>
            </w:pPr>
            <w:r w:rsidRPr="00370A32">
              <w:rPr>
                <w:rFonts w:ascii="Arial" w:hAnsi="Arial" w:cs="Arial"/>
                <w:color w:val="000000"/>
                <w:sz w:val="15"/>
                <w:szCs w:val="15"/>
              </w:rPr>
              <w:t>0.0011824</w:t>
            </w:r>
          </w:p>
        </w:tc>
        <w:tc>
          <w:tcPr>
            <w:tcW w:w="1050" w:type="dxa"/>
            <w:vMerge w:val="restart"/>
          </w:tcPr>
          <w:p w14:paraId="68D8E644" w14:textId="05703D4E" w:rsidR="003A1579" w:rsidRPr="00370A32" w:rsidRDefault="003A1579" w:rsidP="00370A32">
            <w:pPr>
              <w:spacing w:line="288" w:lineRule="auto"/>
              <w:rPr>
                <w:rFonts w:ascii="Arial" w:hAnsi="Arial" w:cs="Arial"/>
                <w:sz w:val="15"/>
                <w:szCs w:val="15"/>
              </w:rPr>
            </w:pPr>
            <w:r w:rsidRPr="00370A32">
              <w:rPr>
                <w:rFonts w:ascii="Arial" w:hAnsi="Arial" w:cs="Arial"/>
                <w:sz w:val="15"/>
                <w:szCs w:val="15"/>
              </w:rPr>
              <w:t xml:space="preserve">By fitting U-shape mortality curve reported in </w:t>
            </w:r>
            <w:r w:rsidRPr="00370A32">
              <w:rPr>
                <w:rFonts w:ascii="Arial" w:hAnsi="Arial" w:cs="Arial"/>
                <w:sz w:val="15"/>
                <w:szCs w:val="15"/>
                <w:lang w:val="en-US"/>
              </w:rPr>
              <w:fldChar w:fldCharType="begin"/>
            </w:r>
            <w:r w:rsidR="002B0C95">
              <w:rPr>
                <w:rFonts w:ascii="Arial" w:hAnsi="Arial" w:cs="Arial"/>
                <w:sz w:val="15"/>
                <w:szCs w:val="15"/>
                <w:lang w:val="en-US"/>
              </w:rPr>
              <w:instrText xml:space="preserve"> ADDIN ZOTERO_ITEM CSL_CITATION {"citationID":"DGt1D4Gk","properties":{"formattedCitation":"\\super 29,30\\nosupersub{}","plainCitation":"29,30","noteIndex":0},"citationItems":[{"id":189,"uris":["http://zotero.org/users/local/0pdZPGmr/items/B4YIBH2K"],"itemData":{"id":189,"type":"article-journal","abstract":"The original purpose of our study was to examine the unusual W-shaped mortality curve associated with the 1918 influenza pandemic and possibly explain the peak in mortality among individuals aged 20–40 years. We plotted age-specific excess mortality instead of total mortality for the 1918 pandemic using a 5-year baseline. For comparison, we also graphed excess mortality curves for the 1957 and 1968 pandemics using 5-year baselines. The 1957 and 1968 curves exhibited the usual U-shaped curve, with high excess mortality among infants and the elderly population relative to young adults. The 1918 curve, however, presented unexpected results. A peak in excess mortality among infants and young adults was seen, but the expected W shape did not result. We instead found negative excess mortality among elderly individuals, suggesting that this group was exposed, at an earlier date, to an influenza strain similar to the so-called Spanish influenza (H1N1) strain.","container-title":"Clinical Infectious Diseases","DOI":"10.1086/322662","ISSN":"1058-4838","issue":"8","journalAbbreviation":"Clinical Infectious Diseases","page":"1375-1378","title":"Observations on Mortality during the 1918 Influenza Pandemic","volume":"33","author":[{"family":"Luk","given":"Jeffrey"},{"family":"Gross","given":"Peter"},{"family":"Thompson","given":"William W."}],"issued":{"date-parts":[["2001",10,15]]}}},{"id":192,"uris":["http://zotero.org/users/local/0pdZPGmr/items/89XR3V2F"],"itemData":{"id":192,"type":"article-journal","abstract":"The \"Spanish\" influenza pandemic of 1918–1919, which caused ≈50 million deaths worldwide, remains an ominous warning to public health. Many questions about its origins, its unusual epidemiologic features, and the basis of its pathogenicity remain unanswered. The public health implications of the pandemic therefore remain in doubt even as we now grapple with the feared emergence of a pandemic caused by H5N1 or other virus. However, new information about the 1918 virus is emerging, for example, sequencing of the entire genome from archival autopsy tissues. But, the viral genome alone is unlikely to provide answers to some critical questions. Understanding the 1918 pandemic and its implications for future pandemics requires careful experimentation and in-depth historical analysis.","container-title":"Emerging Infectious Disease journal","DOI":"10.3201/eid1201.050979","ISSN":"1080-6059","issue":"1","page":"15","title":"1918 Influenza: the Mother of All Pandemics","volume":"12","author":[{"family":"Taubenberger","given":"Jeffery"},{"family":"Morens","given":"David"}],"issued":{"date-parts":[["2006"]]}}}],"schema":"https://github.com/citation-style-language/schema/raw/master/csl-citation.json"} </w:instrText>
            </w:r>
            <w:r w:rsidRPr="00370A32">
              <w:rPr>
                <w:rFonts w:ascii="Arial" w:hAnsi="Arial" w:cs="Arial"/>
                <w:sz w:val="15"/>
                <w:szCs w:val="15"/>
                <w:lang w:val="en-US"/>
              </w:rPr>
              <w:fldChar w:fldCharType="separate"/>
            </w:r>
            <w:r w:rsidR="002B0C95" w:rsidRPr="002B0C95">
              <w:rPr>
                <w:rFonts w:ascii="Arial" w:hAnsi="Arial" w:cs="Arial"/>
                <w:sz w:val="15"/>
                <w:vertAlign w:val="superscript"/>
                <w:lang w:val="en-US"/>
              </w:rPr>
              <w:t>29,30</w:t>
            </w:r>
            <w:r w:rsidRPr="00370A32">
              <w:rPr>
                <w:rFonts w:ascii="Arial" w:hAnsi="Arial" w:cs="Arial"/>
                <w:sz w:val="15"/>
                <w:szCs w:val="15"/>
                <w:lang w:val="en-US"/>
              </w:rPr>
              <w:fldChar w:fldCharType="end"/>
            </w:r>
          </w:p>
        </w:tc>
      </w:tr>
      <w:tr w:rsidR="003A1579" w:rsidRPr="00370A32" w14:paraId="49ED8E2D" w14:textId="77777777" w:rsidTr="00DB323B">
        <w:tc>
          <w:tcPr>
            <w:tcW w:w="4111" w:type="dxa"/>
          </w:tcPr>
          <w:p w14:paraId="7032EED5" w14:textId="122B90DF" w:rsidR="003A1579" w:rsidRPr="00370A32" w:rsidRDefault="003A1579" w:rsidP="00370A32">
            <w:pPr>
              <w:spacing w:line="288" w:lineRule="auto"/>
              <w:rPr>
                <w:rFonts w:ascii="Arial" w:hAnsi="Arial" w:cs="Arial"/>
                <w:sz w:val="15"/>
                <w:szCs w:val="15"/>
              </w:rPr>
            </w:pPr>
            <w:r w:rsidRPr="00370A32">
              <w:rPr>
                <w:rFonts w:ascii="Arial" w:hAnsi="Arial" w:cs="Arial"/>
                <w:sz w:val="15"/>
                <w:szCs w:val="15"/>
              </w:rPr>
              <w:t>1968 A/H3N2, 5-14 years</w:t>
            </w:r>
          </w:p>
        </w:tc>
        <w:tc>
          <w:tcPr>
            <w:tcW w:w="3849" w:type="dxa"/>
            <w:vAlign w:val="bottom"/>
          </w:tcPr>
          <w:p w14:paraId="6D0154FE" w14:textId="261AAC9E" w:rsidR="003A1579" w:rsidRPr="00370A32" w:rsidRDefault="003A1579" w:rsidP="00370A32">
            <w:pPr>
              <w:spacing w:line="288" w:lineRule="auto"/>
              <w:rPr>
                <w:rFonts w:ascii="Arial" w:hAnsi="Arial" w:cs="Arial"/>
                <w:sz w:val="15"/>
                <w:szCs w:val="15"/>
              </w:rPr>
            </w:pPr>
            <w:r w:rsidRPr="00370A32">
              <w:rPr>
                <w:rFonts w:ascii="Arial" w:hAnsi="Arial" w:cs="Arial"/>
                <w:color w:val="000000"/>
                <w:sz w:val="15"/>
                <w:szCs w:val="15"/>
              </w:rPr>
              <w:t>0.0000240</w:t>
            </w:r>
          </w:p>
        </w:tc>
        <w:tc>
          <w:tcPr>
            <w:tcW w:w="1050" w:type="dxa"/>
            <w:vMerge/>
          </w:tcPr>
          <w:p w14:paraId="6726789A" w14:textId="77777777" w:rsidR="003A1579" w:rsidRPr="00370A32" w:rsidRDefault="003A1579" w:rsidP="00370A32">
            <w:pPr>
              <w:spacing w:line="288" w:lineRule="auto"/>
              <w:rPr>
                <w:rFonts w:ascii="Arial" w:hAnsi="Arial" w:cs="Arial"/>
                <w:sz w:val="15"/>
                <w:szCs w:val="15"/>
              </w:rPr>
            </w:pPr>
          </w:p>
        </w:tc>
      </w:tr>
      <w:tr w:rsidR="003A1579" w:rsidRPr="00370A32" w14:paraId="730DF93A" w14:textId="77777777" w:rsidTr="00DB323B">
        <w:tc>
          <w:tcPr>
            <w:tcW w:w="4111" w:type="dxa"/>
          </w:tcPr>
          <w:p w14:paraId="6AF08614" w14:textId="338D43EA" w:rsidR="003A1579" w:rsidRPr="00370A32" w:rsidRDefault="003A1579" w:rsidP="00370A32">
            <w:pPr>
              <w:spacing w:line="288" w:lineRule="auto"/>
              <w:rPr>
                <w:rFonts w:ascii="Arial" w:hAnsi="Arial" w:cs="Arial"/>
                <w:sz w:val="15"/>
                <w:szCs w:val="15"/>
              </w:rPr>
            </w:pPr>
            <w:r w:rsidRPr="00370A32">
              <w:rPr>
                <w:rFonts w:ascii="Arial" w:hAnsi="Arial" w:cs="Arial"/>
                <w:sz w:val="15"/>
                <w:szCs w:val="15"/>
              </w:rPr>
              <w:t>1968 A/H3N2, 15-24 years</w:t>
            </w:r>
          </w:p>
        </w:tc>
        <w:tc>
          <w:tcPr>
            <w:tcW w:w="3849" w:type="dxa"/>
            <w:vAlign w:val="bottom"/>
          </w:tcPr>
          <w:p w14:paraId="28548E73" w14:textId="685CF85F" w:rsidR="003A1579" w:rsidRPr="00370A32" w:rsidRDefault="003A1579" w:rsidP="00370A32">
            <w:pPr>
              <w:spacing w:line="288" w:lineRule="auto"/>
              <w:rPr>
                <w:rFonts w:ascii="Arial" w:hAnsi="Arial" w:cs="Arial"/>
                <w:sz w:val="15"/>
                <w:szCs w:val="15"/>
              </w:rPr>
            </w:pPr>
            <w:r w:rsidRPr="00370A32">
              <w:rPr>
                <w:rFonts w:ascii="Arial" w:hAnsi="Arial" w:cs="Arial"/>
                <w:color w:val="000000"/>
                <w:sz w:val="15"/>
                <w:szCs w:val="15"/>
              </w:rPr>
              <w:t>0.0000410</w:t>
            </w:r>
          </w:p>
        </w:tc>
        <w:tc>
          <w:tcPr>
            <w:tcW w:w="1050" w:type="dxa"/>
            <w:vMerge/>
          </w:tcPr>
          <w:p w14:paraId="4EE99BE1" w14:textId="77777777" w:rsidR="003A1579" w:rsidRPr="00370A32" w:rsidRDefault="003A1579" w:rsidP="00370A32">
            <w:pPr>
              <w:spacing w:line="288" w:lineRule="auto"/>
              <w:rPr>
                <w:rFonts w:ascii="Arial" w:hAnsi="Arial" w:cs="Arial"/>
                <w:sz w:val="15"/>
                <w:szCs w:val="15"/>
              </w:rPr>
            </w:pPr>
          </w:p>
        </w:tc>
      </w:tr>
      <w:tr w:rsidR="003A1579" w:rsidRPr="00370A32" w14:paraId="538245B0" w14:textId="77777777" w:rsidTr="00DB323B">
        <w:tc>
          <w:tcPr>
            <w:tcW w:w="4111" w:type="dxa"/>
          </w:tcPr>
          <w:p w14:paraId="7A1F14E3" w14:textId="5A448CE8" w:rsidR="003A1579" w:rsidRPr="00370A32" w:rsidRDefault="003A1579" w:rsidP="00370A32">
            <w:pPr>
              <w:spacing w:line="288" w:lineRule="auto"/>
              <w:rPr>
                <w:rFonts w:ascii="Arial" w:hAnsi="Arial" w:cs="Arial"/>
                <w:sz w:val="15"/>
                <w:szCs w:val="15"/>
              </w:rPr>
            </w:pPr>
            <w:r w:rsidRPr="00370A32">
              <w:rPr>
                <w:rFonts w:ascii="Arial" w:hAnsi="Arial" w:cs="Arial"/>
                <w:sz w:val="15"/>
                <w:szCs w:val="15"/>
              </w:rPr>
              <w:t>1968 A/H3N2, 25-34 years</w:t>
            </w:r>
          </w:p>
        </w:tc>
        <w:tc>
          <w:tcPr>
            <w:tcW w:w="3849" w:type="dxa"/>
            <w:vAlign w:val="bottom"/>
          </w:tcPr>
          <w:p w14:paraId="15713B2F" w14:textId="51B13F95" w:rsidR="003A1579" w:rsidRPr="00370A32" w:rsidRDefault="003A1579" w:rsidP="00370A32">
            <w:pPr>
              <w:spacing w:line="288" w:lineRule="auto"/>
              <w:rPr>
                <w:rFonts w:ascii="Arial" w:hAnsi="Arial" w:cs="Arial"/>
                <w:sz w:val="15"/>
                <w:szCs w:val="15"/>
              </w:rPr>
            </w:pPr>
            <w:r w:rsidRPr="00370A32">
              <w:rPr>
                <w:rFonts w:ascii="Arial" w:hAnsi="Arial" w:cs="Arial"/>
                <w:color w:val="000000"/>
                <w:sz w:val="15"/>
                <w:szCs w:val="15"/>
              </w:rPr>
              <w:t>0.0000601</w:t>
            </w:r>
          </w:p>
        </w:tc>
        <w:tc>
          <w:tcPr>
            <w:tcW w:w="1050" w:type="dxa"/>
            <w:vMerge/>
          </w:tcPr>
          <w:p w14:paraId="33F83126" w14:textId="77777777" w:rsidR="003A1579" w:rsidRPr="00370A32" w:rsidRDefault="003A1579" w:rsidP="00370A32">
            <w:pPr>
              <w:spacing w:line="288" w:lineRule="auto"/>
              <w:rPr>
                <w:rFonts w:ascii="Arial" w:hAnsi="Arial" w:cs="Arial"/>
                <w:sz w:val="15"/>
                <w:szCs w:val="15"/>
              </w:rPr>
            </w:pPr>
          </w:p>
        </w:tc>
      </w:tr>
      <w:tr w:rsidR="003A1579" w:rsidRPr="00370A32" w14:paraId="1194380E" w14:textId="77777777" w:rsidTr="00DB323B">
        <w:tc>
          <w:tcPr>
            <w:tcW w:w="4111" w:type="dxa"/>
          </w:tcPr>
          <w:p w14:paraId="47B84455" w14:textId="7EEE072D" w:rsidR="003A1579" w:rsidRPr="00370A32" w:rsidRDefault="003A1579" w:rsidP="00370A32">
            <w:pPr>
              <w:spacing w:line="288" w:lineRule="auto"/>
              <w:rPr>
                <w:rFonts w:ascii="Arial" w:hAnsi="Arial" w:cs="Arial"/>
                <w:sz w:val="15"/>
                <w:szCs w:val="15"/>
              </w:rPr>
            </w:pPr>
            <w:r w:rsidRPr="00370A32">
              <w:rPr>
                <w:rFonts w:ascii="Arial" w:hAnsi="Arial" w:cs="Arial"/>
                <w:sz w:val="15"/>
                <w:szCs w:val="15"/>
              </w:rPr>
              <w:t>1968 A/H3N2, 35-44 years</w:t>
            </w:r>
          </w:p>
        </w:tc>
        <w:tc>
          <w:tcPr>
            <w:tcW w:w="3849" w:type="dxa"/>
            <w:vAlign w:val="bottom"/>
          </w:tcPr>
          <w:p w14:paraId="03225117" w14:textId="17E126A0" w:rsidR="003A1579" w:rsidRPr="00370A32" w:rsidRDefault="003A1579" w:rsidP="00370A32">
            <w:pPr>
              <w:spacing w:line="288" w:lineRule="auto"/>
              <w:rPr>
                <w:rFonts w:ascii="Arial" w:hAnsi="Arial" w:cs="Arial"/>
                <w:sz w:val="15"/>
                <w:szCs w:val="15"/>
              </w:rPr>
            </w:pPr>
            <w:r w:rsidRPr="00370A32">
              <w:rPr>
                <w:rFonts w:ascii="Arial" w:hAnsi="Arial" w:cs="Arial"/>
                <w:color w:val="000000"/>
                <w:sz w:val="15"/>
                <w:szCs w:val="15"/>
              </w:rPr>
              <w:t>0.0001298</w:t>
            </w:r>
          </w:p>
        </w:tc>
        <w:tc>
          <w:tcPr>
            <w:tcW w:w="1050" w:type="dxa"/>
            <w:vMerge/>
          </w:tcPr>
          <w:p w14:paraId="568D9B86" w14:textId="77777777" w:rsidR="003A1579" w:rsidRPr="00370A32" w:rsidRDefault="003A1579" w:rsidP="00370A32">
            <w:pPr>
              <w:spacing w:line="288" w:lineRule="auto"/>
              <w:rPr>
                <w:rFonts w:ascii="Arial" w:hAnsi="Arial" w:cs="Arial"/>
                <w:sz w:val="15"/>
                <w:szCs w:val="15"/>
              </w:rPr>
            </w:pPr>
          </w:p>
        </w:tc>
      </w:tr>
      <w:tr w:rsidR="003A1579" w:rsidRPr="00370A32" w14:paraId="1AE4AF77" w14:textId="77777777" w:rsidTr="00DB323B">
        <w:tc>
          <w:tcPr>
            <w:tcW w:w="4111" w:type="dxa"/>
          </w:tcPr>
          <w:p w14:paraId="7E37296E" w14:textId="7C489B46" w:rsidR="003A1579" w:rsidRPr="00370A32" w:rsidRDefault="003A1579" w:rsidP="00370A32">
            <w:pPr>
              <w:spacing w:line="288" w:lineRule="auto"/>
              <w:rPr>
                <w:rFonts w:ascii="Arial" w:hAnsi="Arial" w:cs="Arial"/>
                <w:sz w:val="15"/>
                <w:szCs w:val="15"/>
              </w:rPr>
            </w:pPr>
            <w:r w:rsidRPr="00370A32">
              <w:rPr>
                <w:rFonts w:ascii="Arial" w:hAnsi="Arial" w:cs="Arial"/>
                <w:sz w:val="15"/>
                <w:szCs w:val="15"/>
              </w:rPr>
              <w:t>1968 A/H3N2, 45-54 years</w:t>
            </w:r>
          </w:p>
        </w:tc>
        <w:tc>
          <w:tcPr>
            <w:tcW w:w="3849" w:type="dxa"/>
            <w:vAlign w:val="bottom"/>
          </w:tcPr>
          <w:p w14:paraId="253D5195" w14:textId="33938664" w:rsidR="003A1579" w:rsidRPr="00370A32" w:rsidRDefault="003A1579" w:rsidP="00370A32">
            <w:pPr>
              <w:spacing w:line="288" w:lineRule="auto"/>
              <w:rPr>
                <w:rFonts w:ascii="Arial" w:hAnsi="Arial" w:cs="Arial"/>
                <w:sz w:val="15"/>
                <w:szCs w:val="15"/>
              </w:rPr>
            </w:pPr>
            <w:r w:rsidRPr="00370A32">
              <w:rPr>
                <w:rFonts w:ascii="Arial" w:hAnsi="Arial" w:cs="Arial"/>
                <w:color w:val="000000"/>
                <w:sz w:val="15"/>
                <w:szCs w:val="15"/>
              </w:rPr>
              <w:t>0.0003386</w:t>
            </w:r>
          </w:p>
        </w:tc>
        <w:tc>
          <w:tcPr>
            <w:tcW w:w="1050" w:type="dxa"/>
            <w:vMerge/>
          </w:tcPr>
          <w:p w14:paraId="3C6F74E8" w14:textId="77777777" w:rsidR="003A1579" w:rsidRPr="00370A32" w:rsidRDefault="003A1579" w:rsidP="00370A32">
            <w:pPr>
              <w:spacing w:line="288" w:lineRule="auto"/>
              <w:rPr>
                <w:rFonts w:ascii="Arial" w:hAnsi="Arial" w:cs="Arial"/>
                <w:sz w:val="15"/>
                <w:szCs w:val="15"/>
              </w:rPr>
            </w:pPr>
          </w:p>
        </w:tc>
      </w:tr>
      <w:tr w:rsidR="003A1579" w:rsidRPr="00370A32" w14:paraId="681FC820" w14:textId="77777777" w:rsidTr="00DB323B">
        <w:tc>
          <w:tcPr>
            <w:tcW w:w="4111" w:type="dxa"/>
          </w:tcPr>
          <w:p w14:paraId="522C3123" w14:textId="43E2D237" w:rsidR="003A1579" w:rsidRPr="00370A32" w:rsidRDefault="003A1579" w:rsidP="00370A32">
            <w:pPr>
              <w:spacing w:line="288" w:lineRule="auto"/>
              <w:rPr>
                <w:rFonts w:ascii="Arial" w:hAnsi="Arial" w:cs="Arial"/>
                <w:sz w:val="15"/>
                <w:szCs w:val="15"/>
              </w:rPr>
            </w:pPr>
            <w:r w:rsidRPr="00370A32">
              <w:rPr>
                <w:rFonts w:ascii="Arial" w:hAnsi="Arial" w:cs="Arial"/>
                <w:sz w:val="15"/>
                <w:szCs w:val="15"/>
              </w:rPr>
              <w:t>1968 A/H3N2, 55-64 years</w:t>
            </w:r>
          </w:p>
        </w:tc>
        <w:tc>
          <w:tcPr>
            <w:tcW w:w="3849" w:type="dxa"/>
            <w:vAlign w:val="bottom"/>
          </w:tcPr>
          <w:p w14:paraId="0465DB71" w14:textId="3D9781FF" w:rsidR="003A1579" w:rsidRPr="00370A32" w:rsidRDefault="003A1579" w:rsidP="00370A32">
            <w:pPr>
              <w:spacing w:line="288" w:lineRule="auto"/>
              <w:rPr>
                <w:rFonts w:ascii="Arial" w:hAnsi="Arial" w:cs="Arial"/>
                <w:sz w:val="15"/>
                <w:szCs w:val="15"/>
              </w:rPr>
            </w:pPr>
            <w:r w:rsidRPr="00370A32">
              <w:rPr>
                <w:rFonts w:ascii="Arial" w:hAnsi="Arial" w:cs="Arial"/>
                <w:color w:val="000000"/>
                <w:sz w:val="15"/>
                <w:szCs w:val="15"/>
              </w:rPr>
              <w:t>0.0012583</w:t>
            </w:r>
          </w:p>
        </w:tc>
        <w:tc>
          <w:tcPr>
            <w:tcW w:w="1050" w:type="dxa"/>
            <w:vMerge/>
          </w:tcPr>
          <w:p w14:paraId="52A03BB7" w14:textId="77777777" w:rsidR="003A1579" w:rsidRPr="00370A32" w:rsidRDefault="003A1579" w:rsidP="00370A32">
            <w:pPr>
              <w:spacing w:line="288" w:lineRule="auto"/>
              <w:rPr>
                <w:rFonts w:ascii="Arial" w:hAnsi="Arial" w:cs="Arial"/>
                <w:sz w:val="15"/>
                <w:szCs w:val="15"/>
              </w:rPr>
            </w:pPr>
          </w:p>
        </w:tc>
      </w:tr>
      <w:tr w:rsidR="003A1579" w:rsidRPr="00370A32" w14:paraId="671E7E43" w14:textId="77777777" w:rsidTr="00DB323B">
        <w:tc>
          <w:tcPr>
            <w:tcW w:w="4111" w:type="dxa"/>
          </w:tcPr>
          <w:p w14:paraId="264D5C01" w14:textId="05299267" w:rsidR="003A1579" w:rsidRPr="00370A32" w:rsidRDefault="003A1579" w:rsidP="00370A32">
            <w:pPr>
              <w:spacing w:line="288" w:lineRule="auto"/>
              <w:rPr>
                <w:rFonts w:ascii="Arial" w:hAnsi="Arial" w:cs="Arial"/>
                <w:sz w:val="15"/>
                <w:szCs w:val="15"/>
              </w:rPr>
            </w:pPr>
            <w:r w:rsidRPr="00370A32">
              <w:rPr>
                <w:rFonts w:ascii="Arial" w:hAnsi="Arial" w:cs="Arial"/>
                <w:sz w:val="15"/>
                <w:szCs w:val="15"/>
              </w:rPr>
              <w:t>1968 A/H3N2, 65-74 years</w:t>
            </w:r>
          </w:p>
        </w:tc>
        <w:tc>
          <w:tcPr>
            <w:tcW w:w="3849" w:type="dxa"/>
            <w:vAlign w:val="bottom"/>
          </w:tcPr>
          <w:p w14:paraId="00CF46D1" w14:textId="7862DB0A" w:rsidR="003A1579" w:rsidRPr="00370A32" w:rsidRDefault="003A1579" w:rsidP="00370A32">
            <w:pPr>
              <w:spacing w:line="288" w:lineRule="auto"/>
              <w:rPr>
                <w:rFonts w:ascii="Arial" w:hAnsi="Arial" w:cs="Arial"/>
                <w:sz w:val="15"/>
                <w:szCs w:val="15"/>
              </w:rPr>
            </w:pPr>
            <w:r w:rsidRPr="00370A32">
              <w:rPr>
                <w:rFonts w:ascii="Arial" w:hAnsi="Arial" w:cs="Arial"/>
                <w:color w:val="000000"/>
                <w:sz w:val="15"/>
                <w:szCs w:val="15"/>
              </w:rPr>
              <w:t>0.0061872</w:t>
            </w:r>
          </w:p>
        </w:tc>
        <w:tc>
          <w:tcPr>
            <w:tcW w:w="1050" w:type="dxa"/>
            <w:vMerge/>
          </w:tcPr>
          <w:p w14:paraId="2ADC7919" w14:textId="77777777" w:rsidR="003A1579" w:rsidRPr="00370A32" w:rsidRDefault="003A1579" w:rsidP="00370A32">
            <w:pPr>
              <w:spacing w:line="288" w:lineRule="auto"/>
              <w:rPr>
                <w:rFonts w:ascii="Arial" w:hAnsi="Arial" w:cs="Arial"/>
                <w:sz w:val="15"/>
                <w:szCs w:val="15"/>
              </w:rPr>
            </w:pPr>
          </w:p>
        </w:tc>
      </w:tr>
      <w:tr w:rsidR="003A1579" w:rsidRPr="00370A32" w14:paraId="76F59851" w14:textId="77777777" w:rsidTr="00DB323B">
        <w:tc>
          <w:tcPr>
            <w:tcW w:w="4111" w:type="dxa"/>
          </w:tcPr>
          <w:p w14:paraId="17DEAEF1" w14:textId="4D5CE4D0" w:rsidR="003A1579" w:rsidRPr="00370A32" w:rsidRDefault="003A1579" w:rsidP="00370A32">
            <w:pPr>
              <w:spacing w:line="288" w:lineRule="auto"/>
              <w:rPr>
                <w:rFonts w:ascii="Arial" w:hAnsi="Arial" w:cs="Arial"/>
                <w:sz w:val="15"/>
                <w:szCs w:val="15"/>
              </w:rPr>
            </w:pPr>
            <w:r w:rsidRPr="00370A32">
              <w:rPr>
                <w:rFonts w:ascii="Arial" w:hAnsi="Arial" w:cs="Arial"/>
                <w:sz w:val="15"/>
                <w:szCs w:val="15"/>
              </w:rPr>
              <w:t>1968 A/H3N2, 75-84 years</w:t>
            </w:r>
          </w:p>
        </w:tc>
        <w:tc>
          <w:tcPr>
            <w:tcW w:w="3849" w:type="dxa"/>
            <w:vAlign w:val="bottom"/>
          </w:tcPr>
          <w:p w14:paraId="54EA0035" w14:textId="037A12CF" w:rsidR="003A1579" w:rsidRPr="00370A32" w:rsidRDefault="003A1579" w:rsidP="00370A32">
            <w:pPr>
              <w:spacing w:line="288" w:lineRule="auto"/>
              <w:rPr>
                <w:rFonts w:ascii="Arial" w:hAnsi="Arial" w:cs="Arial"/>
                <w:sz w:val="15"/>
                <w:szCs w:val="15"/>
              </w:rPr>
            </w:pPr>
            <w:r w:rsidRPr="00370A32">
              <w:rPr>
                <w:rFonts w:ascii="Arial" w:hAnsi="Arial" w:cs="Arial"/>
                <w:color w:val="000000"/>
                <w:sz w:val="15"/>
                <w:szCs w:val="15"/>
              </w:rPr>
              <w:t>0.0187919</w:t>
            </w:r>
          </w:p>
        </w:tc>
        <w:tc>
          <w:tcPr>
            <w:tcW w:w="1050" w:type="dxa"/>
            <w:vMerge/>
          </w:tcPr>
          <w:p w14:paraId="3016D4FC" w14:textId="77777777" w:rsidR="003A1579" w:rsidRPr="00370A32" w:rsidRDefault="003A1579" w:rsidP="00370A32">
            <w:pPr>
              <w:spacing w:line="288" w:lineRule="auto"/>
              <w:rPr>
                <w:rFonts w:ascii="Arial" w:hAnsi="Arial" w:cs="Arial"/>
                <w:sz w:val="15"/>
                <w:szCs w:val="15"/>
              </w:rPr>
            </w:pPr>
          </w:p>
        </w:tc>
      </w:tr>
      <w:tr w:rsidR="003A1579" w:rsidRPr="00370A32" w14:paraId="04EC83C5" w14:textId="77777777" w:rsidTr="00DB323B">
        <w:tc>
          <w:tcPr>
            <w:tcW w:w="4111" w:type="dxa"/>
          </w:tcPr>
          <w:p w14:paraId="46E15449" w14:textId="70B39ABE" w:rsidR="003A1579" w:rsidRPr="00370A32" w:rsidRDefault="003A1579" w:rsidP="00370A32">
            <w:pPr>
              <w:spacing w:line="288" w:lineRule="auto"/>
              <w:rPr>
                <w:rFonts w:ascii="Arial" w:hAnsi="Arial" w:cs="Arial"/>
                <w:sz w:val="15"/>
                <w:szCs w:val="15"/>
              </w:rPr>
            </w:pPr>
            <w:r w:rsidRPr="00370A32">
              <w:rPr>
                <w:rFonts w:ascii="Arial" w:hAnsi="Arial" w:cs="Arial"/>
                <w:sz w:val="15"/>
                <w:szCs w:val="15"/>
              </w:rPr>
              <w:t>1968 A/H3N2, 85-99 years</w:t>
            </w:r>
          </w:p>
        </w:tc>
        <w:tc>
          <w:tcPr>
            <w:tcW w:w="3849" w:type="dxa"/>
            <w:vAlign w:val="bottom"/>
          </w:tcPr>
          <w:p w14:paraId="4D6B4DE9" w14:textId="7D30528E" w:rsidR="003A1579" w:rsidRPr="00370A32" w:rsidRDefault="003A1579" w:rsidP="00370A32">
            <w:pPr>
              <w:spacing w:line="288" w:lineRule="auto"/>
              <w:rPr>
                <w:rFonts w:ascii="Arial" w:hAnsi="Arial" w:cs="Arial"/>
                <w:sz w:val="15"/>
                <w:szCs w:val="15"/>
              </w:rPr>
            </w:pPr>
            <w:r w:rsidRPr="00370A32">
              <w:rPr>
                <w:rFonts w:ascii="Arial" w:hAnsi="Arial" w:cs="Arial"/>
                <w:color w:val="000000"/>
                <w:sz w:val="15"/>
                <w:szCs w:val="15"/>
              </w:rPr>
              <w:t>0.0252286</w:t>
            </w:r>
          </w:p>
        </w:tc>
        <w:tc>
          <w:tcPr>
            <w:tcW w:w="1050" w:type="dxa"/>
            <w:vMerge/>
          </w:tcPr>
          <w:p w14:paraId="2898B1DF" w14:textId="77777777" w:rsidR="003A1579" w:rsidRPr="00370A32" w:rsidRDefault="003A1579" w:rsidP="00370A32">
            <w:pPr>
              <w:spacing w:line="288" w:lineRule="auto"/>
              <w:rPr>
                <w:rFonts w:ascii="Arial" w:hAnsi="Arial" w:cs="Arial"/>
                <w:sz w:val="15"/>
                <w:szCs w:val="15"/>
              </w:rPr>
            </w:pPr>
          </w:p>
        </w:tc>
      </w:tr>
      <w:tr w:rsidR="008352A8" w:rsidRPr="00370A32" w14:paraId="0EF5226D" w14:textId="77777777" w:rsidTr="00DB323B">
        <w:tc>
          <w:tcPr>
            <w:tcW w:w="4111" w:type="dxa"/>
          </w:tcPr>
          <w:p w14:paraId="64797C60" w14:textId="60D6E67E" w:rsidR="008352A8" w:rsidRPr="00370A32" w:rsidRDefault="008352A8" w:rsidP="00370A32">
            <w:pPr>
              <w:spacing w:line="288" w:lineRule="auto"/>
              <w:rPr>
                <w:rFonts w:ascii="Arial" w:hAnsi="Arial" w:cs="Arial"/>
                <w:sz w:val="15"/>
                <w:szCs w:val="15"/>
              </w:rPr>
            </w:pPr>
            <w:r w:rsidRPr="00370A32">
              <w:rPr>
                <w:rFonts w:ascii="Arial" w:hAnsi="Arial" w:cs="Arial"/>
                <w:sz w:val="15"/>
                <w:szCs w:val="15"/>
              </w:rPr>
              <w:t>2009 A/H1N1, 0-19 years</w:t>
            </w:r>
          </w:p>
        </w:tc>
        <w:tc>
          <w:tcPr>
            <w:tcW w:w="3849" w:type="dxa"/>
            <w:vAlign w:val="bottom"/>
          </w:tcPr>
          <w:p w14:paraId="23A555D4" w14:textId="1479D5EB" w:rsidR="008352A8" w:rsidRPr="00370A32" w:rsidRDefault="008352A8" w:rsidP="00370A32">
            <w:pPr>
              <w:spacing w:line="288" w:lineRule="auto"/>
              <w:rPr>
                <w:rFonts w:ascii="Arial" w:hAnsi="Arial" w:cs="Arial"/>
                <w:sz w:val="15"/>
                <w:szCs w:val="15"/>
              </w:rPr>
            </w:pPr>
            <w:r w:rsidRPr="00370A32">
              <w:rPr>
                <w:rFonts w:ascii="Arial" w:hAnsi="Arial" w:cs="Arial"/>
                <w:color w:val="000000"/>
                <w:sz w:val="15"/>
                <w:szCs w:val="15"/>
              </w:rPr>
              <w:t>0.00005</w:t>
            </w:r>
          </w:p>
        </w:tc>
        <w:tc>
          <w:tcPr>
            <w:tcW w:w="1050" w:type="dxa"/>
            <w:vMerge w:val="restart"/>
          </w:tcPr>
          <w:p w14:paraId="18DA6F86" w14:textId="129D8B2C" w:rsidR="008352A8" w:rsidRPr="00370A32" w:rsidRDefault="00370A32" w:rsidP="00370A32">
            <w:pPr>
              <w:spacing w:line="288" w:lineRule="auto"/>
              <w:rPr>
                <w:rFonts w:ascii="Arial" w:hAnsi="Arial" w:cs="Arial"/>
                <w:sz w:val="15"/>
                <w:szCs w:val="15"/>
              </w:rPr>
            </w:pPr>
            <w:r w:rsidRPr="00370A32">
              <w:rPr>
                <w:rFonts w:ascii="Arial" w:hAnsi="Arial" w:cs="Arial"/>
                <w:sz w:val="15"/>
                <w:szCs w:val="15"/>
                <w:lang w:val="en-US"/>
              </w:rPr>
              <w:t>Dawood et al., 2012</w:t>
            </w:r>
            <w:r w:rsidR="008352A8" w:rsidRPr="00370A32">
              <w:rPr>
                <w:rFonts w:ascii="Arial" w:hAnsi="Arial" w:cs="Arial"/>
                <w:sz w:val="15"/>
                <w:szCs w:val="15"/>
                <w:lang w:val="en-US"/>
              </w:rPr>
              <w:fldChar w:fldCharType="begin"/>
            </w:r>
            <w:r w:rsidR="002B0C95">
              <w:rPr>
                <w:rFonts w:ascii="Arial" w:hAnsi="Arial" w:cs="Arial"/>
                <w:sz w:val="15"/>
                <w:szCs w:val="15"/>
                <w:lang w:val="en-US"/>
              </w:rPr>
              <w:instrText xml:space="preserve"> ADDIN ZOTERO_ITEM CSL_CITATION {"citationID":"a23n8md94v0","properties":{"formattedCitation":"\\super 31\\nosupersub{}","plainCitation":"31","noteIndex":0},"citationItems":[{"id":190,"uris":["http://zotero.org/users/local/0pdZPGmr/items/XAJUCWF4"],"itemData":{"id":190,"type":"article-journal","container-title":"The Lancet Infectious Diseases","DOI":"10.1016/S1473-3099(12)70121-4","ISSN":"1473-3099","issue":"9","note":"publisher: Elsevier","page":"687-695","title":"Estimated global mortality associated with the first 12 months of 2009 pandemic influenza A H1N1 virus circulation: a modelling study","volume":"12","author":[{"family":"Dawood","given":"Fatimah S"},{"family":"Iuliano","given":"A Danielle"},{"family":"Reed","given":"Carrie"},{"family":"Meltzer","given":"Martin I"},{"family":"Shay","given":"David K"},{"family":"Cheng","given":"Po-Yung"},{"family":"Bandaranayake","given":"Don"},{"family":"Breiman","given":"Robert F"},{"family":"Brooks","given":"W Abdullah"},{"family":"Buchy","given":"Philippe"},{"family":"Feikin","given":"Daniel R"},{"family":"Fowler","given":"Karen B"},{"family":"Gordon","given":"Aubree"},{"family":"Hien","given":"Nguyen Tran"},{"family":"Horby","given":"Peter"},{"family":"Huang","given":"Q Sue"},{"family":"Katz","given":"Mark A"},{"family":"Krishnan","given":"Anand"},{"family":"Lal","given":"Renu"},{"family":"Montgomery","given":"Joel M"},{"family":"Mølbak","given":"Kåre"},{"family":"Pebody","given":"Richard"},{"family":"Presanis","given":"Anne M"},{"family":"Razuri","given":"Hugo"},{"family":"Steens","given":"Anneke"},{"family":"Tinoco","given":"Yeny O"},{"family":"Wallinga","given":"Jacco"},{"family":"Yu","given":"Hongjie"},{"family":"Vong","given":"Sirenda"},{"family":"Bresee","given":"Joseph"},{"family":"Widdowson","given":"Marc-Alain"}],"issued":{"date-parts":[["2012",9,1]]}}}],"schema":"https://github.com/citation-style-language/schema/raw/master/csl-citation.json"} </w:instrText>
            </w:r>
            <w:r w:rsidR="008352A8" w:rsidRPr="00370A32">
              <w:rPr>
                <w:rFonts w:ascii="Arial" w:hAnsi="Arial" w:cs="Arial"/>
                <w:sz w:val="15"/>
                <w:szCs w:val="15"/>
                <w:lang w:val="en-US"/>
              </w:rPr>
              <w:fldChar w:fldCharType="separate"/>
            </w:r>
            <w:r w:rsidR="002B0C95" w:rsidRPr="002B0C95">
              <w:rPr>
                <w:rFonts w:ascii="Arial" w:hAnsi="Arial" w:cs="Arial"/>
                <w:sz w:val="15"/>
                <w:vertAlign w:val="superscript"/>
                <w:lang w:val="en-US"/>
              </w:rPr>
              <w:t>31</w:t>
            </w:r>
            <w:r w:rsidR="008352A8" w:rsidRPr="00370A32">
              <w:rPr>
                <w:rFonts w:ascii="Arial" w:hAnsi="Arial" w:cs="Arial"/>
                <w:sz w:val="15"/>
                <w:szCs w:val="15"/>
                <w:lang w:val="en-US"/>
              </w:rPr>
              <w:fldChar w:fldCharType="end"/>
            </w:r>
          </w:p>
        </w:tc>
      </w:tr>
      <w:tr w:rsidR="008352A8" w:rsidRPr="00370A32" w14:paraId="3053ECE4" w14:textId="77777777" w:rsidTr="00DB323B">
        <w:tc>
          <w:tcPr>
            <w:tcW w:w="4111" w:type="dxa"/>
          </w:tcPr>
          <w:p w14:paraId="6D3672A8" w14:textId="4164EAEB" w:rsidR="008352A8" w:rsidRPr="00370A32" w:rsidRDefault="008352A8" w:rsidP="00370A32">
            <w:pPr>
              <w:spacing w:line="288" w:lineRule="auto"/>
              <w:rPr>
                <w:rFonts w:ascii="Arial" w:hAnsi="Arial" w:cs="Arial"/>
                <w:sz w:val="15"/>
                <w:szCs w:val="15"/>
              </w:rPr>
            </w:pPr>
            <w:r w:rsidRPr="00370A32">
              <w:rPr>
                <w:rFonts w:ascii="Arial" w:hAnsi="Arial" w:cs="Arial"/>
                <w:sz w:val="15"/>
                <w:szCs w:val="15"/>
              </w:rPr>
              <w:t>2009 A/H1N1, 20-64 years</w:t>
            </w:r>
          </w:p>
        </w:tc>
        <w:tc>
          <w:tcPr>
            <w:tcW w:w="3849" w:type="dxa"/>
            <w:vAlign w:val="bottom"/>
          </w:tcPr>
          <w:p w14:paraId="5CD986AC" w14:textId="0C17A2E6" w:rsidR="008352A8" w:rsidRPr="00370A32" w:rsidRDefault="008352A8" w:rsidP="00370A32">
            <w:pPr>
              <w:spacing w:line="288" w:lineRule="auto"/>
              <w:rPr>
                <w:rFonts w:ascii="Arial" w:hAnsi="Arial" w:cs="Arial"/>
                <w:sz w:val="15"/>
                <w:szCs w:val="15"/>
              </w:rPr>
            </w:pPr>
            <w:r w:rsidRPr="00370A32">
              <w:rPr>
                <w:rFonts w:ascii="Arial" w:hAnsi="Arial" w:cs="Arial"/>
                <w:color w:val="000000"/>
                <w:sz w:val="15"/>
                <w:szCs w:val="15"/>
              </w:rPr>
              <w:t>0.00029</w:t>
            </w:r>
          </w:p>
        </w:tc>
        <w:tc>
          <w:tcPr>
            <w:tcW w:w="1050" w:type="dxa"/>
            <w:vMerge/>
          </w:tcPr>
          <w:p w14:paraId="20106734" w14:textId="77777777" w:rsidR="008352A8" w:rsidRPr="00370A32" w:rsidRDefault="008352A8" w:rsidP="00370A32">
            <w:pPr>
              <w:spacing w:line="288" w:lineRule="auto"/>
              <w:rPr>
                <w:rFonts w:ascii="Arial" w:hAnsi="Arial" w:cs="Arial"/>
                <w:sz w:val="15"/>
                <w:szCs w:val="15"/>
              </w:rPr>
            </w:pPr>
          </w:p>
        </w:tc>
      </w:tr>
      <w:tr w:rsidR="008352A8" w:rsidRPr="00370A32" w14:paraId="6810A01F" w14:textId="77777777" w:rsidTr="00370A32">
        <w:tc>
          <w:tcPr>
            <w:tcW w:w="4111" w:type="dxa"/>
          </w:tcPr>
          <w:p w14:paraId="39743335" w14:textId="0D930A58" w:rsidR="008352A8" w:rsidRPr="00370A32" w:rsidRDefault="008352A8" w:rsidP="00370A32">
            <w:pPr>
              <w:spacing w:line="288" w:lineRule="auto"/>
              <w:rPr>
                <w:rFonts w:ascii="Arial" w:hAnsi="Arial" w:cs="Arial"/>
                <w:sz w:val="15"/>
                <w:szCs w:val="15"/>
              </w:rPr>
            </w:pPr>
            <w:r w:rsidRPr="00370A32">
              <w:rPr>
                <w:rFonts w:ascii="Arial" w:hAnsi="Arial" w:cs="Arial"/>
                <w:sz w:val="15"/>
                <w:szCs w:val="15"/>
              </w:rPr>
              <w:t>2009 A/H1N1, 65-99 years</w:t>
            </w:r>
          </w:p>
        </w:tc>
        <w:tc>
          <w:tcPr>
            <w:tcW w:w="3849" w:type="dxa"/>
            <w:vAlign w:val="bottom"/>
          </w:tcPr>
          <w:p w14:paraId="39DD5072" w14:textId="48DDAB0C" w:rsidR="008352A8" w:rsidRPr="00370A32" w:rsidRDefault="008352A8" w:rsidP="00370A32">
            <w:pPr>
              <w:spacing w:line="288" w:lineRule="auto"/>
              <w:rPr>
                <w:rFonts w:ascii="Arial" w:hAnsi="Arial" w:cs="Arial"/>
                <w:sz w:val="15"/>
                <w:szCs w:val="15"/>
              </w:rPr>
            </w:pPr>
            <w:r w:rsidRPr="00370A32">
              <w:rPr>
                <w:rFonts w:ascii="Arial" w:hAnsi="Arial" w:cs="Arial"/>
                <w:color w:val="000000"/>
                <w:sz w:val="15"/>
                <w:szCs w:val="15"/>
              </w:rPr>
              <w:t>0.00124</w:t>
            </w:r>
          </w:p>
        </w:tc>
        <w:tc>
          <w:tcPr>
            <w:tcW w:w="1050" w:type="dxa"/>
            <w:vMerge/>
          </w:tcPr>
          <w:p w14:paraId="7A63F73C" w14:textId="77777777" w:rsidR="008352A8" w:rsidRPr="00370A32" w:rsidRDefault="008352A8" w:rsidP="00370A32">
            <w:pPr>
              <w:spacing w:line="288" w:lineRule="auto"/>
              <w:rPr>
                <w:rFonts w:ascii="Arial" w:hAnsi="Arial" w:cs="Arial"/>
                <w:sz w:val="15"/>
                <w:szCs w:val="15"/>
              </w:rPr>
            </w:pPr>
          </w:p>
        </w:tc>
      </w:tr>
      <w:tr w:rsidR="008352A8" w:rsidRPr="00370A32" w14:paraId="74FD691B" w14:textId="77777777" w:rsidTr="00DB323B">
        <w:tc>
          <w:tcPr>
            <w:tcW w:w="4111" w:type="dxa"/>
          </w:tcPr>
          <w:p w14:paraId="66C5045C" w14:textId="1B5E5D45" w:rsidR="008352A8" w:rsidRPr="00370A32" w:rsidRDefault="008352A8" w:rsidP="00370A32">
            <w:pPr>
              <w:spacing w:line="288" w:lineRule="auto"/>
              <w:rPr>
                <w:rFonts w:ascii="Arial" w:hAnsi="Arial" w:cs="Arial"/>
                <w:sz w:val="15"/>
                <w:szCs w:val="15"/>
              </w:rPr>
            </w:pPr>
            <w:r w:rsidRPr="00370A32">
              <w:rPr>
                <w:rFonts w:ascii="Arial" w:hAnsi="Arial" w:cs="Arial"/>
                <w:sz w:val="15"/>
                <w:szCs w:val="15"/>
              </w:rPr>
              <w:t>COVID-19, 0-9 years</w:t>
            </w:r>
          </w:p>
        </w:tc>
        <w:tc>
          <w:tcPr>
            <w:tcW w:w="3849" w:type="dxa"/>
            <w:vAlign w:val="bottom"/>
          </w:tcPr>
          <w:p w14:paraId="2F453B27" w14:textId="57899A35" w:rsidR="008352A8" w:rsidRPr="00370A32" w:rsidRDefault="008352A8" w:rsidP="00370A32">
            <w:pPr>
              <w:spacing w:line="288" w:lineRule="auto"/>
              <w:rPr>
                <w:rFonts w:ascii="Arial" w:hAnsi="Arial" w:cs="Arial"/>
                <w:sz w:val="15"/>
                <w:szCs w:val="15"/>
              </w:rPr>
            </w:pPr>
            <w:r w:rsidRPr="00370A32">
              <w:rPr>
                <w:rFonts w:ascii="Arial" w:hAnsi="Arial" w:cs="Arial"/>
                <w:color w:val="000000"/>
                <w:sz w:val="15"/>
                <w:szCs w:val="15"/>
              </w:rPr>
              <w:t>0.001</w:t>
            </w:r>
          </w:p>
        </w:tc>
        <w:tc>
          <w:tcPr>
            <w:tcW w:w="1050" w:type="dxa"/>
            <w:vMerge w:val="restart"/>
          </w:tcPr>
          <w:p w14:paraId="0DFB1911" w14:textId="2A828A66" w:rsidR="008352A8" w:rsidRPr="00370A32" w:rsidRDefault="00370A32" w:rsidP="00370A32">
            <w:pPr>
              <w:spacing w:line="288" w:lineRule="auto"/>
              <w:rPr>
                <w:rFonts w:ascii="Arial" w:hAnsi="Arial" w:cs="Arial"/>
                <w:sz w:val="15"/>
                <w:szCs w:val="15"/>
              </w:rPr>
            </w:pPr>
            <w:r w:rsidRPr="00370A32">
              <w:rPr>
                <w:rFonts w:ascii="Arial" w:hAnsi="Arial" w:cs="Arial"/>
                <w:sz w:val="15"/>
                <w:szCs w:val="15"/>
                <w:lang w:val="en-US"/>
              </w:rPr>
              <w:t>Zhang et al., Verity et al, 2020</w:t>
            </w:r>
            <w:r w:rsidR="008352A8" w:rsidRPr="00370A32">
              <w:rPr>
                <w:rFonts w:ascii="Arial" w:hAnsi="Arial" w:cs="Arial"/>
                <w:sz w:val="15"/>
                <w:szCs w:val="15"/>
                <w:lang w:val="en-US"/>
              </w:rPr>
              <w:fldChar w:fldCharType="begin"/>
            </w:r>
            <w:r w:rsidR="002B0C95">
              <w:rPr>
                <w:rFonts w:ascii="Arial" w:hAnsi="Arial" w:cs="Arial"/>
                <w:sz w:val="15"/>
                <w:szCs w:val="15"/>
                <w:lang w:val="en-US"/>
              </w:rPr>
              <w:instrText xml:space="preserve"> ADDIN ZOTERO_ITEM CSL_CITATION {"citationID":"a2ovu1vjnj","properties":{"formattedCitation":"\\super 18,32\\nosupersub{}","plainCitation":"18,32","noteIndex":0},"citationItems":[{"id":106,"uris":["http://zotero.org/users/local/0pdZPGmr/items/TC6DZ35V"],"itemData":{"id":106,"type":"article-journal","abstract":"The coronavirus 2019 (COVID-19) pandemic has brought tighter restrictions on the daily lives of millions of people, but we do not yet understand what measures are the most effective. Zhang et al. modeled virus transmission in Wuhan, China, in February 2020, investigating the effects of interventions ranging from patient management to social isolation. Age-mixing patterns were estimated by contact surveys conducted in Wuhan and Shanghai at the beginning of February 2020. Once people reduced their average daily contacts from 14 to 20 down to 2, transmission rapidly fell below the epidemic threshold. The model also showed that preemptive school closures helped to reduce transmission, although alone they would not prevent a COVID-19 outbreak. Limiting human mixing to within households appeared to be the most effective measure. Science, this issue p. 1481 Reducing social contacts on the scale achieved in Wuhan and Shanghai in early 2020 could be sufficient to bring a COVID-19 outbreak under control. Intense nonpharmaceutical interventions were put in place in China to stop transmission of the novel coronavirus disease 2019 (COVID-19). As transmission intensifies in other countries, the interplay between age, contact patterns, social distancing, susceptibility to infection, and COVID-19 dynamics remains unclear. To answer these questions, we analyze contact survey data for Wuhan and Shanghai before and during the outbreak and contact-tracing information from Hunan province. Daily contacts were reduced seven- to eightfold during the COVID-19 social distancing period, with most interactions restricted to the household. We find that children 0 to 14 years of age are less susceptible to severe acute respiratory syndrome coronavirus 2 (SARS-CoV-2) infection than adults 15 to 64 years of age (odds ratio 0.34, 95% confidence interval 0.24 to 0.49), whereas individuals more than 65 years of age are more susceptible to infection (odds ratio 1.47, 95% confidence interval 1.12 to 1.92). Based on these data, we built a transmission model to study the impact of social distancing and school closure on transmission. We find that social distancing alone, as implemented in China during the outbreak, is sufficient to control COVID-19. Although proactive school closures cannot interrupt transmission on their own, they can reduce peak incidence by 40 to 60% and delay the epidemic.","container-title":"Science","DOI":"10.1126/science.abb8001","issue":"6498","journalAbbreviation":"Science","note":"publisher: American Association for the Advancement of Science","page":"1481-1486","title":"Changes in contact patterns shape the dynamics of the COVID-19 outbreak in China","volume":"368","author":[{"family":"Zhang","given":"Juanjuan"},{"family":"Litvinova","given":"Maria"},{"family":"Liang","given":"Yuxia"},{"family":"Wang","given":"Yan"},{"family":"Wang","given":"Wei"},{"family":"Zhao","given":"Shanlu"},{"family":"Wu","given":"Qianhui"},{"family":"Merler","given":"Stefano"},{"family":"Viboud","given":"Cécile"},{"family":"Vespignani","given":"Alessandro"},{"family":"Ajelli","given":"Marco"},{"family":"Yu","given":"Hongjie"}],"issued":{"date-parts":[["2020",6,26]]}}},{"id":193,"uris":["http://zotero.org/users/local/0pdZPGmr/items/PTFSEJUA"],"itemData":{"id":193,"type":"article-journal","container-title":"The Lancet Infectious Diseases","DOI":"10.1016/S1473-3099(20)30243-7","ISSN":"1473-3099","issue":"6","note":"publisher: Elsevier","page":"669-677","title":"Estimates of the severity of coronavirus disease 2019: a model-based analysis","volume":"20","author":[{"family":"Verity","given":"Robert"},{"family":"Okell","given":"Lucy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M"}],"issued":{"date-parts":[["2020",6,1]]}}}],"schema":"https://github.com/citation-style-language/schema/raw/master/csl-citation.json"} </w:instrText>
            </w:r>
            <w:r w:rsidR="008352A8" w:rsidRPr="00370A32">
              <w:rPr>
                <w:rFonts w:ascii="Arial" w:hAnsi="Arial" w:cs="Arial"/>
                <w:sz w:val="15"/>
                <w:szCs w:val="15"/>
                <w:lang w:val="en-US"/>
              </w:rPr>
              <w:fldChar w:fldCharType="separate"/>
            </w:r>
            <w:r w:rsidR="002B0C95" w:rsidRPr="002B0C95">
              <w:rPr>
                <w:rFonts w:ascii="Arial" w:hAnsi="Arial" w:cs="Arial"/>
                <w:sz w:val="15"/>
                <w:vertAlign w:val="superscript"/>
                <w:lang w:val="en-US"/>
              </w:rPr>
              <w:t>18,32</w:t>
            </w:r>
            <w:r w:rsidR="008352A8" w:rsidRPr="00370A32">
              <w:rPr>
                <w:rFonts w:ascii="Arial" w:hAnsi="Arial" w:cs="Arial"/>
                <w:sz w:val="15"/>
                <w:szCs w:val="15"/>
                <w:lang w:val="en-US"/>
              </w:rPr>
              <w:fldChar w:fldCharType="end"/>
            </w:r>
          </w:p>
        </w:tc>
      </w:tr>
      <w:tr w:rsidR="008352A8" w:rsidRPr="00370A32" w14:paraId="2061B1AB" w14:textId="77777777" w:rsidTr="00DB323B">
        <w:tc>
          <w:tcPr>
            <w:tcW w:w="4111" w:type="dxa"/>
          </w:tcPr>
          <w:p w14:paraId="38B61909" w14:textId="6200F04C" w:rsidR="008352A8" w:rsidRPr="00370A32" w:rsidRDefault="008352A8" w:rsidP="00370A32">
            <w:pPr>
              <w:spacing w:line="288" w:lineRule="auto"/>
              <w:rPr>
                <w:rFonts w:ascii="Arial" w:hAnsi="Arial" w:cs="Arial"/>
                <w:sz w:val="15"/>
                <w:szCs w:val="15"/>
              </w:rPr>
            </w:pPr>
            <w:r w:rsidRPr="00370A32">
              <w:rPr>
                <w:rFonts w:ascii="Arial" w:hAnsi="Arial" w:cs="Arial"/>
                <w:sz w:val="15"/>
                <w:szCs w:val="15"/>
              </w:rPr>
              <w:t>COVID-19, 10-19 years</w:t>
            </w:r>
          </w:p>
        </w:tc>
        <w:tc>
          <w:tcPr>
            <w:tcW w:w="3849" w:type="dxa"/>
            <w:vAlign w:val="bottom"/>
          </w:tcPr>
          <w:p w14:paraId="3CEB3B39" w14:textId="5B518E5C" w:rsidR="008352A8" w:rsidRPr="00370A32" w:rsidRDefault="008352A8" w:rsidP="00370A32">
            <w:pPr>
              <w:spacing w:line="288" w:lineRule="auto"/>
              <w:rPr>
                <w:rFonts w:ascii="Arial" w:hAnsi="Arial" w:cs="Arial"/>
                <w:sz w:val="15"/>
                <w:szCs w:val="15"/>
              </w:rPr>
            </w:pPr>
            <w:r w:rsidRPr="00370A32">
              <w:rPr>
                <w:rFonts w:ascii="Arial" w:hAnsi="Arial" w:cs="Arial"/>
                <w:color w:val="000000"/>
                <w:sz w:val="15"/>
                <w:szCs w:val="15"/>
              </w:rPr>
              <w:t>0.003</w:t>
            </w:r>
          </w:p>
        </w:tc>
        <w:tc>
          <w:tcPr>
            <w:tcW w:w="1050" w:type="dxa"/>
            <w:vMerge/>
          </w:tcPr>
          <w:p w14:paraId="274BC217" w14:textId="77777777" w:rsidR="008352A8" w:rsidRPr="00370A32" w:rsidRDefault="008352A8" w:rsidP="00370A32">
            <w:pPr>
              <w:spacing w:line="288" w:lineRule="auto"/>
              <w:rPr>
                <w:rFonts w:ascii="Arial" w:hAnsi="Arial" w:cs="Arial"/>
                <w:sz w:val="15"/>
                <w:szCs w:val="15"/>
              </w:rPr>
            </w:pPr>
          </w:p>
        </w:tc>
      </w:tr>
      <w:tr w:rsidR="008352A8" w:rsidRPr="00370A32" w14:paraId="5DFEB869" w14:textId="77777777" w:rsidTr="00DB323B">
        <w:tc>
          <w:tcPr>
            <w:tcW w:w="4111" w:type="dxa"/>
          </w:tcPr>
          <w:p w14:paraId="5EE9A145" w14:textId="4389FC8C" w:rsidR="008352A8" w:rsidRPr="00370A32" w:rsidRDefault="008352A8" w:rsidP="00370A32">
            <w:pPr>
              <w:spacing w:line="288" w:lineRule="auto"/>
              <w:rPr>
                <w:rFonts w:ascii="Arial" w:hAnsi="Arial" w:cs="Arial"/>
                <w:sz w:val="15"/>
                <w:szCs w:val="15"/>
              </w:rPr>
            </w:pPr>
            <w:r w:rsidRPr="00370A32">
              <w:rPr>
                <w:rFonts w:ascii="Arial" w:hAnsi="Arial" w:cs="Arial"/>
                <w:sz w:val="15"/>
                <w:szCs w:val="15"/>
              </w:rPr>
              <w:t>COVID-19, 20-29 years</w:t>
            </w:r>
          </w:p>
        </w:tc>
        <w:tc>
          <w:tcPr>
            <w:tcW w:w="3849" w:type="dxa"/>
            <w:vAlign w:val="bottom"/>
          </w:tcPr>
          <w:p w14:paraId="43DCBE17" w14:textId="7C82999C" w:rsidR="008352A8" w:rsidRPr="00370A32" w:rsidRDefault="008352A8" w:rsidP="00370A32">
            <w:pPr>
              <w:spacing w:line="288" w:lineRule="auto"/>
              <w:rPr>
                <w:rFonts w:ascii="Arial" w:hAnsi="Arial" w:cs="Arial"/>
                <w:sz w:val="15"/>
                <w:szCs w:val="15"/>
              </w:rPr>
            </w:pPr>
            <w:r w:rsidRPr="00370A32">
              <w:rPr>
                <w:rFonts w:ascii="Arial" w:hAnsi="Arial" w:cs="Arial"/>
                <w:color w:val="000000"/>
                <w:sz w:val="15"/>
                <w:szCs w:val="15"/>
              </w:rPr>
              <w:t>0.012</w:t>
            </w:r>
          </w:p>
        </w:tc>
        <w:tc>
          <w:tcPr>
            <w:tcW w:w="1050" w:type="dxa"/>
            <w:vMerge/>
          </w:tcPr>
          <w:p w14:paraId="06755306" w14:textId="77777777" w:rsidR="008352A8" w:rsidRPr="00370A32" w:rsidRDefault="008352A8" w:rsidP="00370A32">
            <w:pPr>
              <w:spacing w:line="288" w:lineRule="auto"/>
              <w:rPr>
                <w:rFonts w:ascii="Arial" w:hAnsi="Arial" w:cs="Arial"/>
                <w:sz w:val="15"/>
                <w:szCs w:val="15"/>
              </w:rPr>
            </w:pPr>
          </w:p>
        </w:tc>
      </w:tr>
      <w:tr w:rsidR="008352A8" w:rsidRPr="00370A32" w14:paraId="2CB6A544" w14:textId="77777777" w:rsidTr="00DB323B">
        <w:tc>
          <w:tcPr>
            <w:tcW w:w="4111" w:type="dxa"/>
          </w:tcPr>
          <w:p w14:paraId="0FF58CEF" w14:textId="5D9B6A28" w:rsidR="008352A8" w:rsidRPr="00370A32" w:rsidRDefault="008352A8" w:rsidP="00370A32">
            <w:pPr>
              <w:spacing w:line="288" w:lineRule="auto"/>
              <w:rPr>
                <w:rFonts w:ascii="Arial" w:hAnsi="Arial" w:cs="Arial"/>
                <w:sz w:val="15"/>
                <w:szCs w:val="15"/>
              </w:rPr>
            </w:pPr>
            <w:r w:rsidRPr="00370A32">
              <w:rPr>
                <w:rFonts w:ascii="Arial" w:hAnsi="Arial" w:cs="Arial"/>
                <w:sz w:val="15"/>
                <w:szCs w:val="15"/>
              </w:rPr>
              <w:t>COVID-19, 30-39 years</w:t>
            </w:r>
          </w:p>
        </w:tc>
        <w:tc>
          <w:tcPr>
            <w:tcW w:w="3849" w:type="dxa"/>
            <w:vAlign w:val="bottom"/>
          </w:tcPr>
          <w:p w14:paraId="5A2C58CE" w14:textId="56B5A1DF" w:rsidR="008352A8" w:rsidRPr="00370A32" w:rsidRDefault="008352A8" w:rsidP="00370A32">
            <w:pPr>
              <w:spacing w:line="288" w:lineRule="auto"/>
              <w:rPr>
                <w:rFonts w:ascii="Arial" w:hAnsi="Arial" w:cs="Arial"/>
                <w:sz w:val="15"/>
                <w:szCs w:val="15"/>
              </w:rPr>
            </w:pPr>
            <w:r w:rsidRPr="00370A32">
              <w:rPr>
                <w:rFonts w:ascii="Arial" w:hAnsi="Arial" w:cs="Arial"/>
                <w:color w:val="000000"/>
                <w:sz w:val="15"/>
                <w:szCs w:val="15"/>
              </w:rPr>
              <w:t>0.032</w:t>
            </w:r>
          </w:p>
        </w:tc>
        <w:tc>
          <w:tcPr>
            <w:tcW w:w="1050" w:type="dxa"/>
            <w:vMerge/>
          </w:tcPr>
          <w:p w14:paraId="7257C893" w14:textId="77777777" w:rsidR="008352A8" w:rsidRPr="00370A32" w:rsidRDefault="008352A8" w:rsidP="00370A32">
            <w:pPr>
              <w:spacing w:line="288" w:lineRule="auto"/>
              <w:rPr>
                <w:rFonts w:ascii="Arial" w:hAnsi="Arial" w:cs="Arial"/>
                <w:sz w:val="15"/>
                <w:szCs w:val="15"/>
              </w:rPr>
            </w:pPr>
          </w:p>
        </w:tc>
      </w:tr>
      <w:tr w:rsidR="008352A8" w:rsidRPr="00370A32" w14:paraId="5B994085" w14:textId="77777777" w:rsidTr="00DB323B">
        <w:tc>
          <w:tcPr>
            <w:tcW w:w="4111" w:type="dxa"/>
          </w:tcPr>
          <w:p w14:paraId="75EEF0E6" w14:textId="0F517FEE" w:rsidR="008352A8" w:rsidRPr="00370A32" w:rsidRDefault="008352A8" w:rsidP="00370A32">
            <w:pPr>
              <w:spacing w:line="288" w:lineRule="auto"/>
              <w:rPr>
                <w:rFonts w:ascii="Arial" w:hAnsi="Arial" w:cs="Arial"/>
                <w:sz w:val="15"/>
                <w:szCs w:val="15"/>
              </w:rPr>
            </w:pPr>
            <w:r w:rsidRPr="00370A32">
              <w:rPr>
                <w:rFonts w:ascii="Arial" w:hAnsi="Arial" w:cs="Arial"/>
                <w:sz w:val="15"/>
                <w:szCs w:val="15"/>
              </w:rPr>
              <w:t>COVID-19, 40-49 years</w:t>
            </w:r>
          </w:p>
        </w:tc>
        <w:tc>
          <w:tcPr>
            <w:tcW w:w="3849" w:type="dxa"/>
            <w:vAlign w:val="bottom"/>
          </w:tcPr>
          <w:p w14:paraId="6A9CA788" w14:textId="7BA8353E" w:rsidR="008352A8" w:rsidRPr="00370A32" w:rsidRDefault="008352A8" w:rsidP="00370A32">
            <w:pPr>
              <w:spacing w:line="288" w:lineRule="auto"/>
              <w:rPr>
                <w:rFonts w:ascii="Arial" w:hAnsi="Arial" w:cs="Arial"/>
                <w:sz w:val="15"/>
                <w:szCs w:val="15"/>
              </w:rPr>
            </w:pPr>
            <w:r w:rsidRPr="00370A32">
              <w:rPr>
                <w:rFonts w:ascii="Arial" w:hAnsi="Arial" w:cs="Arial"/>
                <w:color w:val="000000"/>
                <w:sz w:val="15"/>
                <w:szCs w:val="15"/>
              </w:rPr>
              <w:t>0.049</w:t>
            </w:r>
          </w:p>
        </w:tc>
        <w:tc>
          <w:tcPr>
            <w:tcW w:w="1050" w:type="dxa"/>
            <w:vMerge/>
          </w:tcPr>
          <w:p w14:paraId="16D3EF8A" w14:textId="77777777" w:rsidR="008352A8" w:rsidRPr="00370A32" w:rsidRDefault="008352A8" w:rsidP="00370A32">
            <w:pPr>
              <w:spacing w:line="288" w:lineRule="auto"/>
              <w:rPr>
                <w:rFonts w:ascii="Arial" w:hAnsi="Arial" w:cs="Arial"/>
                <w:sz w:val="15"/>
                <w:szCs w:val="15"/>
              </w:rPr>
            </w:pPr>
          </w:p>
        </w:tc>
      </w:tr>
      <w:tr w:rsidR="008352A8" w:rsidRPr="00370A32" w14:paraId="2BF8C9BB" w14:textId="77777777" w:rsidTr="00DB323B">
        <w:tc>
          <w:tcPr>
            <w:tcW w:w="4111" w:type="dxa"/>
          </w:tcPr>
          <w:p w14:paraId="214D21C8" w14:textId="1B02D7DD" w:rsidR="008352A8" w:rsidRPr="00370A32" w:rsidRDefault="008352A8" w:rsidP="00370A32">
            <w:pPr>
              <w:spacing w:line="288" w:lineRule="auto"/>
              <w:rPr>
                <w:rFonts w:ascii="Arial" w:hAnsi="Arial" w:cs="Arial"/>
                <w:sz w:val="15"/>
                <w:szCs w:val="15"/>
              </w:rPr>
            </w:pPr>
            <w:r w:rsidRPr="00370A32">
              <w:rPr>
                <w:rFonts w:ascii="Arial" w:hAnsi="Arial" w:cs="Arial"/>
                <w:sz w:val="15"/>
                <w:szCs w:val="15"/>
              </w:rPr>
              <w:t>COVID-19, 50-59 years</w:t>
            </w:r>
          </w:p>
        </w:tc>
        <w:tc>
          <w:tcPr>
            <w:tcW w:w="3849" w:type="dxa"/>
            <w:vAlign w:val="bottom"/>
          </w:tcPr>
          <w:p w14:paraId="2715CBFA" w14:textId="3CE60ADD" w:rsidR="008352A8" w:rsidRPr="00370A32" w:rsidRDefault="008352A8" w:rsidP="00370A32">
            <w:pPr>
              <w:spacing w:line="288" w:lineRule="auto"/>
              <w:rPr>
                <w:rFonts w:ascii="Arial" w:hAnsi="Arial" w:cs="Arial"/>
                <w:sz w:val="15"/>
                <w:szCs w:val="15"/>
              </w:rPr>
            </w:pPr>
            <w:r w:rsidRPr="00370A32">
              <w:rPr>
                <w:rFonts w:ascii="Arial" w:hAnsi="Arial" w:cs="Arial"/>
                <w:color w:val="000000"/>
                <w:sz w:val="15"/>
                <w:szCs w:val="15"/>
              </w:rPr>
              <w:t>0.102</w:t>
            </w:r>
          </w:p>
        </w:tc>
        <w:tc>
          <w:tcPr>
            <w:tcW w:w="1050" w:type="dxa"/>
            <w:vMerge/>
          </w:tcPr>
          <w:p w14:paraId="0A3EF2E4" w14:textId="77777777" w:rsidR="008352A8" w:rsidRPr="00370A32" w:rsidRDefault="008352A8" w:rsidP="00370A32">
            <w:pPr>
              <w:spacing w:line="288" w:lineRule="auto"/>
              <w:rPr>
                <w:rFonts w:ascii="Arial" w:hAnsi="Arial" w:cs="Arial"/>
                <w:sz w:val="15"/>
                <w:szCs w:val="15"/>
              </w:rPr>
            </w:pPr>
          </w:p>
        </w:tc>
      </w:tr>
      <w:tr w:rsidR="008352A8" w:rsidRPr="00370A32" w14:paraId="36107FB7" w14:textId="77777777" w:rsidTr="00370A32">
        <w:tc>
          <w:tcPr>
            <w:tcW w:w="4111" w:type="dxa"/>
          </w:tcPr>
          <w:p w14:paraId="15A127A7" w14:textId="015FE8C5" w:rsidR="008352A8" w:rsidRPr="00370A32" w:rsidRDefault="008352A8" w:rsidP="00370A32">
            <w:pPr>
              <w:spacing w:line="288" w:lineRule="auto"/>
              <w:rPr>
                <w:rFonts w:ascii="Arial" w:hAnsi="Arial" w:cs="Arial"/>
                <w:sz w:val="15"/>
                <w:szCs w:val="15"/>
              </w:rPr>
            </w:pPr>
            <w:r w:rsidRPr="00370A32">
              <w:rPr>
                <w:rFonts w:ascii="Arial" w:hAnsi="Arial" w:cs="Arial"/>
                <w:sz w:val="15"/>
                <w:szCs w:val="15"/>
              </w:rPr>
              <w:t>COVID-19, 60-69 years</w:t>
            </w:r>
          </w:p>
        </w:tc>
        <w:tc>
          <w:tcPr>
            <w:tcW w:w="3849" w:type="dxa"/>
            <w:vAlign w:val="bottom"/>
          </w:tcPr>
          <w:p w14:paraId="627AF879" w14:textId="1B8673A6" w:rsidR="008352A8" w:rsidRPr="00370A32" w:rsidRDefault="008352A8" w:rsidP="00370A32">
            <w:pPr>
              <w:spacing w:line="288" w:lineRule="auto"/>
              <w:rPr>
                <w:rFonts w:ascii="Arial" w:hAnsi="Arial" w:cs="Arial"/>
                <w:sz w:val="15"/>
                <w:szCs w:val="15"/>
              </w:rPr>
            </w:pPr>
            <w:r w:rsidRPr="00370A32">
              <w:rPr>
                <w:rFonts w:ascii="Arial" w:hAnsi="Arial" w:cs="Arial"/>
                <w:color w:val="000000"/>
                <w:sz w:val="15"/>
                <w:szCs w:val="15"/>
              </w:rPr>
              <w:t>0.166</w:t>
            </w:r>
          </w:p>
        </w:tc>
        <w:tc>
          <w:tcPr>
            <w:tcW w:w="1050" w:type="dxa"/>
            <w:vMerge/>
          </w:tcPr>
          <w:p w14:paraId="229B2CC0" w14:textId="77777777" w:rsidR="008352A8" w:rsidRPr="00370A32" w:rsidRDefault="008352A8" w:rsidP="00370A32">
            <w:pPr>
              <w:spacing w:line="288" w:lineRule="auto"/>
              <w:rPr>
                <w:rFonts w:ascii="Arial" w:hAnsi="Arial" w:cs="Arial"/>
                <w:sz w:val="15"/>
                <w:szCs w:val="15"/>
              </w:rPr>
            </w:pPr>
          </w:p>
        </w:tc>
      </w:tr>
      <w:tr w:rsidR="008352A8" w:rsidRPr="00370A32" w14:paraId="372420B6" w14:textId="77777777" w:rsidTr="00DB323B">
        <w:tc>
          <w:tcPr>
            <w:tcW w:w="4111" w:type="dxa"/>
          </w:tcPr>
          <w:p w14:paraId="320071A3" w14:textId="3A0E420C" w:rsidR="008352A8" w:rsidRPr="00370A32" w:rsidRDefault="008352A8" w:rsidP="00370A32">
            <w:pPr>
              <w:spacing w:line="288" w:lineRule="auto"/>
              <w:rPr>
                <w:rFonts w:ascii="Arial" w:hAnsi="Arial" w:cs="Arial"/>
                <w:sz w:val="15"/>
                <w:szCs w:val="15"/>
              </w:rPr>
            </w:pPr>
            <w:r w:rsidRPr="00370A32">
              <w:rPr>
                <w:rFonts w:ascii="Arial" w:hAnsi="Arial" w:cs="Arial"/>
                <w:sz w:val="15"/>
                <w:szCs w:val="15"/>
              </w:rPr>
              <w:t>COVID-19, 70-79 years</w:t>
            </w:r>
          </w:p>
        </w:tc>
        <w:tc>
          <w:tcPr>
            <w:tcW w:w="3849" w:type="dxa"/>
            <w:vAlign w:val="bottom"/>
          </w:tcPr>
          <w:p w14:paraId="5614521B" w14:textId="4087D82E" w:rsidR="008352A8" w:rsidRPr="00370A32" w:rsidRDefault="008352A8" w:rsidP="00370A32">
            <w:pPr>
              <w:spacing w:line="288" w:lineRule="auto"/>
              <w:rPr>
                <w:rFonts w:ascii="Arial" w:hAnsi="Arial" w:cs="Arial"/>
                <w:sz w:val="15"/>
                <w:szCs w:val="15"/>
              </w:rPr>
            </w:pPr>
            <w:r w:rsidRPr="00370A32">
              <w:rPr>
                <w:rFonts w:ascii="Arial" w:hAnsi="Arial" w:cs="Arial"/>
                <w:color w:val="000000"/>
                <w:sz w:val="15"/>
                <w:szCs w:val="15"/>
              </w:rPr>
              <w:t>0.243</w:t>
            </w:r>
          </w:p>
        </w:tc>
        <w:tc>
          <w:tcPr>
            <w:tcW w:w="1050" w:type="dxa"/>
            <w:vMerge/>
          </w:tcPr>
          <w:p w14:paraId="649EB21E" w14:textId="77777777" w:rsidR="008352A8" w:rsidRPr="00370A32" w:rsidRDefault="008352A8" w:rsidP="00370A32">
            <w:pPr>
              <w:spacing w:line="288" w:lineRule="auto"/>
              <w:rPr>
                <w:rFonts w:ascii="Arial" w:hAnsi="Arial" w:cs="Arial"/>
                <w:sz w:val="15"/>
                <w:szCs w:val="15"/>
              </w:rPr>
            </w:pPr>
          </w:p>
        </w:tc>
      </w:tr>
      <w:tr w:rsidR="008352A8" w:rsidRPr="00370A32" w14:paraId="1033FAEF" w14:textId="77777777" w:rsidTr="00370A32">
        <w:tc>
          <w:tcPr>
            <w:tcW w:w="4111" w:type="dxa"/>
            <w:tcBorders>
              <w:bottom w:val="single" w:sz="4" w:space="0" w:color="auto"/>
            </w:tcBorders>
          </w:tcPr>
          <w:p w14:paraId="030F956C" w14:textId="74EB4239" w:rsidR="008352A8" w:rsidRPr="00370A32" w:rsidRDefault="008352A8" w:rsidP="00370A32">
            <w:pPr>
              <w:spacing w:line="288" w:lineRule="auto"/>
              <w:rPr>
                <w:rFonts w:ascii="Arial" w:hAnsi="Arial" w:cs="Arial"/>
                <w:sz w:val="15"/>
                <w:szCs w:val="15"/>
              </w:rPr>
            </w:pPr>
            <w:r w:rsidRPr="00370A32">
              <w:rPr>
                <w:rFonts w:ascii="Arial" w:hAnsi="Arial" w:cs="Arial"/>
                <w:sz w:val="15"/>
                <w:szCs w:val="15"/>
              </w:rPr>
              <w:t>COVID-19, 80-99 years</w:t>
            </w:r>
          </w:p>
        </w:tc>
        <w:tc>
          <w:tcPr>
            <w:tcW w:w="3849" w:type="dxa"/>
            <w:tcBorders>
              <w:bottom w:val="single" w:sz="4" w:space="0" w:color="auto"/>
            </w:tcBorders>
            <w:vAlign w:val="bottom"/>
          </w:tcPr>
          <w:p w14:paraId="07E3F7F3" w14:textId="5765456C" w:rsidR="008352A8" w:rsidRPr="00370A32" w:rsidRDefault="008352A8" w:rsidP="00370A32">
            <w:pPr>
              <w:spacing w:line="288" w:lineRule="auto"/>
              <w:rPr>
                <w:rFonts w:ascii="Arial" w:hAnsi="Arial" w:cs="Arial"/>
                <w:sz w:val="15"/>
                <w:szCs w:val="15"/>
              </w:rPr>
            </w:pPr>
            <w:r w:rsidRPr="00370A32">
              <w:rPr>
                <w:rFonts w:ascii="Arial" w:hAnsi="Arial" w:cs="Arial"/>
                <w:color w:val="000000"/>
                <w:sz w:val="15"/>
                <w:szCs w:val="15"/>
              </w:rPr>
              <w:t>0.273</w:t>
            </w:r>
          </w:p>
        </w:tc>
        <w:tc>
          <w:tcPr>
            <w:tcW w:w="1050" w:type="dxa"/>
            <w:vMerge/>
            <w:tcBorders>
              <w:bottom w:val="single" w:sz="4" w:space="0" w:color="auto"/>
            </w:tcBorders>
          </w:tcPr>
          <w:p w14:paraId="4FABE318" w14:textId="77777777" w:rsidR="008352A8" w:rsidRPr="00370A32" w:rsidRDefault="008352A8" w:rsidP="00370A32">
            <w:pPr>
              <w:spacing w:line="288" w:lineRule="auto"/>
              <w:rPr>
                <w:rFonts w:ascii="Arial" w:hAnsi="Arial" w:cs="Arial"/>
                <w:sz w:val="15"/>
                <w:szCs w:val="15"/>
                <w:lang w:val="en-US"/>
              </w:rPr>
            </w:pPr>
          </w:p>
        </w:tc>
      </w:tr>
      <w:tr w:rsidR="00370A32" w:rsidRPr="00370A32" w14:paraId="219E05B8" w14:textId="77777777" w:rsidTr="00370A32">
        <w:tc>
          <w:tcPr>
            <w:tcW w:w="4111" w:type="dxa"/>
            <w:tcBorders>
              <w:top w:val="single" w:sz="4" w:space="0" w:color="auto"/>
              <w:bottom w:val="single" w:sz="4" w:space="0" w:color="auto"/>
            </w:tcBorders>
          </w:tcPr>
          <w:p w14:paraId="3BCF25BB" w14:textId="717ACA33" w:rsidR="00370A32" w:rsidRPr="00370A32" w:rsidRDefault="00370A32" w:rsidP="00370A32">
            <w:pPr>
              <w:spacing w:line="288" w:lineRule="auto"/>
              <w:rPr>
                <w:rFonts w:ascii="Arial" w:hAnsi="Arial" w:cs="Arial"/>
                <w:i/>
                <w:sz w:val="15"/>
                <w:szCs w:val="15"/>
              </w:rPr>
            </w:pPr>
            <w:r w:rsidRPr="00370A32">
              <w:rPr>
                <w:rFonts w:ascii="Arial" w:hAnsi="Arial" w:cs="Arial"/>
                <w:i/>
                <w:sz w:val="15"/>
                <w:szCs w:val="15"/>
              </w:rPr>
              <w:t>Basic reproduction number (</w:t>
            </w:r>
            <m:oMath>
              <m:sSub>
                <m:sSubPr>
                  <m:ctrlPr>
                    <w:rPr>
                      <w:rFonts w:ascii="Cambria Math" w:hAnsi="Cambria Math" w:cs="Arial"/>
                      <w:i/>
                      <w:sz w:val="15"/>
                      <w:szCs w:val="15"/>
                    </w:rPr>
                  </m:ctrlPr>
                </m:sSubPr>
                <m:e>
                  <m:r>
                    <w:rPr>
                      <w:rFonts w:ascii="Cambria Math" w:hAnsi="Cambria Math" w:cs="Arial"/>
                      <w:sz w:val="15"/>
                      <w:szCs w:val="15"/>
                    </w:rPr>
                    <m:t>R</m:t>
                  </m:r>
                </m:e>
                <m:sub>
                  <m:r>
                    <w:rPr>
                      <w:rFonts w:ascii="Cambria Math" w:hAnsi="Cambria Math" w:cs="Arial"/>
                      <w:sz w:val="15"/>
                      <w:szCs w:val="15"/>
                    </w:rPr>
                    <m:t>0</m:t>
                  </m:r>
                </m:sub>
              </m:sSub>
            </m:oMath>
            <w:r w:rsidRPr="00370A32">
              <w:rPr>
                <w:rFonts w:ascii="Arial" w:hAnsi="Arial" w:cs="Arial"/>
                <w:i/>
                <w:sz w:val="15"/>
                <w:szCs w:val="15"/>
              </w:rPr>
              <w:t>)</w:t>
            </w:r>
          </w:p>
        </w:tc>
        <w:tc>
          <w:tcPr>
            <w:tcW w:w="3849" w:type="dxa"/>
            <w:tcBorders>
              <w:top w:val="single" w:sz="4" w:space="0" w:color="auto"/>
              <w:bottom w:val="single" w:sz="4" w:space="0" w:color="auto"/>
            </w:tcBorders>
          </w:tcPr>
          <w:p w14:paraId="14E75C2A" w14:textId="77777777" w:rsidR="00370A32" w:rsidRPr="00370A32" w:rsidRDefault="00370A32" w:rsidP="00370A32">
            <w:pPr>
              <w:spacing w:line="288" w:lineRule="auto"/>
              <w:rPr>
                <w:rFonts w:ascii="Arial" w:hAnsi="Arial" w:cs="Arial"/>
                <w:i/>
                <w:sz w:val="15"/>
                <w:szCs w:val="15"/>
              </w:rPr>
            </w:pPr>
          </w:p>
        </w:tc>
        <w:tc>
          <w:tcPr>
            <w:tcW w:w="1050" w:type="dxa"/>
            <w:tcBorders>
              <w:top w:val="single" w:sz="4" w:space="0" w:color="auto"/>
              <w:bottom w:val="single" w:sz="4" w:space="0" w:color="auto"/>
            </w:tcBorders>
          </w:tcPr>
          <w:p w14:paraId="0AC779F3" w14:textId="77777777" w:rsidR="00370A32" w:rsidRPr="00370A32" w:rsidRDefault="00370A32" w:rsidP="00370A32">
            <w:pPr>
              <w:spacing w:line="288" w:lineRule="auto"/>
              <w:rPr>
                <w:rFonts w:ascii="Arial" w:hAnsi="Arial" w:cs="Arial"/>
                <w:i/>
                <w:sz w:val="15"/>
                <w:szCs w:val="15"/>
                <w:lang w:val="en-US"/>
              </w:rPr>
            </w:pPr>
          </w:p>
        </w:tc>
      </w:tr>
      <w:tr w:rsidR="00370A32" w:rsidRPr="00370A32" w14:paraId="48C77FCE" w14:textId="77777777" w:rsidTr="00370A32">
        <w:tc>
          <w:tcPr>
            <w:tcW w:w="4111" w:type="dxa"/>
            <w:tcBorders>
              <w:top w:val="single" w:sz="4" w:space="0" w:color="auto"/>
            </w:tcBorders>
          </w:tcPr>
          <w:p w14:paraId="56F6E438" w14:textId="339C7E70" w:rsidR="00370A32" w:rsidRPr="00370A32" w:rsidRDefault="00370A32" w:rsidP="00370A32">
            <w:pPr>
              <w:spacing w:line="288" w:lineRule="auto"/>
              <w:rPr>
                <w:rFonts w:ascii="Arial" w:hAnsi="Arial" w:cs="Arial"/>
                <w:sz w:val="15"/>
                <w:szCs w:val="15"/>
              </w:rPr>
            </w:pPr>
            <w:r w:rsidRPr="00370A32">
              <w:rPr>
                <w:rFonts w:ascii="Arial" w:hAnsi="Arial" w:cs="Arial"/>
                <w:sz w:val="15"/>
                <w:szCs w:val="15"/>
              </w:rPr>
              <w:t>1918 A/H1N1</w:t>
            </w:r>
          </w:p>
        </w:tc>
        <w:tc>
          <w:tcPr>
            <w:tcW w:w="3849" w:type="dxa"/>
            <w:tcBorders>
              <w:top w:val="single" w:sz="4" w:space="0" w:color="auto"/>
            </w:tcBorders>
          </w:tcPr>
          <w:p w14:paraId="589E0EBC" w14:textId="47548C06" w:rsidR="00370A32" w:rsidRPr="00370A32" w:rsidRDefault="00370A32" w:rsidP="00370A32">
            <w:pPr>
              <w:spacing w:line="288" w:lineRule="auto"/>
              <w:rPr>
                <w:rFonts w:ascii="Arial" w:hAnsi="Arial" w:cs="Arial"/>
                <w:sz w:val="15"/>
                <w:szCs w:val="15"/>
              </w:rPr>
            </w:pPr>
            <w:r w:rsidRPr="00370A32">
              <w:rPr>
                <w:rFonts w:ascii="Arial" w:hAnsi="Arial" w:cs="Arial"/>
                <w:sz w:val="15"/>
                <w:szCs w:val="15"/>
              </w:rPr>
              <w:t>2.0</w:t>
            </w:r>
          </w:p>
        </w:tc>
        <w:tc>
          <w:tcPr>
            <w:tcW w:w="1050" w:type="dxa"/>
            <w:vMerge w:val="restart"/>
            <w:tcBorders>
              <w:top w:val="single" w:sz="4" w:space="0" w:color="auto"/>
            </w:tcBorders>
          </w:tcPr>
          <w:p w14:paraId="42A82CB2" w14:textId="72463810" w:rsidR="00370A32" w:rsidRPr="00370A32" w:rsidRDefault="00370A32" w:rsidP="00370A32">
            <w:pPr>
              <w:spacing w:line="288" w:lineRule="auto"/>
              <w:rPr>
                <w:rFonts w:ascii="Arial" w:hAnsi="Arial" w:cs="Arial"/>
                <w:sz w:val="15"/>
                <w:szCs w:val="15"/>
                <w:lang w:val="en-US"/>
              </w:rPr>
            </w:pPr>
            <w:r w:rsidRPr="00370A32">
              <w:rPr>
                <w:rFonts w:ascii="Arial" w:hAnsi="Arial" w:cs="Arial"/>
                <w:sz w:val="15"/>
                <w:szCs w:val="15"/>
                <w:lang w:val="en-US"/>
              </w:rPr>
              <w:t>Biggerstaff et al., 2014</w:t>
            </w:r>
            <w:r w:rsidRPr="00370A32">
              <w:rPr>
                <w:rFonts w:ascii="Arial" w:hAnsi="Arial" w:cs="Arial"/>
                <w:sz w:val="15"/>
                <w:szCs w:val="15"/>
                <w:lang w:val="en-US"/>
              </w:rPr>
              <w:fldChar w:fldCharType="begin"/>
            </w:r>
            <w:r w:rsidR="002B0C95">
              <w:rPr>
                <w:rFonts w:ascii="Arial" w:hAnsi="Arial" w:cs="Arial"/>
                <w:sz w:val="15"/>
                <w:szCs w:val="15"/>
                <w:lang w:val="en-US"/>
              </w:rPr>
              <w:instrText xml:space="preserve"> ADDIN ZOTERO_ITEM CSL_CITATION {"citationID":"RNnYIhD5","properties":{"formattedCitation":"\\super 33\\nosupersub{}","plainCitation":"33","noteIndex":0},"citationItems":[{"id":199,"uris":["http://zotero.org/users/local/0pdZPGmr/items/MGCU7AUS"],"itemData":{"id":199,"type":"article-journal","abstract":"The potential impact of an influenza pandemic can be assessed by calculating a set of transmissibility parameters, the most important being the reproduction number (R), which is defined as the average number of secondary cases generated per typical infectious case.","container-title":"BMC Infectious Diseases","DOI":"10.1186/1471-2334-14-480","ISSN":"1471-2334","issue":"1","journalAbbreviation":"BMC Infectious Diseases","page":"480","title":"Estimates of the reproduction number for seasonal, pandemic, and zoonotic influenza: a systematic review of the literature","volume":"14","author":[{"family":"Biggerstaff","given":"Matthew"},{"family":"Cauchemez","given":"Simon"},{"family":"Reed","given":"Carrie"},{"family":"Gambhir","given":"Manoj"},{"family":"Finelli","given":"Lyn"}],"issued":{"date-parts":[["2014",9,4]]}}}],"schema":"https://github.com/citation-style-language/schema/raw/master/csl-citation.json"} </w:instrText>
            </w:r>
            <w:r w:rsidRPr="00370A32">
              <w:rPr>
                <w:rFonts w:ascii="Arial" w:hAnsi="Arial" w:cs="Arial"/>
                <w:sz w:val="15"/>
                <w:szCs w:val="15"/>
                <w:lang w:val="en-US"/>
              </w:rPr>
              <w:fldChar w:fldCharType="separate"/>
            </w:r>
            <w:r w:rsidR="002B0C95" w:rsidRPr="002B0C95">
              <w:rPr>
                <w:rFonts w:ascii="Arial" w:hAnsi="Arial" w:cs="Arial"/>
                <w:sz w:val="15"/>
                <w:vertAlign w:val="superscript"/>
                <w:lang w:val="en-US"/>
              </w:rPr>
              <w:t>33</w:t>
            </w:r>
            <w:r w:rsidRPr="00370A32">
              <w:rPr>
                <w:rFonts w:ascii="Arial" w:hAnsi="Arial" w:cs="Arial"/>
                <w:sz w:val="15"/>
                <w:szCs w:val="15"/>
                <w:lang w:val="en-US"/>
              </w:rPr>
              <w:fldChar w:fldCharType="end"/>
            </w:r>
          </w:p>
        </w:tc>
      </w:tr>
      <w:tr w:rsidR="00370A32" w:rsidRPr="00370A32" w14:paraId="0AB977BC" w14:textId="77777777" w:rsidTr="00370A32">
        <w:tc>
          <w:tcPr>
            <w:tcW w:w="4111" w:type="dxa"/>
          </w:tcPr>
          <w:p w14:paraId="287EE531" w14:textId="11C304B2" w:rsidR="00370A32" w:rsidRPr="00370A32" w:rsidRDefault="00370A32" w:rsidP="00370A32">
            <w:pPr>
              <w:spacing w:line="288" w:lineRule="auto"/>
              <w:rPr>
                <w:rFonts w:ascii="Arial" w:hAnsi="Arial" w:cs="Arial"/>
                <w:sz w:val="15"/>
                <w:szCs w:val="15"/>
              </w:rPr>
            </w:pPr>
            <w:r w:rsidRPr="00370A32">
              <w:rPr>
                <w:rFonts w:ascii="Arial" w:hAnsi="Arial" w:cs="Arial"/>
                <w:sz w:val="15"/>
                <w:szCs w:val="15"/>
              </w:rPr>
              <w:t>1968 A/H3N2</w:t>
            </w:r>
          </w:p>
        </w:tc>
        <w:tc>
          <w:tcPr>
            <w:tcW w:w="3849" w:type="dxa"/>
          </w:tcPr>
          <w:p w14:paraId="272B5D19" w14:textId="66F49D2E" w:rsidR="00370A32" w:rsidRPr="00370A32" w:rsidRDefault="00370A32" w:rsidP="00370A32">
            <w:pPr>
              <w:spacing w:line="288" w:lineRule="auto"/>
              <w:rPr>
                <w:rFonts w:ascii="Arial" w:hAnsi="Arial" w:cs="Arial"/>
                <w:sz w:val="15"/>
                <w:szCs w:val="15"/>
              </w:rPr>
            </w:pPr>
            <w:r w:rsidRPr="00370A32">
              <w:rPr>
                <w:rFonts w:ascii="Arial" w:hAnsi="Arial" w:cs="Arial"/>
                <w:sz w:val="15"/>
                <w:szCs w:val="15"/>
              </w:rPr>
              <w:t>1.8</w:t>
            </w:r>
          </w:p>
        </w:tc>
        <w:tc>
          <w:tcPr>
            <w:tcW w:w="1050" w:type="dxa"/>
            <w:vMerge/>
          </w:tcPr>
          <w:p w14:paraId="459F48D2" w14:textId="77777777" w:rsidR="00370A32" w:rsidRPr="00370A32" w:rsidRDefault="00370A32" w:rsidP="00370A32">
            <w:pPr>
              <w:spacing w:line="288" w:lineRule="auto"/>
              <w:rPr>
                <w:rFonts w:ascii="Arial" w:hAnsi="Arial" w:cs="Arial"/>
                <w:sz w:val="15"/>
                <w:szCs w:val="15"/>
                <w:lang w:val="en-US"/>
              </w:rPr>
            </w:pPr>
          </w:p>
        </w:tc>
      </w:tr>
      <w:tr w:rsidR="00370A32" w:rsidRPr="00370A32" w14:paraId="15C31A00" w14:textId="77777777" w:rsidTr="00370A32">
        <w:tc>
          <w:tcPr>
            <w:tcW w:w="4111" w:type="dxa"/>
          </w:tcPr>
          <w:p w14:paraId="76B85C38" w14:textId="0CF6A857" w:rsidR="00370A32" w:rsidRPr="00370A32" w:rsidRDefault="00370A32" w:rsidP="00370A32">
            <w:pPr>
              <w:spacing w:line="288" w:lineRule="auto"/>
              <w:rPr>
                <w:rFonts w:ascii="Arial" w:hAnsi="Arial" w:cs="Arial"/>
                <w:sz w:val="15"/>
                <w:szCs w:val="15"/>
              </w:rPr>
            </w:pPr>
            <w:r w:rsidRPr="00370A32">
              <w:rPr>
                <w:rFonts w:ascii="Arial" w:hAnsi="Arial" w:cs="Arial"/>
                <w:sz w:val="15"/>
                <w:szCs w:val="15"/>
              </w:rPr>
              <w:t>2009 A/H1N1</w:t>
            </w:r>
          </w:p>
        </w:tc>
        <w:tc>
          <w:tcPr>
            <w:tcW w:w="3849" w:type="dxa"/>
          </w:tcPr>
          <w:p w14:paraId="19B6CFB9" w14:textId="2C39CB6A" w:rsidR="00370A32" w:rsidRPr="00370A32" w:rsidRDefault="00370A32" w:rsidP="00370A32">
            <w:pPr>
              <w:spacing w:line="288" w:lineRule="auto"/>
              <w:rPr>
                <w:rFonts w:ascii="Arial" w:hAnsi="Arial" w:cs="Arial"/>
                <w:sz w:val="15"/>
                <w:szCs w:val="15"/>
              </w:rPr>
            </w:pPr>
            <w:r w:rsidRPr="00370A32">
              <w:rPr>
                <w:rFonts w:ascii="Arial" w:hAnsi="Arial" w:cs="Arial"/>
                <w:sz w:val="15"/>
                <w:szCs w:val="15"/>
              </w:rPr>
              <w:t>1.5</w:t>
            </w:r>
          </w:p>
        </w:tc>
        <w:tc>
          <w:tcPr>
            <w:tcW w:w="1050" w:type="dxa"/>
            <w:vMerge/>
          </w:tcPr>
          <w:p w14:paraId="154BBDF5" w14:textId="77777777" w:rsidR="00370A32" w:rsidRPr="00370A32" w:rsidRDefault="00370A32" w:rsidP="00370A32">
            <w:pPr>
              <w:spacing w:line="288" w:lineRule="auto"/>
              <w:rPr>
                <w:rFonts w:ascii="Arial" w:hAnsi="Arial" w:cs="Arial"/>
                <w:sz w:val="15"/>
                <w:szCs w:val="15"/>
                <w:lang w:val="en-US"/>
              </w:rPr>
            </w:pPr>
          </w:p>
        </w:tc>
      </w:tr>
      <w:tr w:rsidR="00370A32" w:rsidRPr="00370A32" w14:paraId="7C2E2C4E" w14:textId="77777777" w:rsidTr="00370A32">
        <w:tc>
          <w:tcPr>
            <w:tcW w:w="4111" w:type="dxa"/>
          </w:tcPr>
          <w:p w14:paraId="0725071F" w14:textId="31BDC32C" w:rsidR="00370A32" w:rsidRPr="00370A32" w:rsidRDefault="00370A32" w:rsidP="00370A32">
            <w:pPr>
              <w:spacing w:line="288" w:lineRule="auto"/>
              <w:rPr>
                <w:rFonts w:ascii="Arial" w:hAnsi="Arial" w:cs="Arial"/>
                <w:sz w:val="15"/>
                <w:szCs w:val="15"/>
              </w:rPr>
            </w:pPr>
            <w:r w:rsidRPr="00370A32">
              <w:rPr>
                <w:rFonts w:ascii="Arial" w:hAnsi="Arial" w:cs="Arial"/>
                <w:sz w:val="15"/>
                <w:szCs w:val="15"/>
              </w:rPr>
              <w:t>COVID-19</w:t>
            </w:r>
          </w:p>
        </w:tc>
        <w:tc>
          <w:tcPr>
            <w:tcW w:w="3849" w:type="dxa"/>
          </w:tcPr>
          <w:p w14:paraId="328ED294" w14:textId="478F609F" w:rsidR="00370A32" w:rsidRPr="00370A32" w:rsidRDefault="00370A32" w:rsidP="00370A32">
            <w:pPr>
              <w:spacing w:line="288" w:lineRule="auto"/>
              <w:rPr>
                <w:rFonts w:ascii="Arial" w:hAnsi="Arial" w:cs="Arial"/>
                <w:sz w:val="15"/>
                <w:szCs w:val="15"/>
              </w:rPr>
            </w:pPr>
            <w:r w:rsidRPr="00370A32">
              <w:rPr>
                <w:rFonts w:ascii="Arial" w:hAnsi="Arial" w:cs="Arial"/>
                <w:sz w:val="15"/>
                <w:szCs w:val="15"/>
              </w:rPr>
              <w:t>3.0</w:t>
            </w:r>
          </w:p>
        </w:tc>
        <w:tc>
          <w:tcPr>
            <w:tcW w:w="1050" w:type="dxa"/>
          </w:tcPr>
          <w:p w14:paraId="2C3158F3" w14:textId="10A1E9AC" w:rsidR="00370A32" w:rsidRPr="00370A32" w:rsidRDefault="00370A32" w:rsidP="00370A32">
            <w:pPr>
              <w:spacing w:line="288" w:lineRule="auto"/>
              <w:rPr>
                <w:rFonts w:ascii="Arial" w:hAnsi="Arial" w:cs="Arial"/>
                <w:sz w:val="15"/>
                <w:szCs w:val="15"/>
                <w:lang w:val="en-US"/>
              </w:rPr>
            </w:pPr>
            <w:r w:rsidRPr="00370A32">
              <w:rPr>
                <w:rFonts w:ascii="Arial" w:hAnsi="Arial" w:cs="Arial"/>
                <w:sz w:val="15"/>
                <w:szCs w:val="15"/>
                <w:lang w:val="en-US"/>
              </w:rPr>
              <w:t>Zhao et al., 2020</w:t>
            </w:r>
            <w:r w:rsidRPr="00370A32">
              <w:rPr>
                <w:rFonts w:ascii="Arial" w:hAnsi="Arial" w:cs="Arial"/>
                <w:sz w:val="15"/>
                <w:szCs w:val="15"/>
                <w:lang w:val="en-US"/>
              </w:rPr>
              <w:fldChar w:fldCharType="begin"/>
            </w:r>
            <w:r w:rsidR="002B0C95">
              <w:rPr>
                <w:rFonts w:ascii="Arial" w:hAnsi="Arial" w:cs="Arial"/>
                <w:sz w:val="15"/>
                <w:szCs w:val="15"/>
                <w:lang w:val="en-US"/>
              </w:rPr>
              <w:instrText xml:space="preserve"> ADDIN ZOTERO_ITEM CSL_CITATION {"citationID":"kkAWAb0K","properties":{"formattedCitation":"\\super 34\\nosupersub{}","plainCitation":"34","noteIndex":0},"citationItems":[{"id":200,"uris":["http://zotero.org/users/local/0pdZPGmr/items/ZPSRUEM6"],"itemData":{"id":200,"type":"article-journal","abstract":"Backgrounds\nAn ongoing outbreak of a novel coronavirus (2019-nCoV) pneumonia hit a major city in China, Wuhan, December 2019 and subsequently reached other provinces/regions of China and other countries. We present estimates of the basic reproduction number, R0, of 2019-nCoV in the early phase of the outbreak.\nMethods\nAccounting for the impact of the variations in disease reporting rate, we modelled the epidemic curve of 2019-nCoV cases time series, in mainland China from January 10 to January 24, 2020, through the exponential growth. With the estimated intrinsic growth rate (γ), we estimated R0 by using the serial intervals (SI) of two other well-known coronavirus diseases, MERS and SARS, as approximations for the true unknown SI.\nFindings\nThe early outbreak data largely follows the exponential growth. We estimated that the mean R0 ranges from 2.24 (95%CI: 1.96–2.55) to 3.58 (95%CI: 2.89–4.39) associated with 8-fold to 2-fold increase in the reporting rate. We demonstrated that changes in reporting rate substantially affect estimates of R0.\nConclusion\nThe mean estimate of R0 for the 2019-nCoV ranges from 2.24 to 3.58, and is significantly larger than 1. Our findings indicate the potential of 2019-nCoV to cause outbreaks.","container-title":"International Journal of Infectious Diseases","DOI":"10.1016/j.ijid.2020.01.050","ISSN":"1201-9712","journalAbbreviation":"International Journal of Infectious Diseases","page":"214-217","title":"Preliminary estimation of the basic reproduction number of novel coronavirus (2019-nCoV) in China, from 2019 to 2020: A data-driven analysis in the early phase of the outbreak","volume":"92","author":[{"family":"Zhao","given":"Shi"},{"family":"Lin","given":"Qianyin"},{"family":"Ran","given":"Jinjun"},{"family":"Musa","given":"Salihu S."},{"family":"Yang","given":"Guangpu"},{"family":"Wang","given":"Weiming"},{"family":"Lou","given":"Yijun"},{"family":"Gao","given":"Daozhou"},{"family":"Yang","given":"Lin"},{"family":"He","given":"Daihai"},{"family":"Wang","given":"Maggie H."}],"issued":{"date-parts":[["2020",3,1]]}}}],"schema":"https://github.com/citation-style-language/schema/raw/master/csl-citation.json"} </w:instrText>
            </w:r>
            <w:r w:rsidRPr="00370A32">
              <w:rPr>
                <w:rFonts w:ascii="Arial" w:hAnsi="Arial" w:cs="Arial"/>
                <w:sz w:val="15"/>
                <w:szCs w:val="15"/>
                <w:lang w:val="en-US"/>
              </w:rPr>
              <w:fldChar w:fldCharType="separate"/>
            </w:r>
            <w:r w:rsidR="002B0C95" w:rsidRPr="002B0C95">
              <w:rPr>
                <w:rFonts w:ascii="Arial" w:hAnsi="Arial" w:cs="Arial"/>
                <w:sz w:val="15"/>
                <w:vertAlign w:val="superscript"/>
                <w:lang w:val="en-US"/>
              </w:rPr>
              <w:t>34</w:t>
            </w:r>
            <w:r w:rsidRPr="00370A32">
              <w:rPr>
                <w:rFonts w:ascii="Arial" w:hAnsi="Arial" w:cs="Arial"/>
                <w:sz w:val="15"/>
                <w:szCs w:val="15"/>
                <w:lang w:val="en-US"/>
              </w:rPr>
              <w:fldChar w:fldCharType="end"/>
            </w:r>
          </w:p>
        </w:tc>
      </w:tr>
      <w:tr w:rsidR="00DB7E22" w:rsidRPr="00370A32" w14:paraId="06F6CDF7" w14:textId="77777777" w:rsidTr="00DB323B">
        <w:tc>
          <w:tcPr>
            <w:tcW w:w="4111" w:type="dxa"/>
            <w:tcBorders>
              <w:top w:val="single" w:sz="4" w:space="0" w:color="auto"/>
            </w:tcBorders>
          </w:tcPr>
          <w:p w14:paraId="367061A3"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Probability of asymptomatic infection (</w:t>
            </w:r>
            <m:oMath>
              <m:sSub>
                <m:sSubPr>
                  <m:ctrlPr>
                    <w:rPr>
                      <w:rFonts w:ascii="Cambria Math" w:hAnsi="Cambria Math" w:cs="Arial"/>
                      <w:i/>
                      <w:sz w:val="15"/>
                      <w:szCs w:val="15"/>
                      <w:lang w:val="en-US"/>
                    </w:rPr>
                  </m:ctrlPr>
                </m:sSubPr>
                <m:e>
                  <m:r>
                    <w:rPr>
                      <w:rFonts w:ascii="Cambria Math" w:hAnsi="Cambria Math" w:cs="Arial"/>
                      <w:sz w:val="15"/>
                      <w:szCs w:val="15"/>
                      <w:lang w:val="en-US"/>
                    </w:rPr>
                    <m:t>p</m:t>
                  </m:r>
                </m:e>
                <m:sub>
                  <m:r>
                    <m:rPr>
                      <m:nor/>
                    </m:rPr>
                    <w:rPr>
                      <w:rFonts w:ascii="Arial" w:hAnsi="Arial" w:cs="Arial"/>
                      <w:sz w:val="15"/>
                      <w:szCs w:val="15"/>
                      <w:lang w:val="en-US"/>
                    </w:rPr>
                    <m:t>asymptomatic</m:t>
                  </m:r>
                </m:sub>
              </m:sSub>
            </m:oMath>
            <w:r w:rsidRPr="00370A32">
              <w:rPr>
                <w:rFonts w:ascii="Arial" w:hAnsi="Arial" w:cs="Arial"/>
                <w:sz w:val="15"/>
                <w:szCs w:val="15"/>
                <w:lang w:val="en-US"/>
              </w:rPr>
              <w:t>)</w:t>
            </w:r>
          </w:p>
        </w:tc>
        <w:tc>
          <w:tcPr>
            <w:tcW w:w="3849" w:type="dxa"/>
            <w:tcBorders>
              <w:top w:val="single" w:sz="4" w:space="0" w:color="auto"/>
            </w:tcBorders>
          </w:tcPr>
          <w:p w14:paraId="105E8A47"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0.16</w:t>
            </w:r>
          </w:p>
        </w:tc>
        <w:tc>
          <w:tcPr>
            <w:tcW w:w="1050" w:type="dxa"/>
            <w:tcBorders>
              <w:top w:val="single" w:sz="4" w:space="0" w:color="auto"/>
            </w:tcBorders>
          </w:tcPr>
          <w:p w14:paraId="15EB826A" w14:textId="5DCBE300" w:rsidR="00DB7E22" w:rsidRPr="00370A32" w:rsidRDefault="00370A32" w:rsidP="00370A32">
            <w:pPr>
              <w:spacing w:line="288" w:lineRule="auto"/>
              <w:rPr>
                <w:rFonts w:ascii="Arial" w:hAnsi="Arial" w:cs="Arial"/>
                <w:sz w:val="15"/>
                <w:szCs w:val="15"/>
              </w:rPr>
            </w:pPr>
            <w:r w:rsidRPr="00370A32">
              <w:rPr>
                <w:rFonts w:ascii="Arial" w:hAnsi="Arial" w:cs="Arial"/>
                <w:sz w:val="15"/>
                <w:szCs w:val="15"/>
                <w:lang w:val="en-US"/>
              </w:rPr>
              <w:t>Leung et al., 2015</w:t>
            </w:r>
            <w:r w:rsidR="00DB7E22" w:rsidRPr="00370A32">
              <w:rPr>
                <w:rFonts w:ascii="Arial" w:hAnsi="Arial" w:cs="Arial"/>
                <w:sz w:val="15"/>
                <w:szCs w:val="15"/>
                <w:lang w:val="en-US"/>
              </w:rPr>
              <w:fldChar w:fldCharType="begin"/>
            </w:r>
            <w:r w:rsidR="003A1579" w:rsidRPr="00370A32">
              <w:rPr>
                <w:rFonts w:ascii="Arial" w:hAnsi="Arial" w:cs="Arial"/>
                <w:sz w:val="15"/>
                <w:szCs w:val="15"/>
                <w:lang w:val="en-US"/>
              </w:rPr>
              <w:instrText xml:space="preserve"> ADDIN ZOTERO_ITEM CSL_CITATION {"citationID":"5Pbv1Zai","properties":{"formattedCitation":"\\super 20\\nosupersub{}","plainCitation":"20","noteIndex":0},"citationItems":[{"id":110,"uris":["http://zotero.org/users/local/0pdZPGmr/items/5PRSKE77"],"itemData":{"id":110,"type":"article-journal","abstract":"Background: \n\nThe fraction of persons with influenza virus infection, who do not report any signs or symptoms throughout the course of infection is referred to as the asymptomatic fraction.\n\nMethods:\n\nWe conducted a systematic review and meta-analysis of published estimates of the asymptomatic fraction of influenza virus infections. We found that estimates of the asymptomatic fraction were reported from two different types of studies: first, outbreak investigations with short-term follow-up of potentially exposed persons and virologic confirmation of infections; second, studies conducted across epidemics typically evaluating rates of acute respiratory illness among persons with serologic evidence of infection, in some cases adjusting for background rates of illness from other causes.\n\nResults:\n\nMost point estimates from studies of outbreak investigations fell in the range 4%–28% with low heterogeneity (I2 = 0%) with a pooled mean of 16% (95% confidence interval = 13%, 19%). Estimates from the studies conducted across epidemics without adjustment were very heterogeneous (point estimates 0%–100%; I 2 = 97%), while estimates from studies that adjusted for background illnesses were more consistent with point estimates in the range 65%–85% and moderate heterogeneity (I2 = 58%). Variation in estimates could be partially explained by differences in study design and analysis, and inclusion of mild symptomatic illnesses as asymptomatic in some studies.\n\nConclusions:\n\nEstimates of the asymptomatic fraction are affected by the study design, and the definitions of infection and symptomatic illness. Considerable differences between the asymptomatic fraction of infections confirmed by virologic versus serologic testing may indicate fundamental differences in the interpretation of these two indicators.","container-title":"Epidemiology","ISSN":"1044-3983","issue":"6","title":"Review Article: The Fraction of Influenza Virus Infections That Are Asymptomatic: A Systematic Review and Meta-analysis","URL":"https://journals.lww.com/epidem/fulltext/2015/11000/review_article__the_fraction_of_influenza_virus.13.aspx","volume":"26","author":[{"family":"Leung","given":"Nancy H. L."},{"family":"Xu","given":"Cuiling"},{"family":"Ip","given":"Dennis K. M."},{"family":"Cowling","given":"Benjamin J."}],"issued":{"date-parts":[["2015"]]}}}],"schema":"https://github.com/citation-style-language/schema/raw/master/csl-citation.json"} </w:instrText>
            </w:r>
            <w:r w:rsidR="00DB7E22" w:rsidRPr="00370A32">
              <w:rPr>
                <w:rFonts w:ascii="Arial" w:hAnsi="Arial" w:cs="Arial"/>
                <w:sz w:val="15"/>
                <w:szCs w:val="15"/>
                <w:lang w:val="en-US"/>
              </w:rPr>
              <w:fldChar w:fldCharType="separate"/>
            </w:r>
            <w:r w:rsidR="00DB7E22" w:rsidRPr="00370A32">
              <w:rPr>
                <w:rFonts w:ascii="Arial" w:hAnsi="Arial" w:cs="Arial"/>
                <w:sz w:val="15"/>
                <w:szCs w:val="15"/>
                <w:vertAlign w:val="superscript"/>
                <w:lang w:val="en-US"/>
              </w:rPr>
              <w:t>20</w:t>
            </w:r>
            <w:r w:rsidR="00DB7E22" w:rsidRPr="00370A32">
              <w:rPr>
                <w:rFonts w:ascii="Arial" w:hAnsi="Arial" w:cs="Arial"/>
                <w:sz w:val="15"/>
                <w:szCs w:val="15"/>
                <w:lang w:val="en-US"/>
              </w:rPr>
              <w:fldChar w:fldCharType="end"/>
            </w:r>
          </w:p>
        </w:tc>
      </w:tr>
      <w:tr w:rsidR="00DB7E22" w:rsidRPr="00370A32" w14:paraId="080BC88C" w14:textId="77777777" w:rsidTr="00DB323B">
        <w:tc>
          <w:tcPr>
            <w:tcW w:w="4111" w:type="dxa"/>
          </w:tcPr>
          <w:p w14:paraId="45482BB6"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Sensitivity of diagnostic test (</w:t>
            </w:r>
            <m:oMath>
              <m:r>
                <w:rPr>
                  <w:rFonts w:ascii="Cambria Math" w:hAnsi="Cambria Math" w:cs="Arial"/>
                  <w:sz w:val="15"/>
                  <w:szCs w:val="15"/>
                  <w:lang w:val="en-US"/>
                </w:rPr>
                <m:t>ψ</m:t>
              </m:r>
            </m:oMath>
            <w:r w:rsidRPr="00370A32">
              <w:rPr>
                <w:rFonts w:ascii="Arial" w:hAnsi="Arial" w:cs="Arial"/>
                <w:sz w:val="15"/>
                <w:szCs w:val="15"/>
                <w:lang w:val="en-US"/>
              </w:rPr>
              <w:t>)</w:t>
            </w:r>
          </w:p>
        </w:tc>
        <w:tc>
          <w:tcPr>
            <w:tcW w:w="3849" w:type="dxa"/>
          </w:tcPr>
          <w:p w14:paraId="7CC1BAAF"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0.70</w:t>
            </w:r>
          </w:p>
        </w:tc>
        <w:tc>
          <w:tcPr>
            <w:tcW w:w="1050" w:type="dxa"/>
          </w:tcPr>
          <w:p w14:paraId="2F23B60C" w14:textId="774FDF3E" w:rsidR="00DB7E22" w:rsidRPr="00370A32" w:rsidRDefault="00370A32" w:rsidP="00370A32">
            <w:pPr>
              <w:spacing w:line="288" w:lineRule="auto"/>
              <w:rPr>
                <w:rFonts w:ascii="Arial" w:hAnsi="Arial" w:cs="Arial"/>
                <w:sz w:val="15"/>
                <w:szCs w:val="15"/>
              </w:rPr>
            </w:pPr>
            <w:r w:rsidRPr="00370A32">
              <w:rPr>
                <w:rFonts w:ascii="Arial" w:hAnsi="Arial" w:cs="Arial"/>
                <w:sz w:val="15"/>
                <w:szCs w:val="15"/>
                <w:lang w:val="en-US"/>
              </w:rPr>
              <w:t>Merckx et al., 2017</w:t>
            </w:r>
            <w:r w:rsidR="00DB7E22" w:rsidRPr="00370A32">
              <w:rPr>
                <w:rFonts w:ascii="Arial" w:hAnsi="Arial" w:cs="Arial"/>
                <w:sz w:val="15"/>
                <w:szCs w:val="15"/>
                <w:lang w:val="en-US"/>
              </w:rPr>
              <w:fldChar w:fldCharType="begin"/>
            </w:r>
            <w:r w:rsidR="002B0C95">
              <w:rPr>
                <w:rFonts w:ascii="Arial" w:hAnsi="Arial" w:cs="Arial"/>
                <w:sz w:val="15"/>
                <w:szCs w:val="15"/>
                <w:lang w:val="en-US"/>
              </w:rPr>
              <w:instrText xml:space="preserve"> ADDIN ZOTERO_ITEM CSL_CITATION {"citationID":"a1q9ent1vdn","properties":{"formattedCitation":"\\super 35\\nosupersub{}","plainCitation":"35","noteIndex":0},"citationItems":[{"id":177,"uris":["http://zotero.org/users/local/0pdZPGmr/items/WU8BFN3C"],"itemData":{"id":177,"type":"article-journal","abstract":"Background: Rapid and accurate influenza diagnostics can improve patient care. Purpose: To summarize and compare accuracy of traditional rapid influenza diagnostic tests (RIDTs), digital immunoassays (DIAs), and rapid nucleic acid amplification tests (NAATs) in children and adults with suspected influenza. Data Sources: 6 databases from their inception through May 2017. Study Selection: Studies in English, French, or Spanish comparing commercialized rapid tests (that is, providing results in &lt;30 minutes) with reverse transcriptase polymerase chain reaction reference standard for influenza diagnosis. Data Extraction: Data were extracted using a standardized form; quality was assessed using QUADAS-2 (Quality Assessment of Diagnostic Accuracy Studies 2) criteria. Data Synthesis: 162 studies were included (130 of RIDTs, 19 of DIAs, and 13 of NAATs). Pooled sensitivities for detecting influenza A from Bayesian bivariate random-effects models were 54.4% (95% credible interval [CrI], 48.9% to 59.8%) for RIDTs, 80.0% (CrI, 73.4% to 85.6%) for DIAs, and 91.6% (CrI, 84.9% to 95.9%) for NAATs. Those for detecting influenza B were 53.2% (CrI, 41.7% to 64.4%) for RIDTs, 76.8% (CrI, 65.4% to 85.4%) for DIAs, and 95.4% (CrI, 87.3% to 98.7%) for NAATs. Pooled specificities were uniformly high (&gt;98%). Forty-six influenza A and 24 influenza B studies presented pediatric-specific data; 35 influenza A and 16 influenza B studies presented adult-specific data. Pooled sensitivities were higher in children by 12.1 to 31.8 percentage points, except for influenza A by rapid NAATs (2.7 percentage points). Pooled sensitivities favored industry-sponsored studies by 6.2 to 34.0 percentage points. Incomplete reporting frequently led to unclear risk of bias. Limitations: Underreporting of clinical variables limited exploration of heterogeneity. Few NAAT studies reported adult-specific data, and none evaluated point-of-care testing. Many studies had unclear risk of bias. Conclusion: Novel DIAs and rapid NAATs had markedly higher sensitivities for influenza A and B in both children and adults than did traditional RIDTs, with equally high specificities. Primary Funding Source: Québec Health Research Fund and BD Diagnostic Systems.","container-title":"Annals of Internal Medicine","DOI":"10.7326/M17-0848","ISSN":"0003-4819","issue":"6","journalAbbreviation":"Ann Intern Med","note":"publisher: American College of Physicians","page":"394-409","title":"Diagnostic Accuracy of Novel and Traditional Rapid Tests for Influenza Infection Compared With Reverse Transcriptase Polymerase Chain Reaction","volume":"167","author":[{"family":"Merckx","given":"Joanna"},{"family":"Wali","given":"Rehab"},{"family":"Schiller","given":"Ian"},{"family":"Caya","given":"Chelsea"},{"family":"Gore","given":"Genevieve C."},{"family":"Chartrand","given":"Caroline"},{"family":"Dendukuri","given":"Nandini"},{"family":"Papenburg","given":"Jesse"}],"issued":{"date-parts":[["2017",9,19]]}}}],"schema":"https://github.com/citation-style-language/schema/raw/master/csl-citation.json"} </w:instrText>
            </w:r>
            <w:r w:rsidR="00DB7E22" w:rsidRPr="00370A32">
              <w:rPr>
                <w:rFonts w:ascii="Arial" w:hAnsi="Arial" w:cs="Arial"/>
                <w:sz w:val="15"/>
                <w:szCs w:val="15"/>
                <w:lang w:val="en-US"/>
              </w:rPr>
              <w:fldChar w:fldCharType="separate"/>
            </w:r>
            <w:r w:rsidR="002B0C95" w:rsidRPr="002B0C95">
              <w:rPr>
                <w:rFonts w:ascii="Arial" w:hAnsi="Arial" w:cs="Arial"/>
                <w:sz w:val="15"/>
                <w:vertAlign w:val="superscript"/>
                <w:lang w:val="en-US"/>
              </w:rPr>
              <w:t>35</w:t>
            </w:r>
            <w:r w:rsidR="00DB7E22" w:rsidRPr="00370A32">
              <w:rPr>
                <w:rFonts w:ascii="Arial" w:hAnsi="Arial" w:cs="Arial"/>
                <w:sz w:val="15"/>
                <w:szCs w:val="15"/>
                <w:lang w:val="en-US"/>
              </w:rPr>
              <w:fldChar w:fldCharType="end"/>
            </w:r>
          </w:p>
        </w:tc>
      </w:tr>
      <w:tr w:rsidR="00DB7E22" w:rsidRPr="00370A32" w14:paraId="5630CCBC" w14:textId="77777777" w:rsidTr="00370A32">
        <w:tc>
          <w:tcPr>
            <w:tcW w:w="4111" w:type="dxa"/>
          </w:tcPr>
          <w:p w14:paraId="471962B3"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Adherence to treatment, BXM</w:t>
            </w:r>
          </w:p>
        </w:tc>
        <w:tc>
          <w:tcPr>
            <w:tcW w:w="3849" w:type="dxa"/>
          </w:tcPr>
          <w:p w14:paraId="33EC3D94"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0.95</w:t>
            </w:r>
          </w:p>
        </w:tc>
        <w:tc>
          <w:tcPr>
            <w:tcW w:w="1050" w:type="dxa"/>
          </w:tcPr>
          <w:p w14:paraId="0903145C"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Assumed</w:t>
            </w:r>
          </w:p>
        </w:tc>
      </w:tr>
      <w:tr w:rsidR="00DB7E22" w:rsidRPr="00370A32" w14:paraId="52C340EC" w14:textId="77777777" w:rsidTr="00370A32">
        <w:tc>
          <w:tcPr>
            <w:tcW w:w="4111" w:type="dxa"/>
            <w:tcBorders>
              <w:bottom w:val="single" w:sz="4" w:space="0" w:color="auto"/>
            </w:tcBorders>
          </w:tcPr>
          <w:p w14:paraId="292B34CB"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Adherence to treatment, oseltamivir</w:t>
            </w:r>
          </w:p>
        </w:tc>
        <w:tc>
          <w:tcPr>
            <w:tcW w:w="3849" w:type="dxa"/>
            <w:tcBorders>
              <w:bottom w:val="single" w:sz="4" w:space="0" w:color="auto"/>
            </w:tcBorders>
          </w:tcPr>
          <w:p w14:paraId="79952A2E" w14:textId="77777777" w:rsidR="00DB7E22" w:rsidRPr="00370A32" w:rsidRDefault="00DB7E22" w:rsidP="00370A32">
            <w:pPr>
              <w:spacing w:line="288" w:lineRule="auto"/>
              <w:rPr>
                <w:rFonts w:ascii="Arial" w:hAnsi="Arial" w:cs="Arial"/>
                <w:sz w:val="15"/>
                <w:szCs w:val="15"/>
              </w:rPr>
            </w:pPr>
            <w:r w:rsidRPr="00370A32">
              <w:rPr>
                <w:rFonts w:ascii="Arial" w:hAnsi="Arial" w:cs="Arial"/>
                <w:sz w:val="15"/>
                <w:szCs w:val="15"/>
              </w:rPr>
              <w:t>0.65</w:t>
            </w:r>
          </w:p>
        </w:tc>
        <w:tc>
          <w:tcPr>
            <w:tcW w:w="1050" w:type="dxa"/>
            <w:tcBorders>
              <w:bottom w:val="single" w:sz="4" w:space="0" w:color="auto"/>
            </w:tcBorders>
          </w:tcPr>
          <w:p w14:paraId="6A803021" w14:textId="2E15D9C7" w:rsidR="00DB7E22" w:rsidRPr="00370A32" w:rsidRDefault="00370A32" w:rsidP="00370A32">
            <w:pPr>
              <w:spacing w:line="288" w:lineRule="auto"/>
              <w:rPr>
                <w:rFonts w:ascii="Arial" w:hAnsi="Arial" w:cs="Arial"/>
                <w:sz w:val="15"/>
                <w:szCs w:val="15"/>
              </w:rPr>
            </w:pPr>
            <w:r w:rsidRPr="00370A32">
              <w:rPr>
                <w:rFonts w:ascii="Arial" w:hAnsi="Arial" w:cs="Arial"/>
                <w:sz w:val="15"/>
                <w:szCs w:val="15"/>
                <w:lang w:val="en-US"/>
              </w:rPr>
              <w:t>Smith et al., 2016</w:t>
            </w:r>
            <w:r w:rsidR="00DB7E22" w:rsidRPr="00370A32">
              <w:rPr>
                <w:rFonts w:ascii="Arial" w:hAnsi="Arial" w:cs="Arial"/>
                <w:sz w:val="15"/>
                <w:szCs w:val="15"/>
                <w:lang w:val="en-US"/>
              </w:rPr>
              <w:fldChar w:fldCharType="begin"/>
            </w:r>
            <w:r w:rsidR="002B0C95">
              <w:rPr>
                <w:rFonts w:ascii="Arial" w:hAnsi="Arial" w:cs="Arial"/>
                <w:sz w:val="15"/>
                <w:szCs w:val="15"/>
                <w:lang w:val="en-US"/>
              </w:rPr>
              <w:instrText xml:space="preserve"> ADDIN ZOTERO_ITEM CSL_CITATION {"citationID":"a5tg9gplnq","properties":{"formattedCitation":"\\super 36\\nosupersub{}","plainCitation":"36","noteIndex":0},"citationItems":[{"id":181,"uris":["http://zotero.org/users/local/0pdZPGmr/items/UASRZYYR"],"itemData":{"id":181,"type":"article-journal","abstract":"The aim of this review was to identify factors predicting actual or intended adherence to antivirals as treatment or prophylaxis for influenza. Literature from inception to March 2015 was systematically reviewed to find studies reporting predictors of adherence to antivirals and self-reported reasons for non-adherence to antivirals. Twenty-six studies were included in the review; twenty identified through the literature search and six through other means. Of these studies, 18 assessed predictors of actual adherence to antivirals, whereas eight assessed predictors of intended adherence. The most commonly found predictor of, and self-reported reason for, non-adherence was the occurrence of side effects. Other predictors include perceptions surrounding self-efficacy, response efficacy and perceived personal consequences as well as social influences of others' experiences of taking antivirals. Predictors identified in this review can be used to help inform communications to increase adherence to antivirals in both seasonal and pandemic influenza.","container-title":"Influenza and Other Respiratory Viruses","DOI":"10.1111/irv.12406","ISSN":"1750-2640","issue":"6","journalAbbreviation":"Influenza and Other Respiratory Viruses","note":"publisher: John Wiley &amp; Sons, Ltd","page":"462-478","title":"A systematic review of factors affecting intended and actual adherence with antiviral medication as treatment or prophylaxis in seasonal and pandemic flu","volume":"10","author":[{"family":"Smith","given":"Louise E."},{"family":"D'Antoni","given":"Donatella"},{"family":"Jain","given":"Vageesh"},{"family":"Pearce","given":"Julia M."},{"family":"Weinman","given":"John"},{"family":"Rubin","given":"G. James"}],"issued":{"date-parts":[["2016",11,1]]}}}],"schema":"https://github.com/citation-style-language/schema/raw/master/csl-citation.json"} </w:instrText>
            </w:r>
            <w:r w:rsidR="00DB7E22" w:rsidRPr="00370A32">
              <w:rPr>
                <w:rFonts w:ascii="Arial" w:hAnsi="Arial" w:cs="Arial"/>
                <w:sz w:val="15"/>
                <w:szCs w:val="15"/>
                <w:lang w:val="en-US"/>
              </w:rPr>
              <w:fldChar w:fldCharType="separate"/>
            </w:r>
            <w:r w:rsidR="002B0C95" w:rsidRPr="002B0C95">
              <w:rPr>
                <w:rFonts w:ascii="Arial" w:hAnsi="Arial" w:cs="Arial"/>
                <w:sz w:val="15"/>
                <w:vertAlign w:val="superscript"/>
                <w:lang w:val="en-US"/>
              </w:rPr>
              <w:t>36</w:t>
            </w:r>
            <w:r w:rsidR="00DB7E22" w:rsidRPr="00370A32">
              <w:rPr>
                <w:rFonts w:ascii="Arial" w:hAnsi="Arial" w:cs="Arial"/>
                <w:sz w:val="15"/>
                <w:szCs w:val="15"/>
                <w:lang w:val="en-US"/>
              </w:rPr>
              <w:fldChar w:fldCharType="end"/>
            </w:r>
          </w:p>
        </w:tc>
      </w:tr>
    </w:tbl>
    <w:p w14:paraId="2E32BEC4" w14:textId="2190B5CA" w:rsidR="002851F2" w:rsidRPr="00257ABA" w:rsidRDefault="002851F2">
      <w:pPr>
        <w:rPr>
          <w:b/>
        </w:rPr>
      </w:pPr>
    </w:p>
    <w:p w14:paraId="2D982AC3" w14:textId="41AD4698" w:rsidR="00370A32" w:rsidRDefault="00370A32"/>
    <w:p w14:paraId="768CBC0B" w14:textId="77777777" w:rsidR="00370A32" w:rsidRPr="001C66B2" w:rsidRDefault="00370A32" w:rsidP="00370A32">
      <w:r w:rsidRPr="001C66B2">
        <w:rPr>
          <w:b/>
        </w:rPr>
        <w:lastRenderedPageBreak/>
        <w:t>Table S</w:t>
      </w:r>
      <w:r>
        <w:rPr>
          <w:b/>
        </w:rPr>
        <w:t>2</w:t>
      </w:r>
      <w:r w:rsidRPr="001C66B2">
        <w:rPr>
          <w:b/>
        </w:rPr>
        <w:t xml:space="preserve">. </w:t>
      </w:r>
      <w:r>
        <w:rPr>
          <w:b/>
          <w:lang w:val="en-US"/>
        </w:rPr>
        <w:t>Mean</w:t>
      </w:r>
      <w:r w:rsidRPr="001C66B2">
        <w:rPr>
          <w:b/>
          <w:lang w:val="en-US"/>
        </w:rPr>
        <w:t xml:space="preserve"> deaths averted by test-and-treat with oral antivirals</w:t>
      </w:r>
      <w:r>
        <w:rPr>
          <w:b/>
          <w:lang w:val="en-US"/>
        </w:rPr>
        <w:t xml:space="preserve"> (baloxavir marboxil (BXM) or oseltamivir (OSL), and the corresponding antiviral and rapid testing demand</w:t>
      </w:r>
      <w:r w:rsidRPr="001C66B2">
        <w:rPr>
          <w:b/>
          <w:lang w:val="en-US"/>
        </w:rPr>
        <w:t xml:space="preserve"> in 186 countries under idealized assumptions</w:t>
      </w:r>
      <w:r>
        <w:rPr>
          <w:b/>
          <w:lang w:val="en-US"/>
        </w:rPr>
        <w:t xml:space="preserve">. </w:t>
      </w:r>
      <w:r>
        <w:rPr>
          <w:lang w:val="en-US"/>
        </w:rPr>
        <w:t xml:space="preserve"> [Supplementary file]</w:t>
      </w:r>
    </w:p>
    <w:p w14:paraId="2F7A0133" w14:textId="77777777" w:rsidR="00370A32" w:rsidRDefault="00370A32"/>
    <w:p w14:paraId="3E0D846B" w14:textId="4DAAD41D" w:rsidR="005B5593" w:rsidRPr="00F04787" w:rsidRDefault="004A43D9">
      <w:r w:rsidRPr="00F04787">
        <w:br w:type="page"/>
      </w:r>
    </w:p>
    <w:p w14:paraId="7F05D335" w14:textId="6C24AAA5" w:rsidR="00B06761" w:rsidRPr="00F04787" w:rsidRDefault="00B06761" w:rsidP="00D1473C">
      <w:pPr>
        <w:pStyle w:val="Heading1"/>
        <w:rPr>
          <w:rFonts w:eastAsiaTheme="minorEastAsia"/>
        </w:rPr>
      </w:pPr>
      <w:bookmarkStart w:id="10" w:name="_Toc189816105"/>
      <w:r w:rsidRPr="00F04787">
        <w:lastRenderedPageBreak/>
        <w:t>References</w:t>
      </w:r>
      <w:bookmarkEnd w:id="10"/>
    </w:p>
    <w:p w14:paraId="75862469" w14:textId="77777777" w:rsidR="002B0C95" w:rsidRPr="002B0C95" w:rsidRDefault="0051044D" w:rsidP="002B0C95">
      <w:pPr>
        <w:pStyle w:val="Bibliography"/>
        <w:rPr>
          <w:sz w:val="20"/>
          <w:lang w:val="en-US"/>
        </w:rPr>
      </w:pPr>
      <w:r w:rsidRPr="00F04787">
        <w:rPr>
          <w:lang w:val="en-US"/>
        </w:rPr>
        <w:t xml:space="preserve"> </w:t>
      </w:r>
      <w:r w:rsidR="00F04E1F" w:rsidRPr="00F04787">
        <w:rPr>
          <w:lang w:val="en-US"/>
        </w:rPr>
        <w:fldChar w:fldCharType="begin"/>
      </w:r>
      <w:r w:rsidR="00370A32">
        <w:rPr>
          <w:lang w:val="en-US"/>
        </w:rPr>
        <w:instrText xml:space="preserve"> ADDIN ZOTERO_BIBL {"uncited":[],"omitted":[],"custom":[]} CSL_BIBLIOGRAPHY </w:instrText>
      </w:r>
      <w:r w:rsidR="00F04E1F" w:rsidRPr="00F04787">
        <w:rPr>
          <w:lang w:val="en-US"/>
        </w:rPr>
        <w:fldChar w:fldCharType="separate"/>
      </w:r>
      <w:r w:rsidR="002B0C95" w:rsidRPr="002B0C95">
        <w:rPr>
          <w:sz w:val="20"/>
          <w:lang w:val="en-US"/>
        </w:rPr>
        <w:t>1</w:t>
      </w:r>
      <w:r w:rsidR="002B0C95" w:rsidRPr="002B0C95">
        <w:rPr>
          <w:sz w:val="20"/>
          <w:lang w:val="en-US"/>
        </w:rPr>
        <w:tab/>
        <w:t xml:space="preserve">Uehara T, Hayden FG, Kawaguchi K, </w:t>
      </w:r>
      <w:r w:rsidR="002B0C95" w:rsidRPr="002B0C95">
        <w:rPr>
          <w:i/>
          <w:iCs/>
          <w:sz w:val="20"/>
          <w:lang w:val="en-US"/>
        </w:rPr>
        <w:t>et al.</w:t>
      </w:r>
      <w:r w:rsidR="002B0C95" w:rsidRPr="002B0C95">
        <w:rPr>
          <w:sz w:val="20"/>
          <w:lang w:val="en-US"/>
        </w:rPr>
        <w:t xml:space="preserve"> Treatment-Emergent Influenza Variant Viruses With Reduced Baloxavir Susceptibility: Impact on Clinical and Virologic Outcomes in Uncomplicated Influenza. </w:t>
      </w:r>
      <w:r w:rsidR="002B0C95" w:rsidRPr="002B0C95">
        <w:rPr>
          <w:i/>
          <w:iCs/>
          <w:sz w:val="20"/>
          <w:lang w:val="en-US"/>
        </w:rPr>
        <w:t>J Infect Dis</w:t>
      </w:r>
      <w:r w:rsidR="002B0C95" w:rsidRPr="002B0C95">
        <w:rPr>
          <w:sz w:val="20"/>
          <w:lang w:val="en-US"/>
        </w:rPr>
        <w:t xml:space="preserve"> 2020; </w:t>
      </w:r>
      <w:r w:rsidR="002B0C95" w:rsidRPr="002B0C95">
        <w:rPr>
          <w:b/>
          <w:bCs/>
          <w:sz w:val="20"/>
          <w:lang w:val="en-US"/>
        </w:rPr>
        <w:t>221</w:t>
      </w:r>
      <w:r w:rsidR="002B0C95" w:rsidRPr="002B0C95">
        <w:rPr>
          <w:sz w:val="20"/>
          <w:lang w:val="en-US"/>
        </w:rPr>
        <w:t>: 346–55.</w:t>
      </w:r>
    </w:p>
    <w:p w14:paraId="362FD5E4" w14:textId="77777777" w:rsidR="002B0C95" w:rsidRPr="002B0C95" w:rsidRDefault="002B0C95" w:rsidP="002B0C95">
      <w:pPr>
        <w:pStyle w:val="Bibliography"/>
        <w:rPr>
          <w:sz w:val="20"/>
          <w:lang w:val="en-US"/>
        </w:rPr>
      </w:pPr>
      <w:r w:rsidRPr="002B0C95">
        <w:rPr>
          <w:sz w:val="20"/>
          <w:lang w:val="en-US"/>
        </w:rPr>
        <w:t>2</w:t>
      </w:r>
      <w:r w:rsidRPr="002B0C95">
        <w:rPr>
          <w:sz w:val="20"/>
          <w:lang w:val="en-US"/>
        </w:rPr>
        <w:tab/>
        <w:t xml:space="preserve">Hayden Frederick G., Sugaya Norio, Hirotsu Nobuo, </w:t>
      </w:r>
      <w:r w:rsidRPr="002B0C95">
        <w:rPr>
          <w:i/>
          <w:iCs/>
          <w:sz w:val="20"/>
          <w:lang w:val="en-US"/>
        </w:rPr>
        <w:t>et al.</w:t>
      </w:r>
      <w:r w:rsidRPr="002B0C95">
        <w:rPr>
          <w:sz w:val="20"/>
          <w:lang w:val="en-US"/>
        </w:rPr>
        <w:t xml:space="preserve"> Baloxavir Marboxil for Uncomplicated Influenza in Adults and Adolescents. </w:t>
      </w:r>
      <w:r w:rsidRPr="002B0C95">
        <w:rPr>
          <w:i/>
          <w:iCs/>
          <w:sz w:val="20"/>
          <w:lang w:val="en-US"/>
        </w:rPr>
        <w:t>N Engl J Med</w:t>
      </w:r>
      <w:r w:rsidRPr="002B0C95">
        <w:rPr>
          <w:sz w:val="20"/>
          <w:lang w:val="en-US"/>
        </w:rPr>
        <w:t xml:space="preserve"> 2018; </w:t>
      </w:r>
      <w:r w:rsidRPr="002B0C95">
        <w:rPr>
          <w:b/>
          <w:bCs/>
          <w:sz w:val="20"/>
          <w:lang w:val="en-US"/>
        </w:rPr>
        <w:t>379</w:t>
      </w:r>
      <w:r w:rsidRPr="002B0C95">
        <w:rPr>
          <w:sz w:val="20"/>
          <w:lang w:val="en-US"/>
        </w:rPr>
        <w:t>: 913–23.</w:t>
      </w:r>
    </w:p>
    <w:p w14:paraId="642D6E82" w14:textId="77777777" w:rsidR="002B0C95" w:rsidRPr="002B0C95" w:rsidRDefault="002B0C95" w:rsidP="002B0C95">
      <w:pPr>
        <w:pStyle w:val="Bibliography"/>
        <w:rPr>
          <w:sz w:val="20"/>
          <w:lang w:val="en-US"/>
        </w:rPr>
      </w:pPr>
      <w:r w:rsidRPr="002B0C95">
        <w:rPr>
          <w:sz w:val="20"/>
          <w:lang w:val="en-US"/>
        </w:rPr>
        <w:t>3</w:t>
      </w:r>
      <w:r w:rsidRPr="002B0C95">
        <w:rPr>
          <w:sz w:val="20"/>
          <w:lang w:val="en-US"/>
        </w:rPr>
        <w:tab/>
        <w:t xml:space="preserve">Lessler J, Reich NG, Brookmeyer R, Perl TM, Nelson KE, Cummings DA. Incubation periods of acute respiratory viral infections: a systematic review. </w:t>
      </w:r>
      <w:r w:rsidRPr="002B0C95">
        <w:rPr>
          <w:i/>
          <w:iCs/>
          <w:sz w:val="20"/>
          <w:lang w:val="en-US"/>
        </w:rPr>
        <w:t>Lancet Infect Dis</w:t>
      </w:r>
      <w:r w:rsidRPr="002B0C95">
        <w:rPr>
          <w:sz w:val="20"/>
          <w:lang w:val="en-US"/>
        </w:rPr>
        <w:t xml:space="preserve"> 2009; </w:t>
      </w:r>
      <w:r w:rsidRPr="002B0C95">
        <w:rPr>
          <w:b/>
          <w:bCs/>
          <w:sz w:val="20"/>
          <w:lang w:val="en-US"/>
        </w:rPr>
        <w:t>9</w:t>
      </w:r>
      <w:r w:rsidRPr="002B0C95">
        <w:rPr>
          <w:sz w:val="20"/>
          <w:lang w:val="en-US"/>
        </w:rPr>
        <w:t>: 291–300.</w:t>
      </w:r>
    </w:p>
    <w:p w14:paraId="3DF55388" w14:textId="77777777" w:rsidR="002B0C95" w:rsidRPr="002B0C95" w:rsidRDefault="002B0C95" w:rsidP="002B0C95">
      <w:pPr>
        <w:pStyle w:val="Bibliography"/>
        <w:rPr>
          <w:sz w:val="20"/>
          <w:lang w:val="en-US"/>
        </w:rPr>
      </w:pPr>
      <w:r w:rsidRPr="002B0C95">
        <w:rPr>
          <w:sz w:val="20"/>
          <w:lang w:val="en-US"/>
        </w:rPr>
        <w:t>4</w:t>
      </w:r>
      <w:r w:rsidRPr="002B0C95">
        <w:rPr>
          <w:sz w:val="20"/>
          <w:lang w:val="en-US"/>
        </w:rPr>
        <w:tab/>
        <w:t xml:space="preserve">Handel A, Longini IM Jr, Antia R. Neuraminidase Inhibitor Resistance in Influenza: Assessing the Danger of Its Generation and Spread. </w:t>
      </w:r>
      <w:r w:rsidRPr="002B0C95">
        <w:rPr>
          <w:i/>
          <w:iCs/>
          <w:sz w:val="20"/>
          <w:lang w:val="en-US"/>
        </w:rPr>
        <w:t>PLOS Comput Biol</w:t>
      </w:r>
      <w:r w:rsidRPr="002B0C95">
        <w:rPr>
          <w:sz w:val="20"/>
          <w:lang w:val="en-US"/>
        </w:rPr>
        <w:t xml:space="preserve"> 2007; </w:t>
      </w:r>
      <w:r w:rsidRPr="002B0C95">
        <w:rPr>
          <w:b/>
          <w:bCs/>
          <w:sz w:val="20"/>
          <w:lang w:val="en-US"/>
        </w:rPr>
        <w:t>3</w:t>
      </w:r>
      <w:r w:rsidRPr="002B0C95">
        <w:rPr>
          <w:sz w:val="20"/>
          <w:lang w:val="en-US"/>
        </w:rPr>
        <w:t>: e240.</w:t>
      </w:r>
    </w:p>
    <w:p w14:paraId="07926E3D" w14:textId="77777777" w:rsidR="002B0C95" w:rsidRPr="002B0C95" w:rsidRDefault="002B0C95" w:rsidP="002B0C95">
      <w:pPr>
        <w:pStyle w:val="Bibliography"/>
        <w:rPr>
          <w:sz w:val="20"/>
          <w:lang w:val="en-US"/>
        </w:rPr>
      </w:pPr>
      <w:r w:rsidRPr="002B0C95">
        <w:rPr>
          <w:sz w:val="20"/>
          <w:lang w:val="en-US"/>
        </w:rPr>
        <w:t>5</w:t>
      </w:r>
      <w:r w:rsidRPr="002B0C95">
        <w:rPr>
          <w:sz w:val="20"/>
          <w:lang w:val="en-US"/>
        </w:rPr>
        <w:tab/>
        <w:t xml:space="preserve">Handel A, Rohani P. Crossing the scale from within-host infection dynamics to between-host transmission fitness: a discussion of current assumptions and knowledge. </w:t>
      </w:r>
      <w:r w:rsidRPr="002B0C95">
        <w:rPr>
          <w:i/>
          <w:iCs/>
          <w:sz w:val="20"/>
          <w:lang w:val="en-US"/>
        </w:rPr>
        <w:t>Philos Trans R Soc B Biol Sci</w:t>
      </w:r>
      <w:r w:rsidRPr="002B0C95">
        <w:rPr>
          <w:sz w:val="20"/>
          <w:lang w:val="en-US"/>
        </w:rPr>
        <w:t xml:space="preserve"> 2015; </w:t>
      </w:r>
      <w:r w:rsidRPr="002B0C95">
        <w:rPr>
          <w:b/>
          <w:bCs/>
          <w:sz w:val="20"/>
          <w:lang w:val="en-US"/>
        </w:rPr>
        <w:t>370</w:t>
      </w:r>
      <w:r w:rsidRPr="002B0C95">
        <w:rPr>
          <w:sz w:val="20"/>
          <w:lang w:val="en-US"/>
        </w:rPr>
        <w:t>: 20140302.</w:t>
      </w:r>
    </w:p>
    <w:p w14:paraId="179BC7DF" w14:textId="77777777" w:rsidR="002B0C95" w:rsidRPr="002B0C95" w:rsidRDefault="002B0C95" w:rsidP="002B0C95">
      <w:pPr>
        <w:pStyle w:val="Bibliography"/>
        <w:rPr>
          <w:sz w:val="20"/>
          <w:lang w:val="en-US"/>
        </w:rPr>
      </w:pPr>
      <w:r w:rsidRPr="002B0C95">
        <w:rPr>
          <w:sz w:val="20"/>
          <w:lang w:val="en-US"/>
        </w:rPr>
        <w:t>6</w:t>
      </w:r>
      <w:r w:rsidRPr="002B0C95">
        <w:rPr>
          <w:sz w:val="20"/>
          <w:lang w:val="en-US"/>
        </w:rPr>
        <w:tab/>
        <w:t xml:space="preserve">Goyal A, Reeves DB, Cardozo-Ojeda EF, Schiffer JT, Mayer BT. Viral load and contact heterogeneity predict SARS-CoV-2 transmission and super-spreading events. </w:t>
      </w:r>
      <w:r w:rsidRPr="002B0C95">
        <w:rPr>
          <w:i/>
          <w:iCs/>
          <w:sz w:val="20"/>
          <w:lang w:val="en-US"/>
        </w:rPr>
        <w:t>eLife</w:t>
      </w:r>
      <w:r w:rsidRPr="002B0C95">
        <w:rPr>
          <w:sz w:val="20"/>
          <w:lang w:val="en-US"/>
        </w:rPr>
        <w:t xml:space="preserve"> 2021; </w:t>
      </w:r>
      <w:r w:rsidRPr="002B0C95">
        <w:rPr>
          <w:b/>
          <w:bCs/>
          <w:sz w:val="20"/>
          <w:lang w:val="en-US"/>
        </w:rPr>
        <w:t>10</w:t>
      </w:r>
      <w:r w:rsidRPr="002B0C95">
        <w:rPr>
          <w:sz w:val="20"/>
          <w:lang w:val="en-US"/>
        </w:rPr>
        <w:t>: e63537.</w:t>
      </w:r>
    </w:p>
    <w:p w14:paraId="4E4F61D8" w14:textId="77777777" w:rsidR="002B0C95" w:rsidRPr="002B0C95" w:rsidRDefault="002B0C95" w:rsidP="002B0C95">
      <w:pPr>
        <w:pStyle w:val="Bibliography"/>
        <w:rPr>
          <w:sz w:val="20"/>
          <w:lang w:val="en-US"/>
        </w:rPr>
      </w:pPr>
      <w:r w:rsidRPr="002B0C95">
        <w:rPr>
          <w:sz w:val="20"/>
          <w:lang w:val="en-US"/>
        </w:rPr>
        <w:t>7</w:t>
      </w:r>
      <w:r w:rsidRPr="002B0C95">
        <w:rPr>
          <w:sz w:val="20"/>
          <w:lang w:val="en-US"/>
        </w:rPr>
        <w:tab/>
        <w:t xml:space="preserve">Marc A, Kerioui M, Blanquart F, </w:t>
      </w:r>
      <w:r w:rsidRPr="002B0C95">
        <w:rPr>
          <w:i/>
          <w:iCs/>
          <w:sz w:val="20"/>
          <w:lang w:val="en-US"/>
        </w:rPr>
        <w:t>et al.</w:t>
      </w:r>
      <w:r w:rsidRPr="002B0C95">
        <w:rPr>
          <w:sz w:val="20"/>
          <w:lang w:val="en-US"/>
        </w:rPr>
        <w:t xml:space="preserve"> Quantifying the relationship between SARS-CoV-2 viral load and infectiousness. </w:t>
      </w:r>
      <w:r w:rsidRPr="002B0C95">
        <w:rPr>
          <w:i/>
          <w:iCs/>
          <w:sz w:val="20"/>
          <w:lang w:val="en-US"/>
        </w:rPr>
        <w:t>eLife</w:t>
      </w:r>
      <w:r w:rsidRPr="002B0C95">
        <w:rPr>
          <w:sz w:val="20"/>
          <w:lang w:val="en-US"/>
        </w:rPr>
        <w:t xml:space="preserve"> 2021; </w:t>
      </w:r>
      <w:r w:rsidRPr="002B0C95">
        <w:rPr>
          <w:b/>
          <w:bCs/>
          <w:sz w:val="20"/>
          <w:lang w:val="en-US"/>
        </w:rPr>
        <w:t>10</w:t>
      </w:r>
      <w:r w:rsidRPr="002B0C95">
        <w:rPr>
          <w:sz w:val="20"/>
          <w:lang w:val="en-US"/>
        </w:rPr>
        <w:t>: e69302.</w:t>
      </w:r>
    </w:p>
    <w:p w14:paraId="56697F46" w14:textId="77777777" w:rsidR="002B0C95" w:rsidRPr="002B0C95" w:rsidRDefault="002B0C95" w:rsidP="002B0C95">
      <w:pPr>
        <w:pStyle w:val="Bibliography"/>
        <w:rPr>
          <w:sz w:val="20"/>
          <w:lang w:val="en-US"/>
        </w:rPr>
      </w:pPr>
      <w:r w:rsidRPr="002B0C95">
        <w:rPr>
          <w:sz w:val="20"/>
          <w:lang w:val="en-US"/>
        </w:rPr>
        <w:t>8</w:t>
      </w:r>
      <w:r w:rsidRPr="002B0C95">
        <w:rPr>
          <w:sz w:val="20"/>
          <w:lang w:val="en-US"/>
        </w:rPr>
        <w:tab/>
        <w:t xml:space="preserve">Lange A, Ferguson NM. Antigenic Diversity, Transmission Mechanisms, and the Evolution of Pathogens. </w:t>
      </w:r>
      <w:r w:rsidRPr="002B0C95">
        <w:rPr>
          <w:i/>
          <w:iCs/>
          <w:sz w:val="20"/>
          <w:lang w:val="en-US"/>
        </w:rPr>
        <w:t>PLOS Comput Biol</w:t>
      </w:r>
      <w:r w:rsidRPr="002B0C95">
        <w:rPr>
          <w:sz w:val="20"/>
          <w:lang w:val="en-US"/>
        </w:rPr>
        <w:t xml:space="preserve"> 2009; </w:t>
      </w:r>
      <w:r w:rsidRPr="002B0C95">
        <w:rPr>
          <w:b/>
          <w:bCs/>
          <w:sz w:val="20"/>
          <w:lang w:val="en-US"/>
        </w:rPr>
        <w:t>5</w:t>
      </w:r>
      <w:r w:rsidRPr="002B0C95">
        <w:rPr>
          <w:sz w:val="20"/>
          <w:lang w:val="en-US"/>
        </w:rPr>
        <w:t>: e1000536.</w:t>
      </w:r>
    </w:p>
    <w:p w14:paraId="2844782C" w14:textId="77777777" w:rsidR="002B0C95" w:rsidRPr="002B0C95" w:rsidRDefault="002B0C95" w:rsidP="002B0C95">
      <w:pPr>
        <w:pStyle w:val="Bibliography"/>
        <w:rPr>
          <w:sz w:val="20"/>
          <w:lang w:val="en-US"/>
        </w:rPr>
      </w:pPr>
      <w:r w:rsidRPr="002B0C95">
        <w:rPr>
          <w:sz w:val="20"/>
          <w:lang w:val="en-US"/>
        </w:rPr>
        <w:t>9</w:t>
      </w:r>
      <w:r w:rsidRPr="002B0C95">
        <w:rPr>
          <w:sz w:val="20"/>
          <w:lang w:val="en-US"/>
        </w:rPr>
        <w:tab/>
        <w:t>Cowling BJ. Phase III CENTERSTONE trial of single-dose baloxavir marboxil for the reduction of transmission of influenza in households. 2024; published online Sept 29. https://medically.roche.com/content/dam/pdmahub/restricted/infectious-disease/options-xii-2024/Options-XII-2024-presentation-monto-phase-III-CENTERSTONE-study-of-single-dose.pdf.</w:t>
      </w:r>
    </w:p>
    <w:p w14:paraId="65C2FE5B" w14:textId="77777777" w:rsidR="002B0C95" w:rsidRPr="002B0C95" w:rsidRDefault="002B0C95" w:rsidP="002B0C95">
      <w:pPr>
        <w:pStyle w:val="Bibliography"/>
        <w:rPr>
          <w:sz w:val="20"/>
          <w:lang w:val="en-US"/>
        </w:rPr>
      </w:pPr>
      <w:r w:rsidRPr="002B0C95">
        <w:rPr>
          <w:sz w:val="20"/>
          <w:lang w:val="en-US"/>
        </w:rPr>
        <w:t>10</w:t>
      </w:r>
      <w:r w:rsidRPr="002B0C95">
        <w:rPr>
          <w:sz w:val="20"/>
          <w:lang w:val="en-US"/>
        </w:rPr>
        <w:tab/>
        <w:t xml:space="preserve">Checkmahomed L, M’hamdi Z, Carbonneau J, </w:t>
      </w:r>
      <w:r w:rsidRPr="002B0C95">
        <w:rPr>
          <w:i/>
          <w:iCs/>
          <w:sz w:val="20"/>
          <w:lang w:val="en-US"/>
        </w:rPr>
        <w:t>et al.</w:t>
      </w:r>
      <w:r w:rsidRPr="002B0C95">
        <w:rPr>
          <w:sz w:val="20"/>
          <w:lang w:val="en-US"/>
        </w:rPr>
        <w:t xml:space="preserve"> Impact of the Baloxavir-Resistant Polymerase Acid I38T Substitution on the Fitness of Contemporary Influenza A(H1N1)pdm09 and A(H3N2) Strains. </w:t>
      </w:r>
      <w:r w:rsidRPr="002B0C95">
        <w:rPr>
          <w:i/>
          <w:iCs/>
          <w:sz w:val="20"/>
          <w:lang w:val="en-US"/>
        </w:rPr>
        <w:t>J Infect Dis</w:t>
      </w:r>
      <w:r w:rsidRPr="002B0C95">
        <w:rPr>
          <w:sz w:val="20"/>
          <w:lang w:val="en-US"/>
        </w:rPr>
        <w:t xml:space="preserve"> 2020; </w:t>
      </w:r>
      <w:r w:rsidRPr="002B0C95">
        <w:rPr>
          <w:b/>
          <w:bCs/>
          <w:sz w:val="20"/>
          <w:lang w:val="en-US"/>
        </w:rPr>
        <w:t>221</w:t>
      </w:r>
      <w:r w:rsidRPr="002B0C95">
        <w:rPr>
          <w:sz w:val="20"/>
          <w:lang w:val="en-US"/>
        </w:rPr>
        <w:t>: 63–70.</w:t>
      </w:r>
    </w:p>
    <w:p w14:paraId="04A4E91D" w14:textId="77777777" w:rsidR="002B0C95" w:rsidRPr="002B0C95" w:rsidRDefault="002B0C95" w:rsidP="002B0C95">
      <w:pPr>
        <w:pStyle w:val="Bibliography"/>
        <w:rPr>
          <w:sz w:val="20"/>
          <w:lang w:val="en-US"/>
        </w:rPr>
      </w:pPr>
      <w:r w:rsidRPr="002B0C95">
        <w:rPr>
          <w:sz w:val="20"/>
          <w:lang w:val="en-US"/>
        </w:rPr>
        <w:t>11</w:t>
      </w:r>
      <w:r w:rsidRPr="002B0C95">
        <w:rPr>
          <w:sz w:val="20"/>
          <w:lang w:val="en-US"/>
        </w:rPr>
        <w:tab/>
        <w:t xml:space="preserve">Jones JC, Zagribelnyy B, Pascua PNQ, </w:t>
      </w:r>
      <w:r w:rsidRPr="002B0C95">
        <w:rPr>
          <w:i/>
          <w:iCs/>
          <w:sz w:val="20"/>
          <w:lang w:val="en-US"/>
        </w:rPr>
        <w:t>et al.</w:t>
      </w:r>
      <w:r w:rsidRPr="002B0C95">
        <w:rPr>
          <w:sz w:val="20"/>
          <w:lang w:val="en-US"/>
        </w:rPr>
        <w:t xml:space="preserve"> Influenza A virus polymerase acidic protein E23G/K substitutions weaken key baloxavir drug-binding contacts with minimal impact on replication and transmission. </w:t>
      </w:r>
      <w:r w:rsidRPr="002B0C95">
        <w:rPr>
          <w:i/>
          <w:iCs/>
          <w:sz w:val="20"/>
          <w:lang w:val="en-US"/>
        </w:rPr>
        <w:t>PLOS Pathog</w:t>
      </w:r>
      <w:r w:rsidRPr="002B0C95">
        <w:rPr>
          <w:sz w:val="20"/>
          <w:lang w:val="en-US"/>
        </w:rPr>
        <w:t xml:space="preserve"> 2022; </w:t>
      </w:r>
      <w:r w:rsidRPr="002B0C95">
        <w:rPr>
          <w:b/>
          <w:bCs/>
          <w:sz w:val="20"/>
          <w:lang w:val="en-US"/>
        </w:rPr>
        <w:t>18</w:t>
      </w:r>
      <w:r w:rsidRPr="002B0C95">
        <w:rPr>
          <w:sz w:val="20"/>
          <w:lang w:val="en-US"/>
        </w:rPr>
        <w:t>: e1010698.</w:t>
      </w:r>
    </w:p>
    <w:p w14:paraId="458FC145" w14:textId="77777777" w:rsidR="002B0C95" w:rsidRPr="002B0C95" w:rsidRDefault="002B0C95" w:rsidP="002B0C95">
      <w:pPr>
        <w:pStyle w:val="Bibliography"/>
        <w:rPr>
          <w:sz w:val="20"/>
          <w:lang w:val="en-US"/>
        </w:rPr>
      </w:pPr>
      <w:r w:rsidRPr="002B0C95">
        <w:rPr>
          <w:sz w:val="20"/>
          <w:lang w:val="en-US"/>
        </w:rPr>
        <w:t>12</w:t>
      </w:r>
      <w:r w:rsidRPr="002B0C95">
        <w:rPr>
          <w:sz w:val="20"/>
          <w:lang w:val="en-US"/>
        </w:rPr>
        <w:tab/>
        <w:t xml:space="preserve">Hickerson Brady T., Petrovskaya Svetlana N., Dickensheets Harold, Donnelly Raymond P., Ince William L., Ilyushina Natalia A. Impact of Baloxavir Resistance-Associated Substitutions on Influenza Virus Growth and Drug Susceptibility. </w:t>
      </w:r>
      <w:r w:rsidRPr="002B0C95">
        <w:rPr>
          <w:i/>
          <w:iCs/>
          <w:sz w:val="20"/>
          <w:lang w:val="en-US"/>
        </w:rPr>
        <w:t>J Virol</w:t>
      </w:r>
      <w:r w:rsidRPr="002B0C95">
        <w:rPr>
          <w:sz w:val="20"/>
          <w:lang w:val="en-US"/>
        </w:rPr>
        <w:t xml:space="preserve"> 2023; </w:t>
      </w:r>
      <w:r w:rsidRPr="002B0C95">
        <w:rPr>
          <w:b/>
          <w:bCs/>
          <w:sz w:val="20"/>
          <w:lang w:val="en-US"/>
        </w:rPr>
        <w:t>97</w:t>
      </w:r>
      <w:r w:rsidRPr="002B0C95">
        <w:rPr>
          <w:sz w:val="20"/>
          <w:lang w:val="en-US"/>
        </w:rPr>
        <w:t>: e00154-23.</w:t>
      </w:r>
    </w:p>
    <w:p w14:paraId="36F655B3" w14:textId="77777777" w:rsidR="002B0C95" w:rsidRPr="002B0C95" w:rsidRDefault="002B0C95" w:rsidP="002B0C95">
      <w:pPr>
        <w:pStyle w:val="Bibliography"/>
        <w:rPr>
          <w:sz w:val="20"/>
          <w:lang w:val="en-US"/>
        </w:rPr>
      </w:pPr>
      <w:r w:rsidRPr="002B0C95">
        <w:rPr>
          <w:sz w:val="20"/>
          <w:lang w:val="en-US"/>
        </w:rPr>
        <w:t>13</w:t>
      </w:r>
      <w:r w:rsidRPr="002B0C95">
        <w:rPr>
          <w:sz w:val="20"/>
          <w:lang w:val="en-US"/>
        </w:rPr>
        <w:tab/>
        <w:t xml:space="preserve">Morris DH, Petrova VN, Rossine FW, </w:t>
      </w:r>
      <w:r w:rsidRPr="002B0C95">
        <w:rPr>
          <w:i/>
          <w:iCs/>
          <w:sz w:val="20"/>
          <w:lang w:val="en-US"/>
        </w:rPr>
        <w:t>et al.</w:t>
      </w:r>
      <w:r w:rsidRPr="002B0C95">
        <w:rPr>
          <w:sz w:val="20"/>
          <w:lang w:val="en-US"/>
        </w:rPr>
        <w:t xml:space="preserve"> Asynchrony between virus diversity and antibody selection limits influenza virus evolution. </w:t>
      </w:r>
      <w:r w:rsidRPr="002B0C95">
        <w:rPr>
          <w:i/>
          <w:iCs/>
          <w:sz w:val="20"/>
          <w:lang w:val="en-US"/>
        </w:rPr>
        <w:t>eLife</w:t>
      </w:r>
      <w:r w:rsidRPr="002B0C95">
        <w:rPr>
          <w:sz w:val="20"/>
          <w:lang w:val="en-US"/>
        </w:rPr>
        <w:t xml:space="preserve"> 2020; </w:t>
      </w:r>
      <w:r w:rsidRPr="002B0C95">
        <w:rPr>
          <w:b/>
          <w:bCs/>
          <w:sz w:val="20"/>
          <w:lang w:val="en-US"/>
        </w:rPr>
        <w:t>9</w:t>
      </w:r>
      <w:r w:rsidRPr="002B0C95">
        <w:rPr>
          <w:sz w:val="20"/>
          <w:lang w:val="en-US"/>
        </w:rPr>
        <w:t>: e62105.</w:t>
      </w:r>
    </w:p>
    <w:p w14:paraId="23428181" w14:textId="77777777" w:rsidR="002B0C95" w:rsidRPr="002B0C95" w:rsidRDefault="002B0C95" w:rsidP="002B0C95">
      <w:pPr>
        <w:pStyle w:val="Bibliography"/>
        <w:rPr>
          <w:sz w:val="20"/>
          <w:lang w:val="en-US"/>
        </w:rPr>
      </w:pPr>
      <w:r w:rsidRPr="002B0C95">
        <w:rPr>
          <w:sz w:val="20"/>
          <w:lang w:val="en-US"/>
        </w:rPr>
        <w:t>14</w:t>
      </w:r>
      <w:r w:rsidRPr="002B0C95">
        <w:rPr>
          <w:sz w:val="20"/>
          <w:lang w:val="en-US"/>
        </w:rPr>
        <w:tab/>
        <w:t xml:space="preserve">Prem K, Cook AR, Jit M. Projecting social contact matrices in 152 countries using contact surveys and demographic data. </w:t>
      </w:r>
      <w:r w:rsidRPr="002B0C95">
        <w:rPr>
          <w:i/>
          <w:iCs/>
          <w:sz w:val="20"/>
          <w:lang w:val="en-US"/>
        </w:rPr>
        <w:t>PLOS Comput Biol</w:t>
      </w:r>
      <w:r w:rsidRPr="002B0C95">
        <w:rPr>
          <w:sz w:val="20"/>
          <w:lang w:val="en-US"/>
        </w:rPr>
        <w:t xml:space="preserve"> 2017; </w:t>
      </w:r>
      <w:r w:rsidRPr="002B0C95">
        <w:rPr>
          <w:b/>
          <w:bCs/>
          <w:sz w:val="20"/>
          <w:lang w:val="en-US"/>
        </w:rPr>
        <w:t>13</w:t>
      </w:r>
      <w:r w:rsidRPr="002B0C95">
        <w:rPr>
          <w:sz w:val="20"/>
          <w:lang w:val="en-US"/>
        </w:rPr>
        <w:t>: e1005697.</w:t>
      </w:r>
    </w:p>
    <w:p w14:paraId="496F04A9" w14:textId="77777777" w:rsidR="002B0C95" w:rsidRPr="002B0C95" w:rsidRDefault="002B0C95" w:rsidP="002B0C95">
      <w:pPr>
        <w:pStyle w:val="Bibliography"/>
        <w:rPr>
          <w:sz w:val="20"/>
          <w:lang w:val="en-US"/>
        </w:rPr>
      </w:pPr>
      <w:r w:rsidRPr="002B0C95">
        <w:rPr>
          <w:sz w:val="20"/>
          <w:lang w:val="en-US"/>
        </w:rPr>
        <w:t>15</w:t>
      </w:r>
      <w:r w:rsidRPr="002B0C95">
        <w:rPr>
          <w:sz w:val="20"/>
          <w:lang w:val="en-US"/>
        </w:rPr>
        <w:tab/>
        <w:t xml:space="preserve">Prem K, Zandvoort K van, Klepac P, </w:t>
      </w:r>
      <w:r w:rsidRPr="002B0C95">
        <w:rPr>
          <w:i/>
          <w:iCs/>
          <w:sz w:val="20"/>
          <w:lang w:val="en-US"/>
        </w:rPr>
        <w:t>et al.</w:t>
      </w:r>
      <w:r w:rsidRPr="002B0C95">
        <w:rPr>
          <w:sz w:val="20"/>
          <w:lang w:val="en-US"/>
        </w:rPr>
        <w:t xml:space="preserve"> Projecting contact matrices in 177 geographical regions: An update and comparison with empirical data for the COVID-19 era. </w:t>
      </w:r>
      <w:r w:rsidRPr="002B0C95">
        <w:rPr>
          <w:i/>
          <w:iCs/>
          <w:sz w:val="20"/>
          <w:lang w:val="en-US"/>
        </w:rPr>
        <w:t>PLOS Comput Biol</w:t>
      </w:r>
      <w:r w:rsidRPr="002B0C95">
        <w:rPr>
          <w:sz w:val="20"/>
          <w:lang w:val="en-US"/>
        </w:rPr>
        <w:t xml:space="preserve"> 2021; </w:t>
      </w:r>
      <w:r w:rsidRPr="002B0C95">
        <w:rPr>
          <w:b/>
          <w:bCs/>
          <w:sz w:val="20"/>
          <w:lang w:val="en-US"/>
        </w:rPr>
        <w:t>17</w:t>
      </w:r>
      <w:r w:rsidRPr="002B0C95">
        <w:rPr>
          <w:sz w:val="20"/>
          <w:lang w:val="en-US"/>
        </w:rPr>
        <w:t>: e1009098.</w:t>
      </w:r>
    </w:p>
    <w:p w14:paraId="43129638" w14:textId="77777777" w:rsidR="002B0C95" w:rsidRPr="002B0C95" w:rsidRDefault="002B0C95" w:rsidP="002B0C95">
      <w:pPr>
        <w:pStyle w:val="Bibliography"/>
        <w:rPr>
          <w:sz w:val="20"/>
          <w:lang w:val="en-US"/>
        </w:rPr>
      </w:pPr>
      <w:r w:rsidRPr="002B0C95">
        <w:rPr>
          <w:sz w:val="20"/>
          <w:lang w:val="en-US"/>
        </w:rPr>
        <w:t>16</w:t>
      </w:r>
      <w:r w:rsidRPr="002B0C95">
        <w:rPr>
          <w:sz w:val="20"/>
          <w:lang w:val="en-US"/>
        </w:rPr>
        <w:tab/>
        <w:t xml:space="preserve">Brugger J, Althaus CL. Transmission of and susceptibility to seasonal influenza in Switzerland from 2003 to 2015. </w:t>
      </w:r>
      <w:r w:rsidRPr="002B0C95">
        <w:rPr>
          <w:i/>
          <w:iCs/>
          <w:sz w:val="20"/>
          <w:lang w:val="en-US"/>
        </w:rPr>
        <w:t>Epidemics</w:t>
      </w:r>
      <w:r w:rsidRPr="002B0C95">
        <w:rPr>
          <w:sz w:val="20"/>
          <w:lang w:val="en-US"/>
        </w:rPr>
        <w:t xml:space="preserve"> 2020; </w:t>
      </w:r>
      <w:r w:rsidRPr="002B0C95">
        <w:rPr>
          <w:b/>
          <w:bCs/>
          <w:sz w:val="20"/>
          <w:lang w:val="en-US"/>
        </w:rPr>
        <w:t>30</w:t>
      </w:r>
      <w:r w:rsidRPr="002B0C95">
        <w:rPr>
          <w:sz w:val="20"/>
          <w:lang w:val="en-US"/>
        </w:rPr>
        <w:t>: 100373.</w:t>
      </w:r>
    </w:p>
    <w:p w14:paraId="3B19BF7B" w14:textId="77777777" w:rsidR="002B0C95" w:rsidRPr="002B0C95" w:rsidRDefault="002B0C95" w:rsidP="002B0C95">
      <w:pPr>
        <w:pStyle w:val="Bibliography"/>
        <w:rPr>
          <w:sz w:val="20"/>
          <w:lang w:val="en-US"/>
        </w:rPr>
      </w:pPr>
      <w:r w:rsidRPr="002B0C95">
        <w:rPr>
          <w:sz w:val="20"/>
          <w:lang w:val="en-US"/>
        </w:rPr>
        <w:t>17</w:t>
      </w:r>
      <w:r w:rsidRPr="002B0C95">
        <w:rPr>
          <w:sz w:val="20"/>
          <w:lang w:val="en-US"/>
        </w:rPr>
        <w:tab/>
        <w:t xml:space="preserve">Cauchemez Simon, Donnelly Christl A., Reed Carrie, </w:t>
      </w:r>
      <w:r w:rsidRPr="002B0C95">
        <w:rPr>
          <w:i/>
          <w:iCs/>
          <w:sz w:val="20"/>
          <w:lang w:val="en-US"/>
        </w:rPr>
        <w:t>et al.</w:t>
      </w:r>
      <w:r w:rsidRPr="002B0C95">
        <w:rPr>
          <w:sz w:val="20"/>
          <w:lang w:val="en-US"/>
        </w:rPr>
        <w:t xml:space="preserve"> Household Transmission of 2009 Pandemic Influenza A (H1N1) Virus in the United States. </w:t>
      </w:r>
      <w:r w:rsidRPr="002B0C95">
        <w:rPr>
          <w:i/>
          <w:iCs/>
          <w:sz w:val="20"/>
          <w:lang w:val="en-US"/>
        </w:rPr>
        <w:t>N Engl J Med</w:t>
      </w:r>
      <w:r w:rsidRPr="002B0C95">
        <w:rPr>
          <w:sz w:val="20"/>
          <w:lang w:val="en-US"/>
        </w:rPr>
        <w:t xml:space="preserve"> 2009; </w:t>
      </w:r>
      <w:r w:rsidRPr="002B0C95">
        <w:rPr>
          <w:b/>
          <w:bCs/>
          <w:sz w:val="20"/>
          <w:lang w:val="en-US"/>
        </w:rPr>
        <w:t>361</w:t>
      </w:r>
      <w:r w:rsidRPr="002B0C95">
        <w:rPr>
          <w:sz w:val="20"/>
          <w:lang w:val="en-US"/>
        </w:rPr>
        <w:t>: 2619–27.</w:t>
      </w:r>
    </w:p>
    <w:p w14:paraId="65D3A30E" w14:textId="77777777" w:rsidR="002B0C95" w:rsidRPr="002B0C95" w:rsidRDefault="002B0C95" w:rsidP="002B0C95">
      <w:pPr>
        <w:pStyle w:val="Bibliography"/>
        <w:rPr>
          <w:sz w:val="20"/>
          <w:lang w:val="en-US"/>
        </w:rPr>
      </w:pPr>
      <w:r w:rsidRPr="002B0C95">
        <w:rPr>
          <w:sz w:val="20"/>
          <w:lang w:val="en-US"/>
        </w:rPr>
        <w:lastRenderedPageBreak/>
        <w:t>18</w:t>
      </w:r>
      <w:r w:rsidRPr="002B0C95">
        <w:rPr>
          <w:sz w:val="20"/>
          <w:lang w:val="en-US"/>
        </w:rPr>
        <w:tab/>
        <w:t xml:space="preserve">Zhang J, Litvinova M, Liang Y, </w:t>
      </w:r>
      <w:r w:rsidRPr="002B0C95">
        <w:rPr>
          <w:i/>
          <w:iCs/>
          <w:sz w:val="20"/>
          <w:lang w:val="en-US"/>
        </w:rPr>
        <w:t>et al.</w:t>
      </w:r>
      <w:r w:rsidRPr="002B0C95">
        <w:rPr>
          <w:sz w:val="20"/>
          <w:lang w:val="en-US"/>
        </w:rPr>
        <w:t xml:space="preserve"> Changes in contact patterns shape the dynamics of the COVID-19 outbreak in China. </w:t>
      </w:r>
      <w:r w:rsidRPr="002B0C95">
        <w:rPr>
          <w:i/>
          <w:iCs/>
          <w:sz w:val="20"/>
          <w:lang w:val="en-US"/>
        </w:rPr>
        <w:t>Science</w:t>
      </w:r>
      <w:r w:rsidRPr="002B0C95">
        <w:rPr>
          <w:sz w:val="20"/>
          <w:lang w:val="en-US"/>
        </w:rPr>
        <w:t xml:space="preserve"> 2020; </w:t>
      </w:r>
      <w:r w:rsidRPr="002B0C95">
        <w:rPr>
          <w:b/>
          <w:bCs/>
          <w:sz w:val="20"/>
          <w:lang w:val="en-US"/>
        </w:rPr>
        <w:t>368</w:t>
      </w:r>
      <w:r w:rsidRPr="002B0C95">
        <w:rPr>
          <w:sz w:val="20"/>
          <w:lang w:val="en-US"/>
        </w:rPr>
        <w:t>: 1481–6.</w:t>
      </w:r>
    </w:p>
    <w:p w14:paraId="032333F8" w14:textId="77777777" w:rsidR="002B0C95" w:rsidRPr="002B0C95" w:rsidRDefault="002B0C95" w:rsidP="002B0C95">
      <w:pPr>
        <w:pStyle w:val="Bibliography"/>
        <w:rPr>
          <w:sz w:val="20"/>
          <w:lang w:val="en-US"/>
        </w:rPr>
      </w:pPr>
      <w:r w:rsidRPr="002B0C95">
        <w:rPr>
          <w:sz w:val="20"/>
          <w:lang w:val="en-US"/>
        </w:rPr>
        <w:t>19</w:t>
      </w:r>
      <w:r w:rsidRPr="002B0C95">
        <w:rPr>
          <w:sz w:val="20"/>
          <w:lang w:val="en-US"/>
        </w:rPr>
        <w:tab/>
        <w:t xml:space="preserve">Oliver Eales, James M. McCaw, Freya M. Shearer. Challenges in the case-based surveillance of infectious diseases. </w:t>
      </w:r>
      <w:r w:rsidRPr="002B0C95">
        <w:rPr>
          <w:i/>
          <w:iCs/>
          <w:sz w:val="20"/>
          <w:lang w:val="en-US"/>
        </w:rPr>
        <w:t>medRxiv</w:t>
      </w:r>
      <w:r w:rsidRPr="002B0C95">
        <w:rPr>
          <w:sz w:val="20"/>
          <w:lang w:val="en-US"/>
        </w:rPr>
        <w:t xml:space="preserve"> 2023; : 2023.12.19.23300224.</w:t>
      </w:r>
    </w:p>
    <w:p w14:paraId="788D6970" w14:textId="77777777" w:rsidR="002B0C95" w:rsidRPr="002B0C95" w:rsidRDefault="002B0C95" w:rsidP="002B0C95">
      <w:pPr>
        <w:pStyle w:val="Bibliography"/>
        <w:rPr>
          <w:sz w:val="20"/>
          <w:lang w:val="en-US"/>
        </w:rPr>
      </w:pPr>
      <w:r w:rsidRPr="002B0C95">
        <w:rPr>
          <w:sz w:val="20"/>
          <w:lang w:val="en-US"/>
        </w:rPr>
        <w:t>20</w:t>
      </w:r>
      <w:r w:rsidRPr="002B0C95">
        <w:rPr>
          <w:sz w:val="20"/>
          <w:lang w:val="en-US"/>
        </w:rPr>
        <w:tab/>
        <w:t xml:space="preserve">Leung NHL, Xu C, Ip DKM, Cowling BJ. Review Article: The Fraction of Influenza Virus Infections That Are Asymptomatic: A Systematic Review and Meta-analysis. </w:t>
      </w:r>
      <w:r w:rsidRPr="002B0C95">
        <w:rPr>
          <w:i/>
          <w:iCs/>
          <w:sz w:val="20"/>
          <w:lang w:val="en-US"/>
        </w:rPr>
        <w:t>Epidemiology</w:t>
      </w:r>
      <w:r w:rsidRPr="002B0C95">
        <w:rPr>
          <w:sz w:val="20"/>
          <w:lang w:val="en-US"/>
        </w:rPr>
        <w:t xml:space="preserve"> 2015; </w:t>
      </w:r>
      <w:r w:rsidRPr="002B0C95">
        <w:rPr>
          <w:b/>
          <w:bCs/>
          <w:sz w:val="20"/>
          <w:lang w:val="en-US"/>
        </w:rPr>
        <w:t>26</w:t>
      </w:r>
      <w:r w:rsidRPr="002B0C95">
        <w:rPr>
          <w:sz w:val="20"/>
          <w:lang w:val="en-US"/>
        </w:rPr>
        <w:t>. https://journals.lww.com/epidem/fulltext/2015/11000/review_article__the_fraction_of_influenza_virus.13.aspx.</w:t>
      </w:r>
    </w:p>
    <w:p w14:paraId="6412DE4E" w14:textId="77777777" w:rsidR="002B0C95" w:rsidRPr="002B0C95" w:rsidRDefault="002B0C95" w:rsidP="002B0C95">
      <w:pPr>
        <w:pStyle w:val="Bibliography"/>
        <w:rPr>
          <w:sz w:val="20"/>
          <w:lang w:val="en-US"/>
        </w:rPr>
      </w:pPr>
      <w:r w:rsidRPr="002B0C95">
        <w:rPr>
          <w:sz w:val="20"/>
          <w:lang w:val="en-US"/>
        </w:rPr>
        <w:t>21</w:t>
      </w:r>
      <w:r w:rsidRPr="002B0C95">
        <w:rPr>
          <w:sz w:val="20"/>
          <w:lang w:val="en-US"/>
        </w:rPr>
        <w:tab/>
        <w:t xml:space="preserve">Ikematsu Hideyuki, Hayden Frederick G., Kawaguchi Keiko, </w:t>
      </w:r>
      <w:r w:rsidRPr="002B0C95">
        <w:rPr>
          <w:i/>
          <w:iCs/>
          <w:sz w:val="20"/>
          <w:lang w:val="en-US"/>
        </w:rPr>
        <w:t>et al.</w:t>
      </w:r>
      <w:r w:rsidRPr="002B0C95">
        <w:rPr>
          <w:sz w:val="20"/>
          <w:lang w:val="en-US"/>
        </w:rPr>
        <w:t xml:space="preserve"> Baloxavir Marboxil for Prophylaxis against Influenza in Household Contacts. </w:t>
      </w:r>
      <w:r w:rsidRPr="002B0C95">
        <w:rPr>
          <w:i/>
          <w:iCs/>
          <w:sz w:val="20"/>
          <w:lang w:val="en-US"/>
        </w:rPr>
        <w:t>N Engl J Med</w:t>
      </w:r>
      <w:r w:rsidRPr="002B0C95">
        <w:rPr>
          <w:sz w:val="20"/>
          <w:lang w:val="en-US"/>
        </w:rPr>
        <w:t xml:space="preserve"> 2020; </w:t>
      </w:r>
      <w:r w:rsidRPr="002B0C95">
        <w:rPr>
          <w:b/>
          <w:bCs/>
          <w:sz w:val="20"/>
          <w:lang w:val="en-US"/>
        </w:rPr>
        <w:t>383</w:t>
      </w:r>
      <w:r w:rsidRPr="002B0C95">
        <w:rPr>
          <w:sz w:val="20"/>
          <w:lang w:val="en-US"/>
        </w:rPr>
        <w:t>: 309–20.</w:t>
      </w:r>
    </w:p>
    <w:p w14:paraId="42E74767" w14:textId="77777777" w:rsidR="002B0C95" w:rsidRPr="002B0C95" w:rsidRDefault="002B0C95" w:rsidP="002B0C95">
      <w:pPr>
        <w:pStyle w:val="Bibliography"/>
        <w:rPr>
          <w:sz w:val="20"/>
          <w:lang w:val="en-US"/>
        </w:rPr>
      </w:pPr>
      <w:r w:rsidRPr="002B0C95">
        <w:rPr>
          <w:sz w:val="20"/>
          <w:lang w:val="en-US"/>
        </w:rPr>
        <w:t>22</w:t>
      </w:r>
      <w:r w:rsidRPr="002B0C95">
        <w:rPr>
          <w:sz w:val="20"/>
          <w:lang w:val="en-US"/>
        </w:rPr>
        <w:tab/>
        <w:t xml:space="preserve">Zhao Y, Gao Y, Guyatt G, </w:t>
      </w:r>
      <w:r w:rsidRPr="002B0C95">
        <w:rPr>
          <w:i/>
          <w:iCs/>
          <w:sz w:val="20"/>
          <w:lang w:val="en-US"/>
        </w:rPr>
        <w:t>et al.</w:t>
      </w:r>
      <w:r w:rsidRPr="002B0C95">
        <w:rPr>
          <w:sz w:val="20"/>
          <w:lang w:val="en-US"/>
        </w:rPr>
        <w:t xml:space="preserve"> Antivirals for post-exposure prophylaxis of influenza: a systematic review and network meta-analysis. </w:t>
      </w:r>
      <w:r w:rsidRPr="002B0C95">
        <w:rPr>
          <w:i/>
          <w:iCs/>
          <w:sz w:val="20"/>
          <w:lang w:val="en-US"/>
        </w:rPr>
        <w:t>The Lancet</w:t>
      </w:r>
      <w:r w:rsidRPr="002B0C95">
        <w:rPr>
          <w:sz w:val="20"/>
          <w:lang w:val="en-US"/>
        </w:rPr>
        <w:t xml:space="preserve"> 2024; </w:t>
      </w:r>
      <w:r w:rsidRPr="002B0C95">
        <w:rPr>
          <w:b/>
          <w:bCs/>
          <w:sz w:val="20"/>
          <w:lang w:val="en-US"/>
        </w:rPr>
        <w:t>404</w:t>
      </w:r>
      <w:r w:rsidRPr="002B0C95">
        <w:rPr>
          <w:sz w:val="20"/>
          <w:lang w:val="en-US"/>
        </w:rPr>
        <w:t>: 764–72.</w:t>
      </w:r>
    </w:p>
    <w:p w14:paraId="3DAB17EE" w14:textId="77777777" w:rsidR="002B0C95" w:rsidRPr="002B0C95" w:rsidRDefault="002B0C95" w:rsidP="002B0C95">
      <w:pPr>
        <w:pStyle w:val="Bibliography"/>
        <w:rPr>
          <w:sz w:val="20"/>
          <w:lang w:val="en-US"/>
        </w:rPr>
      </w:pPr>
      <w:r w:rsidRPr="002B0C95">
        <w:rPr>
          <w:sz w:val="20"/>
          <w:lang w:val="en-US"/>
        </w:rPr>
        <w:t>23</w:t>
      </w:r>
      <w:r w:rsidRPr="002B0C95">
        <w:rPr>
          <w:sz w:val="20"/>
          <w:lang w:val="en-US"/>
        </w:rPr>
        <w:tab/>
        <w:t xml:space="preserve">Scarabel F, Pellis L, Ogden NH, Wu J. A renewal equation model to assess roles and limitations of contact tracing for disease outbreak control. </w:t>
      </w:r>
      <w:r w:rsidRPr="002B0C95">
        <w:rPr>
          <w:i/>
          <w:iCs/>
          <w:sz w:val="20"/>
          <w:lang w:val="en-US"/>
        </w:rPr>
        <w:t>R Soc Open Sci</w:t>
      </w:r>
      <w:r w:rsidRPr="002B0C95">
        <w:rPr>
          <w:sz w:val="20"/>
          <w:lang w:val="en-US"/>
        </w:rPr>
        <w:t xml:space="preserve"> 2021; </w:t>
      </w:r>
      <w:r w:rsidRPr="002B0C95">
        <w:rPr>
          <w:b/>
          <w:bCs/>
          <w:sz w:val="20"/>
          <w:lang w:val="en-US"/>
        </w:rPr>
        <w:t>8</w:t>
      </w:r>
      <w:r w:rsidRPr="002B0C95">
        <w:rPr>
          <w:sz w:val="20"/>
          <w:lang w:val="en-US"/>
        </w:rPr>
        <w:t>: 202091.</w:t>
      </w:r>
    </w:p>
    <w:p w14:paraId="67C1D34F" w14:textId="77777777" w:rsidR="002B0C95" w:rsidRPr="002B0C95" w:rsidRDefault="002B0C95" w:rsidP="002B0C95">
      <w:pPr>
        <w:pStyle w:val="Bibliography"/>
        <w:rPr>
          <w:sz w:val="20"/>
          <w:lang w:val="en-US"/>
        </w:rPr>
      </w:pPr>
      <w:r w:rsidRPr="002B0C95">
        <w:rPr>
          <w:sz w:val="20"/>
          <w:lang w:val="en-US"/>
        </w:rPr>
        <w:t>24</w:t>
      </w:r>
      <w:r w:rsidRPr="002B0C95">
        <w:rPr>
          <w:sz w:val="20"/>
          <w:lang w:val="en-US"/>
        </w:rPr>
        <w:tab/>
        <w:t>United Nations. World Population Prospects. 2024. https://population.un.org/wpp/ (accessed Jan 6, 2025).</w:t>
      </w:r>
    </w:p>
    <w:p w14:paraId="11D47357" w14:textId="77777777" w:rsidR="002B0C95" w:rsidRPr="002B0C95" w:rsidRDefault="002B0C95" w:rsidP="002B0C95">
      <w:pPr>
        <w:pStyle w:val="Bibliography"/>
        <w:rPr>
          <w:sz w:val="20"/>
          <w:lang w:val="en-US"/>
        </w:rPr>
      </w:pPr>
      <w:r w:rsidRPr="002B0C95">
        <w:rPr>
          <w:sz w:val="20"/>
          <w:lang w:val="en-US"/>
        </w:rPr>
        <w:t>25</w:t>
      </w:r>
      <w:r w:rsidRPr="002B0C95">
        <w:rPr>
          <w:sz w:val="20"/>
          <w:lang w:val="en-US"/>
        </w:rPr>
        <w:tab/>
        <w:t xml:space="preserve">Andrew Gelman, Aleks Jakulin, Maria Grazia Pittau, Yu-Sung Su. A weakly informative default prior distribution for logistic and other regression models. </w:t>
      </w:r>
      <w:r w:rsidRPr="002B0C95">
        <w:rPr>
          <w:i/>
          <w:iCs/>
          <w:sz w:val="20"/>
          <w:lang w:val="en-US"/>
        </w:rPr>
        <w:t>Ann Appl Stat</w:t>
      </w:r>
      <w:r w:rsidRPr="002B0C95">
        <w:rPr>
          <w:sz w:val="20"/>
          <w:lang w:val="en-US"/>
        </w:rPr>
        <w:t xml:space="preserve"> 2008; </w:t>
      </w:r>
      <w:r w:rsidRPr="002B0C95">
        <w:rPr>
          <w:b/>
          <w:bCs/>
          <w:sz w:val="20"/>
          <w:lang w:val="en-US"/>
        </w:rPr>
        <w:t>2</w:t>
      </w:r>
      <w:r w:rsidRPr="002B0C95">
        <w:rPr>
          <w:sz w:val="20"/>
          <w:lang w:val="en-US"/>
        </w:rPr>
        <w:t>: 1360–83.</w:t>
      </w:r>
    </w:p>
    <w:p w14:paraId="1E598AD4" w14:textId="77777777" w:rsidR="002B0C95" w:rsidRPr="002B0C95" w:rsidRDefault="002B0C95" w:rsidP="002B0C95">
      <w:pPr>
        <w:pStyle w:val="Bibliography"/>
        <w:rPr>
          <w:sz w:val="20"/>
          <w:lang w:val="en-US"/>
        </w:rPr>
      </w:pPr>
      <w:r w:rsidRPr="002B0C95">
        <w:rPr>
          <w:sz w:val="20"/>
          <w:lang w:val="en-US"/>
        </w:rPr>
        <w:t>26</w:t>
      </w:r>
      <w:r w:rsidRPr="002B0C95">
        <w:rPr>
          <w:sz w:val="20"/>
          <w:lang w:val="en-US"/>
        </w:rPr>
        <w:tab/>
        <w:t xml:space="preserve">Bürkner P-C. brms: An R Package for Bayesian Multilevel Models Using Stan. </w:t>
      </w:r>
      <w:r w:rsidRPr="002B0C95">
        <w:rPr>
          <w:i/>
          <w:iCs/>
          <w:sz w:val="20"/>
          <w:lang w:val="en-US"/>
        </w:rPr>
        <w:t>J Stat Softw</w:t>
      </w:r>
      <w:r w:rsidRPr="002B0C95">
        <w:rPr>
          <w:sz w:val="20"/>
          <w:lang w:val="en-US"/>
        </w:rPr>
        <w:t xml:space="preserve"> 2017; </w:t>
      </w:r>
      <w:r w:rsidRPr="002B0C95">
        <w:rPr>
          <w:b/>
          <w:bCs/>
          <w:sz w:val="20"/>
          <w:lang w:val="en-US"/>
        </w:rPr>
        <w:t>80</w:t>
      </w:r>
      <w:r w:rsidRPr="002B0C95">
        <w:rPr>
          <w:sz w:val="20"/>
          <w:lang w:val="en-US"/>
        </w:rPr>
        <w:t>: 1–28.</w:t>
      </w:r>
    </w:p>
    <w:p w14:paraId="6C2F9FA9" w14:textId="77777777" w:rsidR="002B0C95" w:rsidRPr="002B0C95" w:rsidRDefault="002B0C95" w:rsidP="002B0C95">
      <w:pPr>
        <w:pStyle w:val="Bibliography"/>
        <w:rPr>
          <w:sz w:val="20"/>
          <w:lang w:val="en-US"/>
        </w:rPr>
      </w:pPr>
      <w:r w:rsidRPr="002B0C95">
        <w:rPr>
          <w:sz w:val="20"/>
          <w:lang w:val="en-US"/>
        </w:rPr>
        <w:t>27</w:t>
      </w:r>
      <w:r w:rsidRPr="002B0C95">
        <w:rPr>
          <w:sz w:val="20"/>
          <w:lang w:val="en-US"/>
        </w:rPr>
        <w:tab/>
        <w:t>Core Team R. R: A Language and Environment for Statistical Computing. 2024. https://www.R-project.org/.</w:t>
      </w:r>
    </w:p>
    <w:p w14:paraId="7A0CFC85" w14:textId="77777777" w:rsidR="002B0C95" w:rsidRPr="002B0C95" w:rsidRDefault="002B0C95" w:rsidP="002B0C95">
      <w:pPr>
        <w:pStyle w:val="Bibliography"/>
        <w:rPr>
          <w:sz w:val="20"/>
          <w:lang w:val="en-US"/>
        </w:rPr>
      </w:pPr>
      <w:r w:rsidRPr="002B0C95">
        <w:rPr>
          <w:sz w:val="20"/>
          <w:lang w:val="en-US"/>
        </w:rPr>
        <w:t>28</w:t>
      </w:r>
      <w:r w:rsidRPr="002B0C95">
        <w:rPr>
          <w:sz w:val="20"/>
          <w:lang w:val="en-US"/>
        </w:rPr>
        <w:tab/>
        <w:t xml:space="preserve">Du Z, Nugent C, Galvani AP, Krug RM, Meyers LA. Modeling mitigation of influenza epidemics by baloxavir. </w:t>
      </w:r>
      <w:r w:rsidRPr="002B0C95">
        <w:rPr>
          <w:i/>
          <w:iCs/>
          <w:sz w:val="20"/>
          <w:lang w:val="en-US"/>
        </w:rPr>
        <w:t>Nat Commun</w:t>
      </w:r>
      <w:r w:rsidRPr="002B0C95">
        <w:rPr>
          <w:sz w:val="20"/>
          <w:lang w:val="en-US"/>
        </w:rPr>
        <w:t xml:space="preserve"> 2020; </w:t>
      </w:r>
      <w:r w:rsidRPr="002B0C95">
        <w:rPr>
          <w:b/>
          <w:bCs/>
          <w:sz w:val="20"/>
          <w:lang w:val="en-US"/>
        </w:rPr>
        <w:t>11</w:t>
      </w:r>
      <w:r w:rsidRPr="002B0C95">
        <w:rPr>
          <w:sz w:val="20"/>
          <w:lang w:val="en-US"/>
        </w:rPr>
        <w:t>: 2750.</w:t>
      </w:r>
    </w:p>
    <w:p w14:paraId="5F406A55" w14:textId="77777777" w:rsidR="002B0C95" w:rsidRPr="002B0C95" w:rsidRDefault="002B0C95" w:rsidP="002B0C95">
      <w:pPr>
        <w:pStyle w:val="Bibliography"/>
        <w:rPr>
          <w:sz w:val="20"/>
          <w:lang w:val="en-US"/>
        </w:rPr>
      </w:pPr>
      <w:r w:rsidRPr="002B0C95">
        <w:rPr>
          <w:sz w:val="20"/>
          <w:lang w:val="en-US"/>
        </w:rPr>
        <w:t>29</w:t>
      </w:r>
      <w:r w:rsidRPr="002B0C95">
        <w:rPr>
          <w:sz w:val="20"/>
          <w:lang w:val="en-US"/>
        </w:rPr>
        <w:tab/>
        <w:t xml:space="preserve">Luk J, Gross P, Thompson WW. Observations on Mortality during the 1918 Influenza Pandemic. </w:t>
      </w:r>
      <w:r w:rsidRPr="002B0C95">
        <w:rPr>
          <w:i/>
          <w:iCs/>
          <w:sz w:val="20"/>
          <w:lang w:val="en-US"/>
        </w:rPr>
        <w:t>Clin Infect Dis</w:t>
      </w:r>
      <w:r w:rsidRPr="002B0C95">
        <w:rPr>
          <w:sz w:val="20"/>
          <w:lang w:val="en-US"/>
        </w:rPr>
        <w:t xml:space="preserve"> 2001; </w:t>
      </w:r>
      <w:r w:rsidRPr="002B0C95">
        <w:rPr>
          <w:b/>
          <w:bCs/>
          <w:sz w:val="20"/>
          <w:lang w:val="en-US"/>
        </w:rPr>
        <w:t>33</w:t>
      </w:r>
      <w:r w:rsidRPr="002B0C95">
        <w:rPr>
          <w:sz w:val="20"/>
          <w:lang w:val="en-US"/>
        </w:rPr>
        <w:t>: 1375–8.</w:t>
      </w:r>
    </w:p>
    <w:p w14:paraId="453C2DFF" w14:textId="77777777" w:rsidR="002B0C95" w:rsidRPr="002B0C95" w:rsidRDefault="002B0C95" w:rsidP="002B0C95">
      <w:pPr>
        <w:pStyle w:val="Bibliography"/>
        <w:rPr>
          <w:sz w:val="20"/>
          <w:lang w:val="en-US"/>
        </w:rPr>
      </w:pPr>
      <w:r w:rsidRPr="002B0C95">
        <w:rPr>
          <w:sz w:val="20"/>
          <w:lang w:val="en-US"/>
        </w:rPr>
        <w:t>30</w:t>
      </w:r>
      <w:r w:rsidRPr="002B0C95">
        <w:rPr>
          <w:sz w:val="20"/>
          <w:lang w:val="en-US"/>
        </w:rPr>
        <w:tab/>
        <w:t xml:space="preserve">Taubenberger J, Morens D. 1918 Influenza: the Mother of All Pandemics. </w:t>
      </w:r>
      <w:r w:rsidRPr="002B0C95">
        <w:rPr>
          <w:i/>
          <w:iCs/>
          <w:sz w:val="20"/>
          <w:lang w:val="en-US"/>
        </w:rPr>
        <w:t>Emerg Infect Dis J</w:t>
      </w:r>
      <w:r w:rsidRPr="002B0C95">
        <w:rPr>
          <w:sz w:val="20"/>
          <w:lang w:val="en-US"/>
        </w:rPr>
        <w:t xml:space="preserve"> 2006; </w:t>
      </w:r>
      <w:r w:rsidRPr="002B0C95">
        <w:rPr>
          <w:b/>
          <w:bCs/>
          <w:sz w:val="20"/>
          <w:lang w:val="en-US"/>
        </w:rPr>
        <w:t>12</w:t>
      </w:r>
      <w:r w:rsidRPr="002B0C95">
        <w:rPr>
          <w:sz w:val="20"/>
          <w:lang w:val="en-US"/>
        </w:rPr>
        <w:t>: 15.</w:t>
      </w:r>
    </w:p>
    <w:p w14:paraId="30BD77CA" w14:textId="77777777" w:rsidR="002B0C95" w:rsidRPr="002B0C95" w:rsidRDefault="002B0C95" w:rsidP="002B0C95">
      <w:pPr>
        <w:pStyle w:val="Bibliography"/>
        <w:rPr>
          <w:sz w:val="20"/>
          <w:lang w:val="en-US"/>
        </w:rPr>
      </w:pPr>
      <w:r w:rsidRPr="002B0C95">
        <w:rPr>
          <w:sz w:val="20"/>
          <w:lang w:val="en-US"/>
        </w:rPr>
        <w:t>31</w:t>
      </w:r>
      <w:r w:rsidRPr="002B0C95">
        <w:rPr>
          <w:sz w:val="20"/>
          <w:lang w:val="en-US"/>
        </w:rPr>
        <w:tab/>
        <w:t xml:space="preserve">Dawood FS, Iuliano AD, Reed C, </w:t>
      </w:r>
      <w:r w:rsidRPr="002B0C95">
        <w:rPr>
          <w:i/>
          <w:iCs/>
          <w:sz w:val="20"/>
          <w:lang w:val="en-US"/>
        </w:rPr>
        <w:t>et al.</w:t>
      </w:r>
      <w:r w:rsidRPr="002B0C95">
        <w:rPr>
          <w:sz w:val="20"/>
          <w:lang w:val="en-US"/>
        </w:rPr>
        <w:t xml:space="preserve"> Estimated global mortality associated with the first 12 months of 2009 pandemic influenza A H1N1 virus circulation: a modelling study. </w:t>
      </w:r>
      <w:r w:rsidRPr="002B0C95">
        <w:rPr>
          <w:i/>
          <w:iCs/>
          <w:sz w:val="20"/>
          <w:lang w:val="en-US"/>
        </w:rPr>
        <w:t>Lancet Infect Dis</w:t>
      </w:r>
      <w:r w:rsidRPr="002B0C95">
        <w:rPr>
          <w:sz w:val="20"/>
          <w:lang w:val="en-US"/>
        </w:rPr>
        <w:t xml:space="preserve"> 2012; </w:t>
      </w:r>
      <w:r w:rsidRPr="002B0C95">
        <w:rPr>
          <w:b/>
          <w:bCs/>
          <w:sz w:val="20"/>
          <w:lang w:val="en-US"/>
        </w:rPr>
        <w:t>12</w:t>
      </w:r>
      <w:r w:rsidRPr="002B0C95">
        <w:rPr>
          <w:sz w:val="20"/>
          <w:lang w:val="en-US"/>
        </w:rPr>
        <w:t>: 687–95.</w:t>
      </w:r>
    </w:p>
    <w:p w14:paraId="6FA9464A" w14:textId="77777777" w:rsidR="002B0C95" w:rsidRPr="002B0C95" w:rsidRDefault="002B0C95" w:rsidP="002B0C95">
      <w:pPr>
        <w:pStyle w:val="Bibliography"/>
        <w:rPr>
          <w:sz w:val="20"/>
          <w:lang w:val="en-US"/>
        </w:rPr>
      </w:pPr>
      <w:r w:rsidRPr="002B0C95">
        <w:rPr>
          <w:sz w:val="20"/>
          <w:lang w:val="en-US"/>
        </w:rPr>
        <w:t>32</w:t>
      </w:r>
      <w:r w:rsidRPr="002B0C95">
        <w:rPr>
          <w:sz w:val="20"/>
          <w:lang w:val="en-US"/>
        </w:rPr>
        <w:tab/>
        <w:t xml:space="preserve">Verity R, Okell LC, Dorigatti I, </w:t>
      </w:r>
      <w:r w:rsidRPr="002B0C95">
        <w:rPr>
          <w:i/>
          <w:iCs/>
          <w:sz w:val="20"/>
          <w:lang w:val="en-US"/>
        </w:rPr>
        <w:t>et al.</w:t>
      </w:r>
      <w:r w:rsidRPr="002B0C95">
        <w:rPr>
          <w:sz w:val="20"/>
          <w:lang w:val="en-US"/>
        </w:rPr>
        <w:t xml:space="preserve"> Estimates of the severity of coronavirus disease 2019: a model-based analysis. </w:t>
      </w:r>
      <w:r w:rsidRPr="002B0C95">
        <w:rPr>
          <w:i/>
          <w:iCs/>
          <w:sz w:val="20"/>
          <w:lang w:val="en-US"/>
        </w:rPr>
        <w:t>Lancet Infect Dis</w:t>
      </w:r>
      <w:r w:rsidRPr="002B0C95">
        <w:rPr>
          <w:sz w:val="20"/>
          <w:lang w:val="en-US"/>
        </w:rPr>
        <w:t xml:space="preserve"> 2020; </w:t>
      </w:r>
      <w:r w:rsidRPr="002B0C95">
        <w:rPr>
          <w:b/>
          <w:bCs/>
          <w:sz w:val="20"/>
          <w:lang w:val="en-US"/>
        </w:rPr>
        <w:t>20</w:t>
      </w:r>
      <w:r w:rsidRPr="002B0C95">
        <w:rPr>
          <w:sz w:val="20"/>
          <w:lang w:val="en-US"/>
        </w:rPr>
        <w:t>: 669–77.</w:t>
      </w:r>
    </w:p>
    <w:p w14:paraId="4BFA70C7" w14:textId="77777777" w:rsidR="002B0C95" w:rsidRPr="002B0C95" w:rsidRDefault="002B0C95" w:rsidP="002B0C95">
      <w:pPr>
        <w:pStyle w:val="Bibliography"/>
        <w:rPr>
          <w:sz w:val="20"/>
          <w:lang w:val="en-US"/>
        </w:rPr>
      </w:pPr>
      <w:r w:rsidRPr="002B0C95">
        <w:rPr>
          <w:sz w:val="20"/>
          <w:lang w:val="en-US"/>
        </w:rPr>
        <w:t>33</w:t>
      </w:r>
      <w:r w:rsidRPr="002B0C95">
        <w:rPr>
          <w:sz w:val="20"/>
          <w:lang w:val="en-US"/>
        </w:rPr>
        <w:tab/>
        <w:t xml:space="preserve">Biggerstaff M, Cauchemez S, Reed C, Gambhir M, Finelli L. Estimates of the reproduction number for seasonal, pandemic, and zoonotic influenza: a systematic review of the literature. </w:t>
      </w:r>
      <w:r w:rsidRPr="002B0C95">
        <w:rPr>
          <w:i/>
          <w:iCs/>
          <w:sz w:val="20"/>
          <w:lang w:val="en-US"/>
        </w:rPr>
        <w:t>BMC Infect Dis</w:t>
      </w:r>
      <w:r w:rsidRPr="002B0C95">
        <w:rPr>
          <w:sz w:val="20"/>
          <w:lang w:val="en-US"/>
        </w:rPr>
        <w:t xml:space="preserve"> 2014; </w:t>
      </w:r>
      <w:r w:rsidRPr="002B0C95">
        <w:rPr>
          <w:b/>
          <w:bCs/>
          <w:sz w:val="20"/>
          <w:lang w:val="en-US"/>
        </w:rPr>
        <w:t>14</w:t>
      </w:r>
      <w:r w:rsidRPr="002B0C95">
        <w:rPr>
          <w:sz w:val="20"/>
          <w:lang w:val="en-US"/>
        </w:rPr>
        <w:t>: 480.</w:t>
      </w:r>
    </w:p>
    <w:p w14:paraId="61C571B6" w14:textId="77777777" w:rsidR="002B0C95" w:rsidRPr="002B0C95" w:rsidRDefault="002B0C95" w:rsidP="002B0C95">
      <w:pPr>
        <w:pStyle w:val="Bibliography"/>
        <w:rPr>
          <w:sz w:val="20"/>
          <w:lang w:val="en-US"/>
        </w:rPr>
      </w:pPr>
      <w:r w:rsidRPr="002B0C95">
        <w:rPr>
          <w:sz w:val="20"/>
          <w:lang w:val="en-US"/>
        </w:rPr>
        <w:t>34</w:t>
      </w:r>
      <w:r w:rsidRPr="002B0C95">
        <w:rPr>
          <w:sz w:val="20"/>
          <w:lang w:val="en-US"/>
        </w:rPr>
        <w:tab/>
        <w:t xml:space="preserve">Zhao S, Lin Q, Ran J, </w:t>
      </w:r>
      <w:r w:rsidRPr="002B0C95">
        <w:rPr>
          <w:i/>
          <w:iCs/>
          <w:sz w:val="20"/>
          <w:lang w:val="en-US"/>
        </w:rPr>
        <w:t>et al.</w:t>
      </w:r>
      <w:r w:rsidRPr="002B0C95">
        <w:rPr>
          <w:sz w:val="20"/>
          <w:lang w:val="en-US"/>
        </w:rPr>
        <w:t xml:space="preserve"> Preliminary estimation of the basic reproduction number of novel coronavirus (2019-nCoV) in China, from 2019 to 2020: A data-driven analysis in the early phase of the outbreak. </w:t>
      </w:r>
      <w:r w:rsidRPr="002B0C95">
        <w:rPr>
          <w:i/>
          <w:iCs/>
          <w:sz w:val="20"/>
          <w:lang w:val="en-US"/>
        </w:rPr>
        <w:t>Int J Infect Dis</w:t>
      </w:r>
      <w:r w:rsidRPr="002B0C95">
        <w:rPr>
          <w:sz w:val="20"/>
          <w:lang w:val="en-US"/>
        </w:rPr>
        <w:t xml:space="preserve"> 2020; </w:t>
      </w:r>
      <w:r w:rsidRPr="002B0C95">
        <w:rPr>
          <w:b/>
          <w:bCs/>
          <w:sz w:val="20"/>
          <w:lang w:val="en-US"/>
        </w:rPr>
        <w:t>92</w:t>
      </w:r>
      <w:r w:rsidRPr="002B0C95">
        <w:rPr>
          <w:sz w:val="20"/>
          <w:lang w:val="en-US"/>
        </w:rPr>
        <w:t>: 214–7.</w:t>
      </w:r>
    </w:p>
    <w:p w14:paraId="6EA830C6" w14:textId="77777777" w:rsidR="002B0C95" w:rsidRPr="002B0C95" w:rsidRDefault="002B0C95" w:rsidP="002B0C95">
      <w:pPr>
        <w:pStyle w:val="Bibliography"/>
        <w:rPr>
          <w:sz w:val="20"/>
          <w:lang w:val="en-US"/>
        </w:rPr>
      </w:pPr>
      <w:r w:rsidRPr="002B0C95">
        <w:rPr>
          <w:sz w:val="20"/>
          <w:lang w:val="en-US"/>
        </w:rPr>
        <w:t>35</w:t>
      </w:r>
      <w:r w:rsidRPr="002B0C95">
        <w:rPr>
          <w:sz w:val="20"/>
          <w:lang w:val="en-US"/>
        </w:rPr>
        <w:tab/>
        <w:t xml:space="preserve">Merckx J, Wali R, Schiller I, </w:t>
      </w:r>
      <w:r w:rsidRPr="002B0C95">
        <w:rPr>
          <w:i/>
          <w:iCs/>
          <w:sz w:val="20"/>
          <w:lang w:val="en-US"/>
        </w:rPr>
        <w:t>et al.</w:t>
      </w:r>
      <w:r w:rsidRPr="002B0C95">
        <w:rPr>
          <w:sz w:val="20"/>
          <w:lang w:val="en-US"/>
        </w:rPr>
        <w:t xml:space="preserve"> Diagnostic Accuracy of Novel and Traditional Rapid Tests for Influenza Infection Compared With Reverse Transcriptase Polymerase Chain Reaction. </w:t>
      </w:r>
      <w:r w:rsidRPr="002B0C95">
        <w:rPr>
          <w:i/>
          <w:iCs/>
          <w:sz w:val="20"/>
          <w:lang w:val="en-US"/>
        </w:rPr>
        <w:t>Ann Intern Med</w:t>
      </w:r>
      <w:r w:rsidRPr="002B0C95">
        <w:rPr>
          <w:sz w:val="20"/>
          <w:lang w:val="en-US"/>
        </w:rPr>
        <w:t xml:space="preserve"> 2017; </w:t>
      </w:r>
      <w:r w:rsidRPr="002B0C95">
        <w:rPr>
          <w:b/>
          <w:bCs/>
          <w:sz w:val="20"/>
          <w:lang w:val="en-US"/>
        </w:rPr>
        <w:t>167</w:t>
      </w:r>
      <w:r w:rsidRPr="002B0C95">
        <w:rPr>
          <w:sz w:val="20"/>
          <w:lang w:val="en-US"/>
        </w:rPr>
        <w:t>: 394–409.</w:t>
      </w:r>
    </w:p>
    <w:p w14:paraId="45641E15" w14:textId="77777777" w:rsidR="002B0C95" w:rsidRPr="002B0C95" w:rsidRDefault="002B0C95" w:rsidP="002B0C95">
      <w:pPr>
        <w:pStyle w:val="Bibliography"/>
        <w:rPr>
          <w:sz w:val="20"/>
          <w:lang w:val="en-US"/>
        </w:rPr>
      </w:pPr>
      <w:r w:rsidRPr="002B0C95">
        <w:rPr>
          <w:sz w:val="20"/>
          <w:lang w:val="en-US"/>
        </w:rPr>
        <w:t>36</w:t>
      </w:r>
      <w:r w:rsidRPr="002B0C95">
        <w:rPr>
          <w:sz w:val="20"/>
          <w:lang w:val="en-US"/>
        </w:rPr>
        <w:tab/>
        <w:t xml:space="preserve">Smith LE, D’Antoni D, Jain V, Pearce JM, Weinman J, Rubin GJ. A systematic review of factors affecting intended and actual adherence with antiviral medication as treatment or prophylaxis in seasonal and pandemic flu. </w:t>
      </w:r>
      <w:r w:rsidRPr="002B0C95">
        <w:rPr>
          <w:i/>
          <w:iCs/>
          <w:sz w:val="20"/>
          <w:lang w:val="en-US"/>
        </w:rPr>
        <w:t>Influenza Other Respir Viruses</w:t>
      </w:r>
      <w:r w:rsidRPr="002B0C95">
        <w:rPr>
          <w:sz w:val="20"/>
          <w:lang w:val="en-US"/>
        </w:rPr>
        <w:t xml:space="preserve"> 2016; </w:t>
      </w:r>
      <w:r w:rsidRPr="002B0C95">
        <w:rPr>
          <w:b/>
          <w:bCs/>
          <w:sz w:val="20"/>
          <w:lang w:val="en-US"/>
        </w:rPr>
        <w:t>10</w:t>
      </w:r>
      <w:r w:rsidRPr="002B0C95">
        <w:rPr>
          <w:sz w:val="20"/>
          <w:lang w:val="en-US"/>
        </w:rPr>
        <w:t>: 462–78.</w:t>
      </w:r>
    </w:p>
    <w:p w14:paraId="3861DDAC" w14:textId="41D29B91" w:rsidR="0045381F" w:rsidRPr="00A446F7" w:rsidRDefault="00F04E1F" w:rsidP="00A446F7">
      <w:r w:rsidRPr="00F04787">
        <w:rPr>
          <w:rFonts w:eastAsia="Times New Roman"/>
          <w:szCs w:val="24"/>
          <w:lang w:val="en-US"/>
        </w:rPr>
        <w:lastRenderedPageBreak/>
        <w:fldChar w:fldCharType="end"/>
      </w:r>
    </w:p>
    <w:sectPr w:rsidR="0045381F" w:rsidRPr="00A446F7" w:rsidSect="00672D13">
      <w:footerReference w:type="even" r:id="rId16"/>
      <w:footerReference w:type="default" r:id="rId17"/>
      <w:pgSz w:w="11900" w:h="16840"/>
      <w:pgMar w:top="1440" w:right="1440" w:bottom="1440" w:left="1440"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693C56" w16cex:dateUtc="2025-02-06T15:14:00Z"/>
  <w16cex:commentExtensible w16cex:durableId="3BFFC1DC" w16cex:dateUtc="2025-02-06T15:37:00Z"/>
  <w16cex:commentExtensible w16cex:durableId="74882820" w16cex:dateUtc="2025-02-06T15:40:00Z"/>
  <w16cex:commentExtensible w16cex:durableId="5999E2D0" w16cex:dateUtc="2025-02-06T15:47:00Z"/>
  <w16cex:commentExtensible w16cex:durableId="69F11869" w16cex:dateUtc="2025-02-06T15:5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48944E" w14:textId="77777777" w:rsidR="00C3343E" w:rsidRDefault="00C3343E" w:rsidP="00D82297">
      <w:r>
        <w:separator/>
      </w:r>
    </w:p>
  </w:endnote>
  <w:endnote w:type="continuationSeparator" w:id="0">
    <w:p w14:paraId="3ACD4338" w14:textId="77777777" w:rsidR="00C3343E" w:rsidRDefault="00C3343E" w:rsidP="00D82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3094020"/>
      <w:docPartObj>
        <w:docPartGallery w:val="Page Numbers (Bottom of Page)"/>
        <w:docPartUnique/>
      </w:docPartObj>
    </w:sdtPr>
    <w:sdtEndPr>
      <w:rPr>
        <w:rStyle w:val="PageNumber"/>
      </w:rPr>
    </w:sdtEndPr>
    <w:sdtContent>
      <w:p w14:paraId="1E1C24C9" w14:textId="1D04B69C" w:rsidR="00257ABA" w:rsidRDefault="00257ABA" w:rsidP="00257A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CB878D" w14:textId="77777777" w:rsidR="00257ABA" w:rsidRDefault="00257ABA" w:rsidP="00D8229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38830186"/>
      <w:docPartObj>
        <w:docPartGallery w:val="Page Numbers (Bottom of Page)"/>
        <w:docPartUnique/>
      </w:docPartObj>
    </w:sdtPr>
    <w:sdtEndPr>
      <w:rPr>
        <w:rStyle w:val="PageNumber"/>
      </w:rPr>
    </w:sdtEndPr>
    <w:sdtContent>
      <w:p w14:paraId="47368F44" w14:textId="1E067FC9" w:rsidR="00257ABA" w:rsidRDefault="00257ABA" w:rsidP="00257A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7085F22" w14:textId="77777777" w:rsidR="00257ABA" w:rsidRDefault="00257ABA" w:rsidP="00D8229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A36C5F" w14:textId="77777777" w:rsidR="00C3343E" w:rsidRDefault="00C3343E" w:rsidP="00D82297">
      <w:r>
        <w:separator/>
      </w:r>
    </w:p>
  </w:footnote>
  <w:footnote w:type="continuationSeparator" w:id="0">
    <w:p w14:paraId="00889E45" w14:textId="77777777" w:rsidR="00C3343E" w:rsidRDefault="00C3343E" w:rsidP="00D822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824F93"/>
    <w:multiLevelType w:val="hybridMultilevel"/>
    <w:tmpl w:val="26A84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81F"/>
    <w:rsid w:val="0000541B"/>
    <w:rsid w:val="000073DE"/>
    <w:rsid w:val="000206A9"/>
    <w:rsid w:val="000221BB"/>
    <w:rsid w:val="00024C8D"/>
    <w:rsid w:val="00043A27"/>
    <w:rsid w:val="00052441"/>
    <w:rsid w:val="00054693"/>
    <w:rsid w:val="00060F58"/>
    <w:rsid w:val="0006411B"/>
    <w:rsid w:val="00064EFA"/>
    <w:rsid w:val="00070140"/>
    <w:rsid w:val="0007093A"/>
    <w:rsid w:val="00076EEF"/>
    <w:rsid w:val="00081F38"/>
    <w:rsid w:val="00087980"/>
    <w:rsid w:val="00091EDC"/>
    <w:rsid w:val="000B0833"/>
    <w:rsid w:val="000B3F17"/>
    <w:rsid w:val="000C153F"/>
    <w:rsid w:val="000C44DA"/>
    <w:rsid w:val="000D6702"/>
    <w:rsid w:val="000E18B6"/>
    <w:rsid w:val="000E34A0"/>
    <w:rsid w:val="000E4E2D"/>
    <w:rsid w:val="000F0030"/>
    <w:rsid w:val="00101368"/>
    <w:rsid w:val="00103F19"/>
    <w:rsid w:val="00110B72"/>
    <w:rsid w:val="00114C31"/>
    <w:rsid w:val="00115295"/>
    <w:rsid w:val="00130187"/>
    <w:rsid w:val="00130EC9"/>
    <w:rsid w:val="001318F5"/>
    <w:rsid w:val="00134B19"/>
    <w:rsid w:val="00134FF6"/>
    <w:rsid w:val="00137D74"/>
    <w:rsid w:val="0014604F"/>
    <w:rsid w:val="001507AC"/>
    <w:rsid w:val="00163FD7"/>
    <w:rsid w:val="0016535E"/>
    <w:rsid w:val="001761A1"/>
    <w:rsid w:val="00181AB2"/>
    <w:rsid w:val="001939E6"/>
    <w:rsid w:val="00194561"/>
    <w:rsid w:val="001A3B95"/>
    <w:rsid w:val="001A3D8C"/>
    <w:rsid w:val="001A5A8C"/>
    <w:rsid w:val="001A77FD"/>
    <w:rsid w:val="001B626F"/>
    <w:rsid w:val="001C1DC0"/>
    <w:rsid w:val="001C66B2"/>
    <w:rsid w:val="001F1788"/>
    <w:rsid w:val="001F7136"/>
    <w:rsid w:val="001F7CB6"/>
    <w:rsid w:val="0020120A"/>
    <w:rsid w:val="00206F66"/>
    <w:rsid w:val="00215E2C"/>
    <w:rsid w:val="00217666"/>
    <w:rsid w:val="00250B58"/>
    <w:rsid w:val="00251AB5"/>
    <w:rsid w:val="00257ABA"/>
    <w:rsid w:val="00263184"/>
    <w:rsid w:val="00263F68"/>
    <w:rsid w:val="002720DD"/>
    <w:rsid w:val="00276E94"/>
    <w:rsid w:val="0027726B"/>
    <w:rsid w:val="002824D6"/>
    <w:rsid w:val="002851F2"/>
    <w:rsid w:val="002865FF"/>
    <w:rsid w:val="00287C9F"/>
    <w:rsid w:val="002A34EA"/>
    <w:rsid w:val="002A4D31"/>
    <w:rsid w:val="002A5FC5"/>
    <w:rsid w:val="002A7D73"/>
    <w:rsid w:val="002B0C95"/>
    <w:rsid w:val="002B436B"/>
    <w:rsid w:val="002C48AA"/>
    <w:rsid w:val="002D69C7"/>
    <w:rsid w:val="002E29E8"/>
    <w:rsid w:val="002E4231"/>
    <w:rsid w:val="002E46FB"/>
    <w:rsid w:val="002F4621"/>
    <w:rsid w:val="00302547"/>
    <w:rsid w:val="003102E8"/>
    <w:rsid w:val="003112BE"/>
    <w:rsid w:val="00312DA6"/>
    <w:rsid w:val="00321444"/>
    <w:rsid w:val="00335846"/>
    <w:rsid w:val="00344915"/>
    <w:rsid w:val="00345559"/>
    <w:rsid w:val="00355A17"/>
    <w:rsid w:val="00360B28"/>
    <w:rsid w:val="0036557E"/>
    <w:rsid w:val="00367494"/>
    <w:rsid w:val="00367F02"/>
    <w:rsid w:val="00370A32"/>
    <w:rsid w:val="00370BAE"/>
    <w:rsid w:val="00370F53"/>
    <w:rsid w:val="00371D92"/>
    <w:rsid w:val="00373438"/>
    <w:rsid w:val="00382D35"/>
    <w:rsid w:val="003839DB"/>
    <w:rsid w:val="00385D20"/>
    <w:rsid w:val="00393014"/>
    <w:rsid w:val="003A1579"/>
    <w:rsid w:val="003A3CFC"/>
    <w:rsid w:val="003B5776"/>
    <w:rsid w:val="003C03FE"/>
    <w:rsid w:val="003E0246"/>
    <w:rsid w:val="003E4E4E"/>
    <w:rsid w:val="00401438"/>
    <w:rsid w:val="00402FA3"/>
    <w:rsid w:val="0043014F"/>
    <w:rsid w:val="004379B5"/>
    <w:rsid w:val="0044128B"/>
    <w:rsid w:val="004421EA"/>
    <w:rsid w:val="00444AE3"/>
    <w:rsid w:val="00445FA5"/>
    <w:rsid w:val="00450A62"/>
    <w:rsid w:val="00450F4C"/>
    <w:rsid w:val="00451795"/>
    <w:rsid w:val="0045381F"/>
    <w:rsid w:val="00455C94"/>
    <w:rsid w:val="00460BA9"/>
    <w:rsid w:val="00462193"/>
    <w:rsid w:val="00467A60"/>
    <w:rsid w:val="00476F18"/>
    <w:rsid w:val="00481AF5"/>
    <w:rsid w:val="00481DF3"/>
    <w:rsid w:val="004832E8"/>
    <w:rsid w:val="00483462"/>
    <w:rsid w:val="00485DAB"/>
    <w:rsid w:val="004A43D9"/>
    <w:rsid w:val="004A575D"/>
    <w:rsid w:val="004A657D"/>
    <w:rsid w:val="004A69FC"/>
    <w:rsid w:val="004B00BF"/>
    <w:rsid w:val="004C324A"/>
    <w:rsid w:val="004D26D0"/>
    <w:rsid w:val="004D55B6"/>
    <w:rsid w:val="004D778B"/>
    <w:rsid w:val="004E2F06"/>
    <w:rsid w:val="004E2F79"/>
    <w:rsid w:val="004F7069"/>
    <w:rsid w:val="0050665A"/>
    <w:rsid w:val="0051044D"/>
    <w:rsid w:val="00512BE6"/>
    <w:rsid w:val="005200CF"/>
    <w:rsid w:val="00521E7B"/>
    <w:rsid w:val="00535576"/>
    <w:rsid w:val="00535A1B"/>
    <w:rsid w:val="0055185F"/>
    <w:rsid w:val="00552426"/>
    <w:rsid w:val="005528F0"/>
    <w:rsid w:val="0055385D"/>
    <w:rsid w:val="00571C0A"/>
    <w:rsid w:val="00575E1A"/>
    <w:rsid w:val="00583D9A"/>
    <w:rsid w:val="005938DB"/>
    <w:rsid w:val="005A0195"/>
    <w:rsid w:val="005A1F08"/>
    <w:rsid w:val="005A7129"/>
    <w:rsid w:val="005A75E4"/>
    <w:rsid w:val="005B0C0B"/>
    <w:rsid w:val="005B5593"/>
    <w:rsid w:val="005B71F4"/>
    <w:rsid w:val="005C0A8C"/>
    <w:rsid w:val="005C3D6E"/>
    <w:rsid w:val="005C5D53"/>
    <w:rsid w:val="005E6688"/>
    <w:rsid w:val="005F3970"/>
    <w:rsid w:val="005F7E81"/>
    <w:rsid w:val="00613E45"/>
    <w:rsid w:val="0061544A"/>
    <w:rsid w:val="006158EE"/>
    <w:rsid w:val="0061685F"/>
    <w:rsid w:val="006265E6"/>
    <w:rsid w:val="00636B99"/>
    <w:rsid w:val="006407FC"/>
    <w:rsid w:val="00643B1A"/>
    <w:rsid w:val="00655679"/>
    <w:rsid w:val="0066170D"/>
    <w:rsid w:val="00664F5C"/>
    <w:rsid w:val="00665C8F"/>
    <w:rsid w:val="006662E3"/>
    <w:rsid w:val="0066702B"/>
    <w:rsid w:val="00672D13"/>
    <w:rsid w:val="00673DCF"/>
    <w:rsid w:val="00674060"/>
    <w:rsid w:val="006810A3"/>
    <w:rsid w:val="006810C3"/>
    <w:rsid w:val="00682CB2"/>
    <w:rsid w:val="006848AD"/>
    <w:rsid w:val="00686163"/>
    <w:rsid w:val="006920CC"/>
    <w:rsid w:val="006933F4"/>
    <w:rsid w:val="006A36B4"/>
    <w:rsid w:val="006A783A"/>
    <w:rsid w:val="006B329D"/>
    <w:rsid w:val="006B39C0"/>
    <w:rsid w:val="006B3EE9"/>
    <w:rsid w:val="006C75E9"/>
    <w:rsid w:val="006C7CC5"/>
    <w:rsid w:val="006D3FBB"/>
    <w:rsid w:val="006E43E6"/>
    <w:rsid w:val="006F76EC"/>
    <w:rsid w:val="00703A7C"/>
    <w:rsid w:val="00714182"/>
    <w:rsid w:val="00717F95"/>
    <w:rsid w:val="00732BBA"/>
    <w:rsid w:val="00747736"/>
    <w:rsid w:val="007508CC"/>
    <w:rsid w:val="007546CB"/>
    <w:rsid w:val="00755B47"/>
    <w:rsid w:val="00757807"/>
    <w:rsid w:val="00760C56"/>
    <w:rsid w:val="00762D09"/>
    <w:rsid w:val="00765BB0"/>
    <w:rsid w:val="00775059"/>
    <w:rsid w:val="00793AA3"/>
    <w:rsid w:val="0079653B"/>
    <w:rsid w:val="00797095"/>
    <w:rsid w:val="007A0F47"/>
    <w:rsid w:val="007A44FF"/>
    <w:rsid w:val="007B5913"/>
    <w:rsid w:val="007B5994"/>
    <w:rsid w:val="007C6093"/>
    <w:rsid w:val="007D3AC9"/>
    <w:rsid w:val="007D74D5"/>
    <w:rsid w:val="007E428E"/>
    <w:rsid w:val="007F0518"/>
    <w:rsid w:val="007F1506"/>
    <w:rsid w:val="007F175C"/>
    <w:rsid w:val="00803464"/>
    <w:rsid w:val="00804B8B"/>
    <w:rsid w:val="0081201B"/>
    <w:rsid w:val="00813F2E"/>
    <w:rsid w:val="00817023"/>
    <w:rsid w:val="008219CA"/>
    <w:rsid w:val="00830303"/>
    <w:rsid w:val="008304F3"/>
    <w:rsid w:val="008311C1"/>
    <w:rsid w:val="00831B05"/>
    <w:rsid w:val="00833826"/>
    <w:rsid w:val="008352A8"/>
    <w:rsid w:val="00843DA6"/>
    <w:rsid w:val="008461BD"/>
    <w:rsid w:val="00860107"/>
    <w:rsid w:val="00860AEA"/>
    <w:rsid w:val="00861C80"/>
    <w:rsid w:val="0086203B"/>
    <w:rsid w:val="00887028"/>
    <w:rsid w:val="00887650"/>
    <w:rsid w:val="0089185C"/>
    <w:rsid w:val="008A1272"/>
    <w:rsid w:val="008A2850"/>
    <w:rsid w:val="008A5DE9"/>
    <w:rsid w:val="008B083D"/>
    <w:rsid w:val="008B642D"/>
    <w:rsid w:val="008C4AC8"/>
    <w:rsid w:val="008C61D7"/>
    <w:rsid w:val="008D20B0"/>
    <w:rsid w:val="008D2B1E"/>
    <w:rsid w:val="008D554A"/>
    <w:rsid w:val="008E1E3D"/>
    <w:rsid w:val="008E5E90"/>
    <w:rsid w:val="008E626F"/>
    <w:rsid w:val="008E75DC"/>
    <w:rsid w:val="008F086B"/>
    <w:rsid w:val="008F0AEB"/>
    <w:rsid w:val="0090155F"/>
    <w:rsid w:val="00901ACC"/>
    <w:rsid w:val="00922C6C"/>
    <w:rsid w:val="00924EC9"/>
    <w:rsid w:val="00930F76"/>
    <w:rsid w:val="0094275E"/>
    <w:rsid w:val="00946414"/>
    <w:rsid w:val="00946646"/>
    <w:rsid w:val="00952D9E"/>
    <w:rsid w:val="009551BB"/>
    <w:rsid w:val="00967086"/>
    <w:rsid w:val="00970DF5"/>
    <w:rsid w:val="00973BE1"/>
    <w:rsid w:val="00977BA6"/>
    <w:rsid w:val="009875E9"/>
    <w:rsid w:val="009977DE"/>
    <w:rsid w:val="00997B74"/>
    <w:rsid w:val="009B167B"/>
    <w:rsid w:val="009B57C3"/>
    <w:rsid w:val="009C058B"/>
    <w:rsid w:val="009C0D45"/>
    <w:rsid w:val="009C68AF"/>
    <w:rsid w:val="009C7025"/>
    <w:rsid w:val="009D2183"/>
    <w:rsid w:val="009D7F52"/>
    <w:rsid w:val="009E0875"/>
    <w:rsid w:val="009E5259"/>
    <w:rsid w:val="009E545A"/>
    <w:rsid w:val="009E5A8A"/>
    <w:rsid w:val="009E6A76"/>
    <w:rsid w:val="009F71A6"/>
    <w:rsid w:val="009F757D"/>
    <w:rsid w:val="00A048E3"/>
    <w:rsid w:val="00A16EA8"/>
    <w:rsid w:val="00A236BE"/>
    <w:rsid w:val="00A26161"/>
    <w:rsid w:val="00A26B67"/>
    <w:rsid w:val="00A34F5E"/>
    <w:rsid w:val="00A36EBC"/>
    <w:rsid w:val="00A42EC4"/>
    <w:rsid w:val="00A446F7"/>
    <w:rsid w:val="00A45B26"/>
    <w:rsid w:val="00A537CB"/>
    <w:rsid w:val="00A5578F"/>
    <w:rsid w:val="00A61A20"/>
    <w:rsid w:val="00A72AA3"/>
    <w:rsid w:val="00A7773C"/>
    <w:rsid w:val="00A77FE7"/>
    <w:rsid w:val="00A94BB5"/>
    <w:rsid w:val="00AA3552"/>
    <w:rsid w:val="00AA4D75"/>
    <w:rsid w:val="00AB372B"/>
    <w:rsid w:val="00AB5F26"/>
    <w:rsid w:val="00AD2420"/>
    <w:rsid w:val="00AD4768"/>
    <w:rsid w:val="00AD48B8"/>
    <w:rsid w:val="00AD73B4"/>
    <w:rsid w:val="00AE6486"/>
    <w:rsid w:val="00AE66B8"/>
    <w:rsid w:val="00B04110"/>
    <w:rsid w:val="00B06761"/>
    <w:rsid w:val="00B12788"/>
    <w:rsid w:val="00B1584D"/>
    <w:rsid w:val="00B25B19"/>
    <w:rsid w:val="00B25B89"/>
    <w:rsid w:val="00B43706"/>
    <w:rsid w:val="00B52477"/>
    <w:rsid w:val="00B7473E"/>
    <w:rsid w:val="00B75675"/>
    <w:rsid w:val="00B77EFA"/>
    <w:rsid w:val="00B84983"/>
    <w:rsid w:val="00B91315"/>
    <w:rsid w:val="00B91D0E"/>
    <w:rsid w:val="00BA0EC8"/>
    <w:rsid w:val="00BA1015"/>
    <w:rsid w:val="00BA1C34"/>
    <w:rsid w:val="00BA79F3"/>
    <w:rsid w:val="00BB32DB"/>
    <w:rsid w:val="00BD00C6"/>
    <w:rsid w:val="00BD0AAF"/>
    <w:rsid w:val="00BD0B8A"/>
    <w:rsid w:val="00C0004D"/>
    <w:rsid w:val="00C3343E"/>
    <w:rsid w:val="00C475C3"/>
    <w:rsid w:val="00C574AA"/>
    <w:rsid w:val="00C63CAC"/>
    <w:rsid w:val="00C833F4"/>
    <w:rsid w:val="00C86312"/>
    <w:rsid w:val="00C92590"/>
    <w:rsid w:val="00C9431E"/>
    <w:rsid w:val="00C953FD"/>
    <w:rsid w:val="00CB0EB6"/>
    <w:rsid w:val="00CC0C5E"/>
    <w:rsid w:val="00CD62E9"/>
    <w:rsid w:val="00CE6653"/>
    <w:rsid w:val="00D048B0"/>
    <w:rsid w:val="00D04F44"/>
    <w:rsid w:val="00D05DB0"/>
    <w:rsid w:val="00D06366"/>
    <w:rsid w:val="00D07702"/>
    <w:rsid w:val="00D1096A"/>
    <w:rsid w:val="00D1473C"/>
    <w:rsid w:val="00D2203B"/>
    <w:rsid w:val="00D236A5"/>
    <w:rsid w:val="00D33847"/>
    <w:rsid w:val="00D339C7"/>
    <w:rsid w:val="00D42EE4"/>
    <w:rsid w:val="00D448EB"/>
    <w:rsid w:val="00D74976"/>
    <w:rsid w:val="00D82297"/>
    <w:rsid w:val="00D934EA"/>
    <w:rsid w:val="00DA3B93"/>
    <w:rsid w:val="00DA48B5"/>
    <w:rsid w:val="00DB323B"/>
    <w:rsid w:val="00DB655D"/>
    <w:rsid w:val="00DB71F3"/>
    <w:rsid w:val="00DB79D0"/>
    <w:rsid w:val="00DB7E22"/>
    <w:rsid w:val="00DC0617"/>
    <w:rsid w:val="00DC47A4"/>
    <w:rsid w:val="00DE746A"/>
    <w:rsid w:val="00DE752A"/>
    <w:rsid w:val="00E05143"/>
    <w:rsid w:val="00E07FC8"/>
    <w:rsid w:val="00E107CC"/>
    <w:rsid w:val="00E119D3"/>
    <w:rsid w:val="00E16A24"/>
    <w:rsid w:val="00E22F6C"/>
    <w:rsid w:val="00E32CF9"/>
    <w:rsid w:val="00E4150B"/>
    <w:rsid w:val="00E53B07"/>
    <w:rsid w:val="00E57054"/>
    <w:rsid w:val="00E60446"/>
    <w:rsid w:val="00E6195E"/>
    <w:rsid w:val="00E62A95"/>
    <w:rsid w:val="00E64D8B"/>
    <w:rsid w:val="00E65453"/>
    <w:rsid w:val="00E70BF3"/>
    <w:rsid w:val="00E70E82"/>
    <w:rsid w:val="00E82EC7"/>
    <w:rsid w:val="00E843C9"/>
    <w:rsid w:val="00E968B9"/>
    <w:rsid w:val="00EA15FF"/>
    <w:rsid w:val="00EB1B53"/>
    <w:rsid w:val="00EB5FE1"/>
    <w:rsid w:val="00ED053F"/>
    <w:rsid w:val="00ED25FB"/>
    <w:rsid w:val="00ED7E05"/>
    <w:rsid w:val="00EE3FC2"/>
    <w:rsid w:val="00EE426B"/>
    <w:rsid w:val="00EE55C6"/>
    <w:rsid w:val="00EE759F"/>
    <w:rsid w:val="00EE7708"/>
    <w:rsid w:val="00EF10E1"/>
    <w:rsid w:val="00F04787"/>
    <w:rsid w:val="00F04E1F"/>
    <w:rsid w:val="00F13491"/>
    <w:rsid w:val="00F15139"/>
    <w:rsid w:val="00F17BD3"/>
    <w:rsid w:val="00F200A4"/>
    <w:rsid w:val="00F20C19"/>
    <w:rsid w:val="00F2338F"/>
    <w:rsid w:val="00F32F1A"/>
    <w:rsid w:val="00F33A2C"/>
    <w:rsid w:val="00F41DF1"/>
    <w:rsid w:val="00F42C91"/>
    <w:rsid w:val="00F539A4"/>
    <w:rsid w:val="00F60BA7"/>
    <w:rsid w:val="00F6282C"/>
    <w:rsid w:val="00F852D3"/>
    <w:rsid w:val="00F932A8"/>
    <w:rsid w:val="00FB1595"/>
    <w:rsid w:val="00FB3004"/>
    <w:rsid w:val="00FC1AEB"/>
    <w:rsid w:val="00FC4C97"/>
    <w:rsid w:val="00FC524C"/>
    <w:rsid w:val="00FD0E99"/>
    <w:rsid w:val="00FD144F"/>
    <w:rsid w:val="00FF708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101C8"/>
  <w15:chartTrackingRefBased/>
  <w15:docId w15:val="{02066294-4C71-624D-9589-2D9C331A5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46F7"/>
    <w:rPr>
      <w:rFonts w:ascii="Times New Roman" w:hAnsi="Times New Roman" w:cs="Times New Roman"/>
      <w:sz w:val="20"/>
      <w:szCs w:val="20"/>
    </w:rPr>
  </w:style>
  <w:style w:type="paragraph" w:styleId="Heading1">
    <w:name w:val="heading 1"/>
    <w:basedOn w:val="Normal"/>
    <w:next w:val="Normal"/>
    <w:link w:val="Heading1Char"/>
    <w:uiPriority w:val="9"/>
    <w:qFormat/>
    <w:rsid w:val="00C86312"/>
    <w:pPr>
      <w:spacing w:before="120" w:after="120" w:line="360" w:lineRule="auto"/>
      <w:outlineLvl w:val="0"/>
    </w:pPr>
    <w:rPr>
      <w:rFonts w:eastAsia="Times New Roman"/>
      <w:b/>
      <w:lang w:val="en-US"/>
    </w:rPr>
  </w:style>
  <w:style w:type="paragraph" w:styleId="Heading2">
    <w:name w:val="heading 2"/>
    <w:basedOn w:val="Heading1"/>
    <w:next w:val="Normal"/>
    <w:link w:val="Heading2Char"/>
    <w:uiPriority w:val="9"/>
    <w:unhideWhenUsed/>
    <w:qFormat/>
    <w:rsid w:val="00A446F7"/>
    <w:pPr>
      <w:outlineLvl w:val="1"/>
    </w:pPr>
    <w:rPr>
      <w:b w:val="0"/>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312"/>
    <w:rPr>
      <w:rFonts w:ascii="Times New Roman" w:eastAsia="Times New Roman" w:hAnsi="Times New Roman" w:cs="Times New Roman"/>
      <w:b/>
      <w:sz w:val="20"/>
      <w:szCs w:val="20"/>
      <w:lang w:val="en-US"/>
    </w:rPr>
  </w:style>
  <w:style w:type="character" w:customStyle="1" w:styleId="Heading2Char">
    <w:name w:val="Heading 2 Char"/>
    <w:basedOn w:val="DefaultParagraphFont"/>
    <w:link w:val="Heading2"/>
    <w:uiPriority w:val="9"/>
    <w:rsid w:val="00A446F7"/>
    <w:rPr>
      <w:rFonts w:ascii="Times New Roman" w:eastAsia="Times New Roman" w:hAnsi="Times New Roman" w:cs="Times New Roman"/>
      <w:i/>
      <w:lang w:val="en-US"/>
    </w:rPr>
  </w:style>
  <w:style w:type="character" w:styleId="PlaceholderText">
    <w:name w:val="Placeholder Text"/>
    <w:basedOn w:val="DefaultParagraphFont"/>
    <w:uiPriority w:val="99"/>
    <w:semiHidden/>
    <w:rsid w:val="00A446F7"/>
    <w:rPr>
      <w:color w:val="808080"/>
    </w:rPr>
  </w:style>
  <w:style w:type="paragraph" w:styleId="ListParagraph">
    <w:name w:val="List Paragraph"/>
    <w:basedOn w:val="Normal"/>
    <w:uiPriority w:val="34"/>
    <w:qFormat/>
    <w:rsid w:val="00A446F7"/>
    <w:pPr>
      <w:spacing w:line="360" w:lineRule="auto"/>
      <w:ind w:left="720"/>
      <w:contextualSpacing/>
    </w:pPr>
    <w:rPr>
      <w:rFonts w:eastAsia="Times New Roman"/>
      <w:sz w:val="24"/>
      <w:szCs w:val="24"/>
    </w:rPr>
  </w:style>
  <w:style w:type="table" w:styleId="TableGrid">
    <w:name w:val="Table Grid"/>
    <w:basedOn w:val="TableNormal"/>
    <w:uiPriority w:val="39"/>
    <w:rsid w:val="00A446F7"/>
    <w:rPr>
      <w:rFonts w:eastAsiaTheme="minorEastAsia"/>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446F7"/>
    <w:rPr>
      <w:rFonts w:eastAsiaTheme="minorEastAsia"/>
      <w:lang w:val="en-GB" w:eastAsia="zh-C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A446F7"/>
    <w:pPr>
      <w:tabs>
        <w:tab w:val="left" w:pos="260"/>
      </w:tabs>
      <w:spacing w:after="240"/>
      <w:ind w:left="264" w:hanging="264"/>
    </w:pPr>
    <w:rPr>
      <w:rFonts w:eastAsia="Times New Roman"/>
      <w:sz w:val="24"/>
      <w:szCs w:val="24"/>
    </w:rPr>
  </w:style>
  <w:style w:type="paragraph" w:styleId="BalloonText">
    <w:name w:val="Balloon Text"/>
    <w:basedOn w:val="Normal"/>
    <w:link w:val="BalloonTextChar"/>
    <w:uiPriority w:val="99"/>
    <w:semiHidden/>
    <w:unhideWhenUsed/>
    <w:rsid w:val="00A446F7"/>
    <w:rPr>
      <w:rFonts w:eastAsia="Times New Roman"/>
      <w:sz w:val="18"/>
      <w:szCs w:val="18"/>
    </w:rPr>
  </w:style>
  <w:style w:type="character" w:customStyle="1" w:styleId="BalloonTextChar">
    <w:name w:val="Balloon Text Char"/>
    <w:basedOn w:val="DefaultParagraphFont"/>
    <w:link w:val="BalloonText"/>
    <w:uiPriority w:val="99"/>
    <w:semiHidden/>
    <w:rsid w:val="00A446F7"/>
    <w:rPr>
      <w:rFonts w:ascii="Times New Roman" w:eastAsia="Times New Roman" w:hAnsi="Times New Roman" w:cs="Times New Roman"/>
      <w:sz w:val="18"/>
      <w:szCs w:val="18"/>
    </w:rPr>
  </w:style>
  <w:style w:type="paragraph" w:styleId="Footer">
    <w:name w:val="footer"/>
    <w:basedOn w:val="Normal"/>
    <w:link w:val="FooterChar"/>
    <w:uiPriority w:val="99"/>
    <w:unhideWhenUsed/>
    <w:rsid w:val="00A446F7"/>
    <w:pPr>
      <w:tabs>
        <w:tab w:val="center" w:pos="4680"/>
        <w:tab w:val="right" w:pos="9360"/>
      </w:tabs>
    </w:pPr>
    <w:rPr>
      <w:rFonts w:eastAsia="Times New Roman"/>
      <w:sz w:val="24"/>
      <w:szCs w:val="24"/>
    </w:rPr>
  </w:style>
  <w:style w:type="character" w:customStyle="1" w:styleId="FooterChar">
    <w:name w:val="Footer Char"/>
    <w:basedOn w:val="DefaultParagraphFont"/>
    <w:link w:val="Footer"/>
    <w:uiPriority w:val="99"/>
    <w:rsid w:val="00A446F7"/>
    <w:rPr>
      <w:rFonts w:ascii="Times New Roman" w:eastAsia="Times New Roman" w:hAnsi="Times New Roman" w:cs="Times New Roman"/>
    </w:rPr>
  </w:style>
  <w:style w:type="character" w:styleId="PageNumber">
    <w:name w:val="page number"/>
    <w:basedOn w:val="DefaultParagraphFont"/>
    <w:uiPriority w:val="99"/>
    <w:semiHidden/>
    <w:unhideWhenUsed/>
    <w:rsid w:val="00A446F7"/>
  </w:style>
  <w:style w:type="character" w:styleId="Hyperlink">
    <w:name w:val="Hyperlink"/>
    <w:basedOn w:val="DefaultParagraphFont"/>
    <w:uiPriority w:val="99"/>
    <w:unhideWhenUsed/>
    <w:rsid w:val="00A446F7"/>
    <w:rPr>
      <w:color w:val="0000FF"/>
      <w:u w:val="single"/>
    </w:rPr>
  </w:style>
  <w:style w:type="paragraph" w:styleId="TOC2">
    <w:name w:val="toc 2"/>
    <w:basedOn w:val="Normal"/>
    <w:next w:val="Normal"/>
    <w:autoRedefine/>
    <w:uiPriority w:val="39"/>
    <w:unhideWhenUsed/>
    <w:rsid w:val="0055385D"/>
    <w:pPr>
      <w:spacing w:after="100"/>
      <w:ind w:left="200"/>
    </w:pPr>
  </w:style>
  <w:style w:type="paragraph" w:styleId="TOC1">
    <w:name w:val="toc 1"/>
    <w:basedOn w:val="Normal"/>
    <w:next w:val="Normal"/>
    <w:autoRedefine/>
    <w:uiPriority w:val="39"/>
    <w:unhideWhenUsed/>
    <w:rsid w:val="00860107"/>
    <w:pPr>
      <w:spacing w:after="100"/>
    </w:pPr>
  </w:style>
  <w:style w:type="paragraph" w:styleId="Revision">
    <w:name w:val="Revision"/>
    <w:hidden/>
    <w:uiPriority w:val="99"/>
    <w:semiHidden/>
    <w:rsid w:val="002E4231"/>
    <w:rPr>
      <w:rFonts w:ascii="Times New Roman" w:hAnsi="Times New Roman" w:cs="Times New Roman"/>
      <w:sz w:val="20"/>
      <w:szCs w:val="20"/>
    </w:rPr>
  </w:style>
  <w:style w:type="character" w:styleId="CommentReference">
    <w:name w:val="annotation reference"/>
    <w:basedOn w:val="DefaultParagraphFont"/>
    <w:uiPriority w:val="99"/>
    <w:semiHidden/>
    <w:unhideWhenUsed/>
    <w:rsid w:val="00665C8F"/>
    <w:rPr>
      <w:sz w:val="16"/>
      <w:szCs w:val="16"/>
    </w:rPr>
  </w:style>
  <w:style w:type="paragraph" w:styleId="CommentText">
    <w:name w:val="annotation text"/>
    <w:basedOn w:val="Normal"/>
    <w:link w:val="CommentTextChar"/>
    <w:uiPriority w:val="99"/>
    <w:semiHidden/>
    <w:unhideWhenUsed/>
    <w:rsid w:val="00665C8F"/>
  </w:style>
  <w:style w:type="character" w:customStyle="1" w:styleId="CommentTextChar">
    <w:name w:val="Comment Text Char"/>
    <w:basedOn w:val="DefaultParagraphFont"/>
    <w:link w:val="CommentText"/>
    <w:uiPriority w:val="99"/>
    <w:semiHidden/>
    <w:rsid w:val="00665C8F"/>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65C8F"/>
    <w:rPr>
      <w:b/>
      <w:bCs/>
    </w:rPr>
  </w:style>
  <w:style w:type="character" w:customStyle="1" w:styleId="CommentSubjectChar">
    <w:name w:val="Comment Subject Char"/>
    <w:basedOn w:val="CommentTextChar"/>
    <w:link w:val="CommentSubject"/>
    <w:uiPriority w:val="99"/>
    <w:semiHidden/>
    <w:rsid w:val="00665C8F"/>
    <w:rPr>
      <w:rFonts w:ascii="Times New Roman" w:hAnsi="Times New Roman" w:cs="Times New Roman"/>
      <w:b/>
      <w:bCs/>
      <w:sz w:val="20"/>
      <w:szCs w:val="20"/>
    </w:rPr>
  </w:style>
  <w:style w:type="character" w:styleId="UnresolvedMention">
    <w:name w:val="Unresolved Mention"/>
    <w:basedOn w:val="DefaultParagraphFont"/>
    <w:uiPriority w:val="99"/>
    <w:semiHidden/>
    <w:unhideWhenUsed/>
    <w:rsid w:val="00977B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088823">
      <w:bodyDiv w:val="1"/>
      <w:marLeft w:val="0"/>
      <w:marRight w:val="0"/>
      <w:marTop w:val="0"/>
      <w:marBottom w:val="0"/>
      <w:divBdr>
        <w:top w:val="none" w:sz="0" w:space="0" w:color="auto"/>
        <w:left w:val="none" w:sz="0" w:space="0" w:color="auto"/>
        <w:bottom w:val="none" w:sz="0" w:space="0" w:color="auto"/>
        <w:right w:val="none" w:sz="0" w:space="0" w:color="auto"/>
      </w:divBdr>
    </w:div>
    <w:div w:id="724989488">
      <w:bodyDiv w:val="1"/>
      <w:marLeft w:val="0"/>
      <w:marRight w:val="0"/>
      <w:marTop w:val="0"/>
      <w:marBottom w:val="0"/>
      <w:divBdr>
        <w:top w:val="none" w:sz="0" w:space="0" w:color="auto"/>
        <w:left w:val="none" w:sz="0" w:space="0" w:color="auto"/>
        <w:bottom w:val="none" w:sz="0" w:space="0" w:color="auto"/>
        <w:right w:val="none" w:sz="0" w:space="0" w:color="auto"/>
      </w:divBdr>
    </w:div>
    <w:div w:id="726104869">
      <w:bodyDiv w:val="1"/>
      <w:marLeft w:val="0"/>
      <w:marRight w:val="0"/>
      <w:marTop w:val="0"/>
      <w:marBottom w:val="0"/>
      <w:divBdr>
        <w:top w:val="none" w:sz="0" w:space="0" w:color="auto"/>
        <w:left w:val="none" w:sz="0" w:space="0" w:color="auto"/>
        <w:bottom w:val="none" w:sz="0" w:space="0" w:color="auto"/>
        <w:right w:val="none" w:sz="0" w:space="0" w:color="auto"/>
      </w:divBdr>
    </w:div>
    <w:div w:id="957880959">
      <w:bodyDiv w:val="1"/>
      <w:marLeft w:val="0"/>
      <w:marRight w:val="0"/>
      <w:marTop w:val="0"/>
      <w:marBottom w:val="0"/>
      <w:divBdr>
        <w:top w:val="none" w:sz="0" w:space="0" w:color="auto"/>
        <w:left w:val="none" w:sz="0" w:space="0" w:color="auto"/>
        <w:bottom w:val="none" w:sz="0" w:space="0" w:color="auto"/>
        <w:right w:val="none" w:sz="0" w:space="0" w:color="auto"/>
      </w:divBdr>
    </w:div>
    <w:div w:id="1191261679">
      <w:bodyDiv w:val="1"/>
      <w:marLeft w:val="0"/>
      <w:marRight w:val="0"/>
      <w:marTop w:val="0"/>
      <w:marBottom w:val="0"/>
      <w:divBdr>
        <w:top w:val="none" w:sz="0" w:space="0" w:color="auto"/>
        <w:left w:val="none" w:sz="0" w:space="0" w:color="auto"/>
        <w:bottom w:val="none" w:sz="0" w:space="0" w:color="auto"/>
        <w:right w:val="none" w:sz="0" w:space="0" w:color="auto"/>
      </w:divBdr>
    </w:div>
    <w:div w:id="1254558296">
      <w:bodyDiv w:val="1"/>
      <w:marLeft w:val="0"/>
      <w:marRight w:val="0"/>
      <w:marTop w:val="0"/>
      <w:marBottom w:val="0"/>
      <w:divBdr>
        <w:top w:val="none" w:sz="0" w:space="0" w:color="auto"/>
        <w:left w:val="none" w:sz="0" w:space="0" w:color="auto"/>
        <w:bottom w:val="none" w:sz="0" w:space="0" w:color="auto"/>
        <w:right w:val="none" w:sz="0" w:space="0" w:color="auto"/>
      </w:divBdr>
    </w:div>
    <w:div w:id="2089955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cdc.gov/flu/weekly/fluviewinteractive.ht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72763-3317-D044-B3A6-47903900D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19</Pages>
  <Words>21737</Words>
  <Characters>123904</Characters>
  <Application>Microsoft Office Word</Application>
  <DocSecurity>0</DocSecurity>
  <Lines>1032</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Han</dc:creator>
  <cp:keywords/>
  <dc:description/>
  <cp:lastModifiedBy>Alvin Han</cp:lastModifiedBy>
  <cp:revision>39</cp:revision>
  <dcterms:created xsi:type="dcterms:W3CDTF">2025-02-06T22:52:00Z</dcterms:created>
  <dcterms:modified xsi:type="dcterms:W3CDTF">2025-02-07T02:44:00Z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id="KWV9Ajm1"/&gt;&lt;style id="http://www.zotero.org/styles/the-lancet-infectious-diseases" hasBibliography="1" bibliographyStyleHasBeenSet="1"/&gt;&lt;prefs&gt;&lt;pref name="fieldType" value="Field"/&gt;&lt;pref name="au</vt:lpwstr>
  </property>
  <property fmtid="{D5CDD505-2E9C-101B-9397-08002B2CF9AE}" pid="3" name="ZOTERO_PREF_2">
    <vt:lpwstr>tomaticJournalAbbreviations" value="true"/&gt;&lt;/prefs&gt;&lt;/data&gt;</vt:lpwstr>
  </property>
</Properties>
</file>