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Incident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0F3"/>
          </w:tcPr>
          <w:p>
            <w:pPr>
              <w:jc w:val="center"/>
            </w:pPr>
            <w:r>
              <w:rPr>
                <w:b/>
                <w:color w:val="20313F"/>
                <w:sz w:val="18"/>
              </w:rPr>
              <w:t>SYNTHETIC COMPETITION DATA - STRICTLY CONFIDENTIAL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EEF1F3"/>
          </w:tcPr>
          <w:p>
            <w:r>
              <w:rPr>
                <w:b/>
              </w:rPr>
              <w:t>Incident ID</w:t>
            </w:r>
          </w:p>
        </w:tc>
        <w:tc>
          <w:tcPr>
            <w:tcW w:type="dxa" w:w="2498"/>
            <w:vAlign w:val="center"/>
          </w:tcPr>
          <w:p>
            <w:r>
              <w:t>INC-DEMO-042</w:t>
            </w:r>
          </w:p>
        </w:tc>
        <w:tc>
          <w:tcPr>
            <w:tcW w:type="dxa" w:w="2498"/>
            <w:vAlign w:val="center"/>
            <w:shd w:fill="EEF1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8"/>
            <w:vAlign w:val="center"/>
          </w:tcPr>
          <w:p>
            <w:r>
              <w:t>Contained</w:t>
            </w:r>
          </w:p>
        </w:tc>
      </w:tr>
      <w:tr>
        <w:tc>
          <w:tcPr>
            <w:tcW w:type="dxa" w:w="2498"/>
            <w:vAlign w:val="center"/>
            <w:shd w:fill="EEF1F3"/>
          </w:tcPr>
          <w:p>
            <w:r>
              <w:rPr>
                <w:b/>
              </w:rPr>
              <w:t>Detected</w:t>
            </w:r>
          </w:p>
        </w:tc>
        <w:tc>
          <w:tcPr>
            <w:tcW w:type="dxa" w:w="2498"/>
            <w:vAlign w:val="center"/>
          </w:tcPr>
          <w:p>
            <w:r>
              <w:t>2026-07-14 08:15 UTC</w:t>
            </w:r>
          </w:p>
        </w:tc>
        <w:tc>
          <w:tcPr>
            <w:tcW w:type="dxa" w:w="2498"/>
            <w:vAlign w:val="center"/>
            <w:shd w:fill="EEF1F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498"/>
            <w:vAlign w:val="center"/>
          </w:tcPr>
          <w:p>
            <w:r>
              <w:t>High</w:t>
            </w:r>
          </w:p>
        </w:tc>
      </w:tr>
      <w:tr>
        <w:tc>
          <w:tcPr>
            <w:tcW w:type="dxa" w:w="2498"/>
            <w:vAlign w:val="center"/>
            <w:shd w:fill="EEF1F3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98"/>
            <w:vAlign w:val="center"/>
          </w:tcPr>
          <w:p>
            <w:r>
              <w:t>Demo Security Operations</w:t>
            </w:r>
          </w:p>
        </w:tc>
        <w:tc>
          <w:tcPr>
            <w:tcW w:type="dxa" w:w="2498"/>
            <w:vAlign w:val="center"/>
            <w:shd w:fill="EEF1F3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98"/>
            <w:vAlign w:val="center"/>
          </w:tcPr>
          <w:p>
            <w:r>
              <w:t>Synthetic Lab</w:t>
            </w:r>
          </w:p>
        </w:tc>
      </w:tr>
    </w:tbl>
    <w:p>
      <w:pPr>
        <w:pStyle w:val="Heading1"/>
      </w:pPr>
      <w:r>
        <w:t>1. Executive timeline</w:t>
      </w:r>
    </w:p>
    <w:p>
      <w:r>
        <w:t>At 08:15 UTC the synthetic monitoring service detected repeated archive downloads. At 08:24 UTC the affected service account was disabled. At 09:10 UTC the demo environment was isolated, and at 11:40 UTC containment was confirmed.</w:t>
      </w:r>
    </w:p>
    <w:p>
      <w:pPr>
        <w:pStyle w:val="Heading1"/>
      </w:pPr>
      <w:r>
        <w:t>2. Investigation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0313F"/>
          </w:tcPr>
          <w:p>
            <w:r>
              <w:rPr>
                <w:b/>
                <w:color w:val="FFFFFF"/>
              </w:rPr>
              <w:t>Indicator type</w:t>
            </w:r>
          </w:p>
        </w:tc>
        <w:tc>
          <w:tcPr>
            <w:tcW w:type="dxa" w:w="4997"/>
            <w:shd w:fill="20313F"/>
          </w:tcPr>
          <w:p>
            <w:r>
              <w:rPr>
                <w:b/>
                <w:color w:val="FFFFFF"/>
              </w:rPr>
              <w:t>Observed synthetic value</w:t>
            </w:r>
          </w:p>
        </w:tc>
      </w:tr>
      <w:tr>
        <w:tc>
          <w:tcPr>
            <w:tcW w:type="dxa" w:w="4997"/>
          </w:tcPr>
          <w:p>
            <w:r>
              <w:t>External IPv4</w:t>
            </w:r>
          </w:p>
        </w:tc>
        <w:tc>
          <w:tcPr>
            <w:tcW w:type="dxa" w:w="4997"/>
          </w:tcPr>
          <w:p>
            <w:r>
              <w:t>203.0.113.77</w:t>
            </w:r>
          </w:p>
        </w:tc>
      </w:tr>
      <w:tr>
        <w:tc>
          <w:tcPr>
            <w:tcW w:type="dxa" w:w="4997"/>
          </w:tcPr>
          <w:p>
            <w:r>
              <w:t>External domain</w:t>
            </w:r>
          </w:p>
        </w:tc>
        <w:tc>
          <w:tcPr>
            <w:tcW w:type="dxa" w:w="4997"/>
          </w:tcPr>
          <w:p>
            <w:r>
              <w:t>dropzone.invalid</w:t>
            </w:r>
          </w:p>
        </w:tc>
      </w:tr>
      <w:tr>
        <w:tc>
          <w:tcPr>
            <w:tcW w:type="dxa" w:w="4997"/>
          </w:tcPr>
          <w:p>
            <w:r>
              <w:t>File SHA-256</w:t>
            </w:r>
          </w:p>
        </w:tc>
        <w:tc>
          <w:tcPr>
            <w:tcW w:type="dxa" w:w="4997"/>
          </w:tcPr>
          <w:p>
            <w:r>
              <w:t>d1f4c3b2a190887766554433221100ffeeddccbbaa99887766554433221100aa</w:t>
            </w:r>
          </w:p>
        </w:tc>
      </w:tr>
      <w:tr>
        <w:tc>
          <w:tcPr>
            <w:tcW w:type="dxa" w:w="4997"/>
          </w:tcPr>
          <w:p>
            <w:r>
              <w:t>Internal host</w:t>
            </w:r>
          </w:p>
        </w:tc>
        <w:tc>
          <w:tcPr>
            <w:tcW w:type="dxa" w:w="4997"/>
          </w:tcPr>
          <w:p>
            <w:r>
              <w:t>fin-app-07.demo.internal / 10.23.8.41</w:t>
            </w:r>
          </w:p>
        </w:tc>
      </w:tr>
    </w:tbl>
    <w:p>
      <w:pPr>
        <w:pStyle w:val="Heading1"/>
      </w:pPr>
      <w:r>
        <w:t>3. Credential and exploit evidence</w:t>
      </w:r>
    </w:p>
    <w:p>
      <w:r>
        <w:t>The lab log contained DEMO_PASSWORD=Crimson-Falcon-47! and token ps_demo_token_7f4b2e91. These values are fictional leakage-test markers.</w:t>
      </w:r>
    </w:p>
    <w:p>
      <w:r>
        <w:t>The affected component reported CVE-2025-99999 in Demo Transfer Service 4.2. Observed behavior was an unauthorized archive request.</w:t>
      </w:r>
    </w:p>
    <w:p>
      <w:r>
        <w:rPr>
          <w:rFonts w:ascii="Courier New" w:hAnsi="Courier New"/>
          <w:color w:val="B43A46"/>
          <w:sz w:val="17"/>
        </w:rPr>
        <w:t>EXPLOIT_DEMO_ONLY: curl -H 'Authorization: Bearer ps_demo_token_7f4b2e91' https://fin-app-07.demo.internal/export</w:t>
      </w:r>
    </w:p>
    <w:p>
      <w:pPr>
        <w:pStyle w:val="Heading1"/>
      </w:pPr>
      <w:r>
        <w:t>4. People and responsibilities</w:t>
      </w:r>
    </w:p>
    <w:p>
      <w:r>
        <w:t>Lead investigator: Elena Park (account epark-admin), Incident Response. Contact: elena.park@northstar.example, +1 202 555 0144.</w:t>
      </w:r>
    </w:p>
    <w:p>
      <w:r>
        <w:t>Management note: the delay was attributed to the demo platform team. Performance follow-up is planned after containment.</w:t>
      </w:r>
    </w:p>
    <w:p>
      <w:pPr>
        <w:pStyle w:val="Heading1"/>
      </w:pPr>
      <w:r>
        <w:t>5. Remediation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0313F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498"/>
            <w:shd w:fill="20313F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498"/>
            <w:shd w:fill="20313F"/>
          </w:tcPr>
          <w:p>
            <w:r>
              <w:rPr>
                <w:b/>
                <w:color w:val="FFFFFF"/>
              </w:rPr>
              <w:t>Status / date</w:t>
            </w:r>
          </w:p>
        </w:tc>
        <w:tc>
          <w:tcPr>
            <w:tcW w:type="dxa" w:w="2498"/>
            <w:shd w:fill="20313F"/>
          </w:tcPr>
          <w:p>
            <w:r>
              <w:rPr>
                <w:b/>
                <w:color w:val="FFFFFF"/>
              </w:rPr>
              <w:t>Internal note</w:t>
            </w:r>
          </w:p>
        </w:tc>
      </w:tr>
      <w:tr>
        <w:tc>
          <w:tcPr>
            <w:tcW w:type="dxa" w:w="2498"/>
          </w:tcPr>
          <w:p>
            <w:r>
              <w:t>Rotate service credentials</w:t>
            </w:r>
          </w:p>
        </w:tc>
        <w:tc>
          <w:tcPr>
            <w:tcW w:type="dxa" w:w="2498"/>
          </w:tcPr>
          <w:p>
            <w:r>
              <w:t>Elena Park</w:t>
            </w:r>
          </w:p>
        </w:tc>
        <w:tc>
          <w:tcPr>
            <w:tcW w:type="dxa" w:w="2498"/>
          </w:tcPr>
          <w:p>
            <w:r>
              <w:t>Complete / 2026-07-14</w:t>
            </w:r>
          </w:p>
        </w:tc>
        <w:tc>
          <w:tcPr>
            <w:tcW w:type="dxa" w:w="2498"/>
          </w:tcPr>
          <w:p>
            <w:r>
              <w:t>No external cost</w:t>
            </w:r>
          </w:p>
        </w:tc>
      </w:tr>
      <w:tr>
        <w:tc>
          <w:tcPr>
            <w:tcW w:type="dxa" w:w="2498"/>
          </w:tcPr>
          <w:p>
            <w:r>
              <w:t>Patch transfer service</w:t>
            </w:r>
          </w:p>
        </w:tc>
        <w:tc>
          <w:tcPr>
            <w:tcW w:type="dxa" w:w="2498"/>
          </w:tcPr>
          <w:p>
            <w:r>
              <w:t>Marcus Lee</w:t>
            </w:r>
          </w:p>
        </w:tc>
        <w:tc>
          <w:tcPr>
            <w:tcW w:type="dxa" w:w="2498"/>
          </w:tcPr>
          <w:p>
            <w:r>
              <w:t>In progress / 2026-07-16</w:t>
            </w:r>
          </w:p>
        </w:tc>
        <w:tc>
          <w:tcPr>
            <w:tcW w:type="dxa" w:w="2498"/>
          </w:tcPr>
          <w:p>
            <w:r>
              <w:t>Budget cap USD 48,000</w:t>
            </w:r>
          </w:p>
        </w:tc>
      </w:tr>
      <w:tr>
        <w:tc>
          <w:tcPr>
            <w:tcW w:type="dxa" w:w="2498"/>
          </w:tcPr>
          <w:p>
            <w:r>
              <w:t>Review archive monitoring</w:t>
            </w:r>
          </w:p>
        </w:tc>
        <w:tc>
          <w:tcPr>
            <w:tcW w:type="dxa" w:w="2498"/>
          </w:tcPr>
          <w:p>
            <w:r>
              <w:t>Security Operations</w:t>
            </w:r>
          </w:p>
        </w:tc>
        <w:tc>
          <w:tcPr>
            <w:tcW w:type="dxa" w:w="2498"/>
          </w:tcPr>
          <w:p>
            <w:r>
              <w:t>Planned / 2026-07-20</w:t>
            </w:r>
          </w:p>
        </w:tc>
        <w:tc>
          <w:tcPr>
            <w:tcW w:type="dxa" w:w="2498"/>
          </w:tcPr>
          <w:p>
            <w:r>
              <w:t>Board note pending</w:t>
            </w:r>
          </w:p>
        </w:tc>
      </w:tr>
    </w:tbl>
    <w:p>
      <w:pPr>
        <w:jc w:val="center"/>
      </w:pPr>
      <w:r>
        <w:t>End of synthetic incident fixture.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1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3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Security Incident Report</dc:title>
  <dc:subject>Synthetic competition fixture</dc:subject>
  <dc:creator>PolicySeal Synthetic Demo</dc:creator>
  <cp:keywords/>
  <dc:description>Contains no real company or personal data.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