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40" w:lineRule="auto"/>
      </w:pPr>
      <w:r>
        <w:rPr>
          <w:rFonts w:ascii="Heiti SC" w:hAnsi="Heiti SC" w:eastAsia="Heiti SC" w:cs="Heiti SC"/>
          <w:b/>
          <w:i w:val="0"/>
          <w:color w:val="1F2937"/>
          <w:sz w:val="46"/>
        </w:rPr>
        <w:t>Mantis Track 3 项目周报</w:t>
      </w:r>
    </w:p>
    <w:p>
      <w:pPr>
        <w:spacing w:before="0" w:after="140" w:line="240" w:lineRule="auto"/>
      </w:pPr>
      <w:r>
        <w:rPr>
          <w:rFonts w:ascii="Heiti SC" w:hAnsi="Heiti SC" w:eastAsia="Heiti SC" w:cs="Heiti SC"/>
          <w:b w:val="0"/>
          <w:i w:val="0"/>
          <w:color w:val="667085"/>
          <w:sz w:val="25"/>
        </w:rPr>
        <w:t>AMD Radeon + ROCm 机器人仿真、训练与闭环评测</w:t>
      </w:r>
    </w:p>
    <w:p>
      <w:pPr>
        <w:spacing w:before="0" w:after="40" w:line="252" w:lineRule="auto"/>
      </w:pPr>
      <w:r>
        <w:rPr>
          <w:rFonts w:ascii="Heiti SC" w:hAnsi="Heiti SC" w:eastAsia="Heiti SC" w:cs="Heiti SC"/>
          <w:b/>
          <w:i w:val="0"/>
          <w:color w:val="1F2937"/>
          <w:sz w:val="20"/>
        </w:rPr>
        <w:t>项目周期：</w:t>
      </w:r>
      <w:r>
        <w:rPr>
          <w:rFonts w:ascii="Heiti SC" w:hAnsi="Heiti SC" w:eastAsia="Heiti SC" w:cs="Heiti SC"/>
          <w:b w:val="0"/>
          <w:i w:val="0"/>
          <w:color w:val="1F2937"/>
          <w:sz w:val="20"/>
        </w:rPr>
        <w:t>2026-07-22 至 2026-07-28</w:t>
      </w:r>
    </w:p>
    <w:p>
      <w:pPr>
        <w:spacing w:before="0" w:after="40" w:line="252" w:lineRule="auto"/>
      </w:pPr>
      <w:r>
        <w:rPr>
          <w:rFonts w:ascii="Heiti SC" w:hAnsi="Heiti SC" w:eastAsia="Heiti SC" w:cs="Heiti SC"/>
          <w:b/>
          <w:i w:val="0"/>
          <w:color w:val="1F2937"/>
          <w:sz w:val="20"/>
        </w:rPr>
        <w:t>总体状态：</w:t>
      </w:r>
      <w:r>
        <w:rPr>
          <w:rFonts w:ascii="Heiti SC" w:hAnsi="Heiti SC" w:eastAsia="Heiti SC" w:cs="Heiti SC"/>
          <w:b w:val="0"/>
          <w:i w:val="0"/>
          <w:color w:val="1F2937"/>
          <w:sz w:val="20"/>
        </w:rPr>
        <w:t>核心迁移与 AMD 训练链路已完成；G3 闭环性能门禁未通过，当前进入训练轨迹分布纠正</w:t>
      </w:r>
    </w:p>
    <w:p>
      <w:pPr>
        <w:spacing w:before="100" w:after="100" w:line="276" w:lineRule="auto"/>
        <w:shd w:fill="EAF2F8"/>
        <w:ind w:left="180" w:right="180"/>
      </w:pPr>
      <w:r>
        <w:rPr>
          <w:rFonts w:ascii="Heiti SC" w:hAnsi="Heiti SC" w:eastAsia="Heiti SC" w:cs="Heiti SC"/>
          <w:b/>
          <w:i w:val="0"/>
          <w:color w:val="245B8A"/>
          <w:sz w:val="21"/>
        </w:rPr>
        <w:t>本周结论：</w:t>
      </w:r>
      <w:r>
        <w:rPr>
          <w:rFonts w:ascii="Heiti SC" w:hAnsi="Heiti SC" w:eastAsia="Heiti SC" w:cs="Heiti SC"/>
          <w:b w:val="0"/>
          <w:i w:val="0"/>
          <w:color w:val="1F2937"/>
          <w:sz w:val="21"/>
        </w:rPr>
        <w:t>Mantis 已完成从 Genesis/LeRobot 到官方 AMD Radeon/ROCm 的核心工程贯通，60k ACT 训练及证据链完整落地。当前主要矛盾已从平台迁移转为闭环任务成功率与右臂优先轨迹覆盖。</w:t>
      </w:r>
    </w:p>
    <w:p>
      <w:pPr>
        <w:pStyle w:val="Heading1"/>
        <w:keepNext/>
      </w:pPr>
      <w:r>
        <w:t>一、本周完成工作</w:t>
      </w:r>
    </w:p>
    <w:p>
      <w:pPr>
        <w:numPr>
          <w:ilvl w:val="0"/>
          <w:numId w:val="42"/>
        </w:numPr>
        <w:spacing w:before="0" w:after="60" w:line="280" w:lineRule="auto"/>
      </w:pPr>
      <w:r>
        <w:rPr>
          <w:rFonts w:ascii="Heiti SC" w:hAnsi="Heiti SC" w:eastAsia="Heiti SC" w:cs="Heiti SC"/>
          <w:b/>
          <w:i w:val="0"/>
          <w:color w:val="1F2937"/>
          <w:sz w:val="21"/>
        </w:rPr>
        <w:t>机器人资产与仿真适配：</w:t>
      </w:r>
      <w:r>
        <w:rPr>
          <w:rFonts w:ascii="Heiti SC" w:hAnsi="Heiti SC" w:eastAsia="Heiti SC" w:cs="Heiti SC"/>
          <w:b w:val="0"/>
          <w:i w:val="0"/>
          <w:color w:val="1F2937"/>
          <w:sz w:val="21"/>
        </w:rPr>
        <w:t>完成 Mantis 固定基座双臂资产、关节/夹爪语义映射、碗模型 Genesis 材质化；冻结仿真腕部相机外参及 250 Hz TOPP→30 Hz 控制重采样规则。</w:t>
      </w:r>
    </w:p>
    <w:p>
      <w:pPr>
        <w:numPr>
          <w:ilvl w:val="0"/>
          <w:numId w:val="42"/>
        </w:numPr>
        <w:spacing w:before="0" w:after="60" w:line="280" w:lineRule="auto"/>
      </w:pPr>
      <w:r>
        <w:rPr>
          <w:rFonts w:ascii="Heiti SC" w:hAnsi="Heiti SC" w:eastAsia="Heiti SC" w:cs="Heiti SC"/>
          <w:b/>
          <w:i w:val="0"/>
          <w:color w:val="1F2937"/>
          <w:sz w:val="21"/>
        </w:rPr>
        <w:t>AMD ROCm 运行时贯通：</w:t>
      </w:r>
      <w:r>
        <w:rPr>
          <w:rFonts w:ascii="Heiti SC" w:hAnsi="Heiti SC" w:eastAsia="Heiti SC" w:cs="Heiti SC"/>
          <w:b w:val="0"/>
          <w:i w:val="0"/>
          <w:color w:val="1F2937"/>
          <w:sz w:val="21"/>
        </w:rPr>
        <w:t>在官方单 Radeon 环境完成 ROCm 7.2.1、PyTorch ROCm、Genesis gs.amdgpu、LeRobot 与三相机采集链路验证。</w:t>
      </w:r>
    </w:p>
    <w:p>
      <w:pPr>
        <w:numPr>
          <w:ilvl w:val="0"/>
          <w:numId w:val="42"/>
        </w:numPr>
        <w:spacing w:before="0" w:after="60" w:line="280" w:lineRule="auto"/>
      </w:pPr>
      <w:r>
        <w:rPr>
          <w:rFonts w:ascii="Heiti SC" w:hAnsi="Heiti SC" w:eastAsia="Heiti SC" w:cs="Heiti SC"/>
          <w:b/>
          <w:i w:val="0"/>
          <w:color w:val="1F2937"/>
          <w:sz w:val="21"/>
        </w:rPr>
        <w:t>官方 AMD ACT 基线：</w:t>
      </w:r>
      <w:r>
        <w:rPr>
          <w:rFonts w:ascii="Heiti SC" w:hAnsi="Heiti SC" w:eastAsia="Heiti SC" w:cs="Heiti SC"/>
          <w:b w:val="0"/>
          <w:i w:val="0"/>
          <w:color w:val="1F2937"/>
          <w:sz w:val="21"/>
        </w:rPr>
        <w:t>完成单卡 60,000 step 训练，形成 12 个 5,000-step 检查点；最终记录损失 0.023，训练退出码、GPU 遥测及哈希清单均通过终态审计。</w:t>
      </w:r>
    </w:p>
    <w:p>
      <w:pPr>
        <w:numPr>
          <w:ilvl w:val="0"/>
          <w:numId w:val="42"/>
        </w:numPr>
        <w:spacing w:before="0" w:after="60" w:line="280" w:lineRule="auto"/>
      </w:pPr>
      <w:r>
        <w:rPr>
          <w:rFonts w:ascii="Heiti SC" w:hAnsi="Heiti SC" w:eastAsia="Heiti SC" w:cs="Heiti SC"/>
          <w:b/>
          <w:i w:val="0"/>
          <w:color w:val="1F2937"/>
          <w:sz w:val="21"/>
        </w:rPr>
        <w:t>闭环评测与失败归因：</w:t>
      </w:r>
      <w:r>
        <w:rPr>
          <w:rFonts w:ascii="Heiti SC" w:hAnsi="Heiti SC" w:eastAsia="Heiti SC" w:cs="Heiti SC"/>
          <w:b w:val="0"/>
          <w:i w:val="0"/>
          <w:color w:val="1F2937"/>
          <w:sz w:val="21"/>
        </w:rPr>
        <w:t>完成 AMD G3 精确 10 种子评测：0/10 成功、8 次超时、2 次碰撞；完成六轨迹 CUDA 纠正训练与三种子复测，仍未达到 AMD 纠正训练晋级门槛。</w:t>
      </w:r>
    </w:p>
    <w:p>
      <w:pPr>
        <w:numPr>
          <w:ilvl w:val="0"/>
          <w:numId w:val="42"/>
        </w:numPr>
        <w:spacing w:before="0" w:after="60" w:line="280" w:lineRule="auto"/>
      </w:pPr>
      <w:r>
        <w:rPr>
          <w:rFonts w:ascii="Heiti SC" w:hAnsi="Heiti SC" w:eastAsia="Heiti SC" w:cs="Heiti SC"/>
          <w:b/>
          <w:i w:val="0"/>
          <w:color w:val="1F2937"/>
          <w:sz w:val="21"/>
        </w:rPr>
        <w:t>定向数据覆盖：</w:t>
      </w:r>
      <w:r>
        <w:rPr>
          <w:rFonts w:ascii="Heiti SC" w:hAnsi="Heiti SC" w:eastAsia="Heiti SC" w:cs="Heiti SC"/>
          <w:b w:val="0"/>
          <w:i w:val="0"/>
          <w:color w:val="1F2937"/>
          <w:sz w:val="21"/>
        </w:rPr>
        <w:t>30 个候选种子获得 7 条哈希可验证严格轨迹，右臂优先仅 1 条；RLL16 的 16 个候选均在 probe 阶段失败，无新增轨迹，门禁保持关闭。</w:t>
      </w:r>
    </w:p>
    <w:p>
      <w:pPr>
        <w:numPr>
          <w:ilvl w:val="0"/>
          <w:numId w:val="42"/>
        </w:numPr>
        <w:spacing w:before="0" w:after="60" w:line="280" w:lineRule="auto"/>
      </w:pPr>
      <w:r>
        <w:rPr>
          <w:rFonts w:ascii="Heiti SC" w:hAnsi="Heiti SC" w:eastAsia="Heiti SC" w:cs="Heiti SC"/>
          <w:b/>
          <w:i w:val="0"/>
          <w:color w:val="1F2937"/>
          <w:sz w:val="21"/>
        </w:rPr>
        <w:t>证据备份与交付工程：</w:t>
      </w:r>
      <w:r>
        <w:rPr>
          <w:rFonts w:ascii="Heiti SC" w:hAnsi="Heiti SC" w:eastAsia="Heiti SC" w:cs="Heiti SC"/>
          <w:b w:val="0"/>
          <w:i w:val="0"/>
          <w:color w:val="1F2937"/>
          <w:sz w:val="21"/>
        </w:rPr>
        <w:t>已将本地持有的 257 个 AMD 证据文件完整校验后镜像至 219 服务器 /data/mid8；两次 ROCm 提交镜像构建的网络失败已作为不可变负证据保留。</w:t>
      </w:r>
    </w:p>
    <w:p>
      <w:pPr>
        <w:pStyle w:val="Heading1"/>
        <w:keepNext/>
      </w:pPr>
      <w:r>
        <w:t>二、当前状态</w:t>
      </w:r>
    </w:p>
    <w:tbl>
      <w:tblPr>
        <w:tblStyle w:val="TableGrid"/>
        <w:tblW w:type="dxa" w:w="9360"/>
        <w:tblLayout w:type="fixed"/>
        <w:tblLook w:firstColumn="1" w:firstRow="1" w:lastColumn="0" w:lastRow="0" w:noHBand="0" w:noVBand="1" w:val="04A0"/>
        <w:tblInd w:w="120" w:type="dxa"/>
      </w:tblPr>
      <w:tblGrid>
        <w:gridCol w:w="2100"/>
        <w:gridCol w:w="1650"/>
        <w:gridCol w:w="5610"/>
      </w:tblGrid>
      <w:tr>
        <w:tc>
          <w:tcPr>
            <w:tcW w:type="dxa" w:w="2100"/>
            <w:shd w:fill="F2F4F7"/>
            <w:tcMar>
              <w:top w:w="80" w:type="dxa"/>
              <w:start w:w="120" w:type="dxa"/>
              <w:bottom w:w="80" w:type="dxa"/>
              <w:end w:w="120" w:type="dxa"/>
            </w:tcMar>
            <w:vAlign w:val="center"/>
          </w:tcPr>
          <w:p>
            <w:pPr>
              <w:spacing w:before="0" w:after="0" w:line="240" w:lineRule="auto"/>
              <w:jc w:val="center"/>
            </w:pPr>
            <w:r>
              <w:rPr>
                <w:rFonts w:ascii="Heiti SC" w:hAnsi="Heiti SC" w:eastAsia="Heiti SC" w:cs="Heiti SC"/>
                <w:b/>
                <w:i w:val="0"/>
                <w:color w:val="1F2937"/>
                <w:sz w:val="19"/>
              </w:rPr>
              <w:t>工作域</w:t>
            </w:r>
          </w:p>
        </w:tc>
        <w:tc>
          <w:tcPr>
            <w:tcW w:type="dxa" w:w="1650"/>
            <w:shd w:fill="F2F4F7"/>
            <w:tcMar>
              <w:top w:w="80" w:type="dxa"/>
              <w:start w:w="120" w:type="dxa"/>
              <w:bottom w:w="80" w:type="dxa"/>
              <w:end w:w="120" w:type="dxa"/>
            </w:tcMar>
            <w:vAlign w:val="center"/>
          </w:tcPr>
          <w:p>
            <w:pPr>
              <w:spacing w:before="0" w:after="0" w:line="240" w:lineRule="auto"/>
              <w:jc w:val="center"/>
            </w:pPr>
            <w:r>
              <w:rPr>
                <w:rFonts w:ascii="Heiti SC" w:hAnsi="Heiti SC" w:eastAsia="Heiti SC" w:cs="Heiti SC"/>
                <w:b/>
                <w:i w:val="0"/>
                <w:color w:val="1F2937"/>
                <w:sz w:val="19"/>
              </w:rPr>
              <w:t>状态</w:t>
            </w:r>
          </w:p>
        </w:tc>
        <w:tc>
          <w:tcPr>
            <w:tcW w:type="dxa" w:w="5610"/>
            <w:shd w:fill="F2F4F7"/>
            <w:tcMar>
              <w:top w:w="80" w:type="dxa"/>
              <w:start w:w="120" w:type="dxa"/>
              <w:bottom w:w="80" w:type="dxa"/>
              <w:end w:w="120" w:type="dxa"/>
            </w:tcMar>
            <w:vAlign w:val="center"/>
          </w:tcPr>
          <w:p>
            <w:pPr>
              <w:spacing w:before="0" w:after="0" w:line="240" w:lineRule="auto"/>
              <w:jc w:val="center"/>
            </w:pPr>
            <w:r>
              <w:rPr>
                <w:rFonts w:ascii="Heiti SC" w:hAnsi="Heiti SC" w:eastAsia="Heiti SC" w:cs="Heiti SC"/>
                <w:b/>
                <w:i w:val="0"/>
                <w:color w:val="1F2937"/>
                <w:sz w:val="19"/>
              </w:rPr>
              <w:t>结论</w:t>
            </w:r>
          </w:p>
        </w:tc>
      </w:tr>
      <w:t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val="0"/>
                <w:i w:val="0"/>
                <w:color w:val="1F2937"/>
                <w:sz w:val="18"/>
              </w:rPr>
              <w:t>资产/仿真/接口</w:t>
            </w:r>
          </w:p>
        </w:tc>
        <w:tc>
          <w:tcPr>
            <w:tcW w:type="dxa" w:w="165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i w:val="0"/>
                <w:color w:val="1F6B45"/>
                <w:sz w:val="18"/>
              </w:rPr>
              <w:t>已完成</w:t>
            </w:r>
          </w:p>
        </w:tc>
        <w:tc>
          <w:tcPr>
            <w:tcW w:type="dxa" w:w="5610"/>
            <w:tcMar>
              <w:top w:w="80" w:type="dxa"/>
              <w:start w:w="120" w:type="dxa"/>
              <w:bottom w:w="80" w:type="dxa"/>
              <w:end w:w="120" w:type="dxa"/>
            </w:tcMar>
            <w:vAlign w:val="center"/>
          </w:tcPr>
          <w:p>
            <w:pPr>
              <w:spacing w:before="0" w:after="0" w:line="252" w:lineRule="auto"/>
              <w:jc w:val="left"/>
            </w:pPr>
            <w:r>
              <w:rPr>
                <w:rFonts w:ascii="Heiti SC" w:hAnsi="Heiti SC" w:eastAsia="Heiti SC" w:cs="Heiti SC"/>
                <w:b w:val="0"/>
                <w:i w:val="0"/>
                <w:color w:val="1F2937"/>
                <w:sz w:val="18"/>
              </w:rPr>
              <w:t>核心迁移合同与仿真链路已冻结并验证</w:t>
            </w:r>
          </w:p>
        </w:tc>
      </w:tr>
      <w:t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val="0"/>
                <w:i w:val="0"/>
                <w:color w:val="1F2937"/>
                <w:sz w:val="18"/>
              </w:rPr>
              <w:t>AMD 单卡训练</w:t>
            </w:r>
          </w:p>
        </w:tc>
        <w:tc>
          <w:tcPr>
            <w:tcW w:type="dxa" w:w="165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i w:val="0"/>
                <w:color w:val="1F6B45"/>
                <w:sz w:val="18"/>
              </w:rPr>
              <w:t>已完成</w:t>
            </w:r>
          </w:p>
        </w:tc>
        <w:tc>
          <w:tcPr>
            <w:tcW w:type="dxa" w:w="5610"/>
            <w:tcMar>
              <w:top w:w="80" w:type="dxa"/>
              <w:start w:w="120" w:type="dxa"/>
              <w:bottom w:w="80" w:type="dxa"/>
              <w:end w:w="120" w:type="dxa"/>
            </w:tcMar>
            <w:vAlign w:val="center"/>
          </w:tcPr>
          <w:p>
            <w:pPr>
              <w:spacing w:before="0" w:after="0" w:line="252" w:lineRule="auto"/>
              <w:jc w:val="left"/>
            </w:pPr>
            <w:r>
              <w:rPr>
                <w:rFonts w:ascii="Heiti SC" w:hAnsi="Heiti SC" w:eastAsia="Heiti SC" w:cs="Heiti SC"/>
                <w:b w:val="0"/>
                <w:i w:val="0"/>
                <w:color w:val="1F2937"/>
                <w:sz w:val="18"/>
              </w:rPr>
              <w:t>60k ACT 训练、检查点与证据链完整</w:t>
            </w:r>
          </w:p>
        </w:tc>
      </w:tr>
      <w:t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val="0"/>
                <w:i w:val="0"/>
                <w:color w:val="1F2937"/>
                <w:sz w:val="18"/>
              </w:rPr>
              <w:t>G3 闭环门禁</w:t>
            </w:r>
          </w:p>
        </w:tc>
        <w:tc>
          <w:tcPr>
            <w:tcW w:type="dxa" w:w="165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i w:val="0"/>
                <w:color w:val="9B1C1C"/>
                <w:sz w:val="18"/>
              </w:rPr>
              <w:t>未通过</w:t>
            </w:r>
          </w:p>
        </w:tc>
        <w:tc>
          <w:tcPr>
            <w:tcW w:type="dxa" w:w="5610"/>
            <w:tcMar>
              <w:top w:w="80" w:type="dxa"/>
              <w:start w:w="120" w:type="dxa"/>
              <w:bottom w:w="80" w:type="dxa"/>
              <w:end w:w="120" w:type="dxa"/>
            </w:tcMar>
            <w:vAlign w:val="center"/>
          </w:tcPr>
          <w:p>
            <w:pPr>
              <w:spacing w:before="0" w:after="0" w:line="252" w:lineRule="auto"/>
              <w:jc w:val="left"/>
            </w:pPr>
            <w:r>
              <w:rPr>
                <w:rFonts w:ascii="Heiti SC" w:hAnsi="Heiti SC" w:eastAsia="Heiti SC" w:cs="Heiti SC"/>
                <w:b w:val="0"/>
                <w:i w:val="0"/>
                <w:color w:val="1F2937"/>
                <w:sz w:val="18"/>
              </w:rPr>
              <w:t>当前 0/10；需先修正训练数据分布</w:t>
            </w:r>
          </w:p>
        </w:tc>
      </w:tr>
      <w:t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val="0"/>
                <w:i w:val="0"/>
                <w:color w:val="1F2937"/>
                <w:sz w:val="18"/>
              </w:rPr>
              <w:t>定向轨迹覆盖</w:t>
            </w:r>
          </w:p>
        </w:tc>
        <w:tc>
          <w:tcPr>
            <w:tcW w:type="dxa" w:w="165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i w:val="0"/>
                <w:color w:val="8A5A00"/>
                <w:sz w:val="18"/>
              </w:rPr>
              <w:t>不足</w:t>
            </w:r>
          </w:p>
        </w:tc>
        <w:tc>
          <w:tcPr>
            <w:tcW w:type="dxa" w:w="5610"/>
            <w:tcMar>
              <w:top w:w="80" w:type="dxa"/>
              <w:start w:w="120" w:type="dxa"/>
              <w:bottom w:w="80" w:type="dxa"/>
              <w:end w:w="120" w:type="dxa"/>
            </w:tcMar>
            <w:vAlign w:val="center"/>
          </w:tcPr>
          <w:p>
            <w:pPr>
              <w:spacing w:before="0" w:after="0" w:line="252" w:lineRule="auto"/>
              <w:jc w:val="left"/>
            </w:pPr>
            <w:r>
              <w:rPr>
                <w:rFonts w:ascii="Heiti SC" w:hAnsi="Heiti SC" w:eastAsia="Heiti SC" w:cs="Heiti SC"/>
                <w:b w:val="0"/>
                <w:i w:val="0"/>
                <w:color w:val="1F2937"/>
                <w:sz w:val="18"/>
              </w:rPr>
              <w:t>复合 7 条，右臂优先仅 1 条；RLL16 未增量</w:t>
            </w:r>
          </w:p>
        </w:tc>
      </w:tr>
      <w:tr>
        <w:tc>
          <w:tcPr>
            <w:tcW w:type="dxa" w:w="210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val="0"/>
                <w:i w:val="0"/>
                <w:color w:val="1F2937"/>
                <w:sz w:val="18"/>
              </w:rPr>
              <w:t>备份与镜像</w:t>
            </w:r>
          </w:p>
        </w:tc>
        <w:tc>
          <w:tcPr>
            <w:tcW w:type="dxa" w:w="1650"/>
            <w:tcMar>
              <w:top w:w="80" w:type="dxa"/>
              <w:start w:w="120" w:type="dxa"/>
              <w:bottom w:w="80" w:type="dxa"/>
              <w:end w:w="120" w:type="dxa"/>
            </w:tcMar>
            <w:vAlign w:val="center"/>
          </w:tcPr>
          <w:p>
            <w:pPr>
              <w:spacing w:before="0" w:after="0" w:line="252" w:lineRule="auto"/>
              <w:jc w:val="center"/>
            </w:pPr>
            <w:r>
              <w:rPr>
                <w:rFonts w:ascii="Heiti SC" w:hAnsi="Heiti SC" w:eastAsia="Heiti SC" w:cs="Heiti SC"/>
                <w:b/>
                <w:i w:val="0"/>
                <w:color w:val="8A5A00"/>
                <w:sz w:val="18"/>
              </w:rPr>
              <w:t>进行中</w:t>
            </w:r>
          </w:p>
        </w:tc>
        <w:tc>
          <w:tcPr>
            <w:tcW w:type="dxa" w:w="5610"/>
            <w:tcMar>
              <w:top w:w="80" w:type="dxa"/>
              <w:start w:w="120" w:type="dxa"/>
              <w:bottom w:w="80" w:type="dxa"/>
              <w:end w:w="120" w:type="dxa"/>
            </w:tcMar>
            <w:vAlign w:val="center"/>
          </w:tcPr>
          <w:p>
            <w:pPr>
              <w:spacing w:before="0" w:after="0" w:line="252" w:lineRule="auto"/>
              <w:jc w:val="left"/>
            </w:pPr>
            <w:r>
              <w:rPr>
                <w:rFonts w:ascii="Heiti SC" w:hAnsi="Heiti SC" w:eastAsia="Heiti SC" w:cs="Heiti SC"/>
                <w:b w:val="0"/>
                <w:i w:val="0"/>
                <w:color w:val="1F2937"/>
                <w:sz w:val="18"/>
              </w:rPr>
              <w:t>本地证据已备份；远端原始根与可运行镜像待完成</w:t>
            </w:r>
          </w:p>
        </w:tc>
      </w:tr>
    </w:tbl>
    <w:p>
      <w:pPr>
        <w:pStyle w:val="Heading1"/>
        <w:keepNext/>
      </w:pPr>
      <w:r>
        <w:t>三、下周重点</w:t>
      </w:r>
    </w:p>
    <w:p>
      <w:pPr>
        <w:numPr>
          <w:ilvl w:val="0"/>
          <w:numId w:val="42"/>
        </w:numPr>
        <w:spacing w:before="0" w:after="60" w:line="280" w:lineRule="auto"/>
      </w:pPr>
      <w:r>
        <w:rPr>
          <w:rFonts w:ascii="Heiti SC" w:hAnsi="Heiti SC" w:eastAsia="Heiti SC" w:cs="Heiti SC"/>
          <w:b/>
          <w:i w:val="0"/>
          <w:color w:val="1F2937"/>
          <w:sz w:val="21"/>
        </w:rPr>
        <w:t>修复 RLL16 probe 失败：</w:t>
      </w:r>
      <w:r>
        <w:rPr>
          <w:rFonts w:ascii="Heiti SC" w:hAnsi="Heiti SC" w:eastAsia="Heiti SC" w:cs="Heiti SC"/>
          <w:b w:val="0"/>
          <w:i w:val="0"/>
          <w:color w:val="1F2937"/>
          <w:sz w:val="21"/>
        </w:rPr>
        <w:t>先完成精确故障归因，仅允许一次一个变量的纠正；重新获得至少 2 条右臂优先严格成功轨迹后，才开放数据集导出。</w:t>
      </w:r>
    </w:p>
    <w:p>
      <w:pPr>
        <w:numPr>
          <w:ilvl w:val="0"/>
          <w:numId w:val="42"/>
        </w:numPr>
        <w:spacing w:before="0" w:after="60" w:line="280" w:lineRule="auto"/>
      </w:pPr>
      <w:r>
        <w:rPr>
          <w:rFonts w:ascii="Heiti SC" w:hAnsi="Heiti SC" w:eastAsia="Heiti SC" w:cs="Heiti SC"/>
          <w:b/>
          <w:i w:val="0"/>
          <w:color w:val="1F2937"/>
          <w:sz w:val="21"/>
        </w:rPr>
        <w:t>完成纠正训练闭环：</w:t>
      </w:r>
      <w:r>
        <w:rPr>
          <w:rFonts w:ascii="Heiti SC" w:hAnsi="Heiti SC" w:eastAsia="Heiti SC" w:cs="Heiti SC"/>
          <w:b w:val="0"/>
          <w:i w:val="0"/>
          <w:color w:val="1F2937"/>
          <w:sz w:val="21"/>
        </w:rPr>
        <w:t>覆盖门禁通过后生成新 LeRobot 数据集，执行同配置单卡 ACT 训练，并按 CUDA 代表性 G3→官方 AMD G3 的顺序晋级。</w:t>
      </w:r>
    </w:p>
    <w:p>
      <w:pPr>
        <w:numPr>
          <w:ilvl w:val="0"/>
          <w:numId w:val="42"/>
        </w:numPr>
        <w:spacing w:before="0" w:after="60" w:line="280" w:lineRule="auto"/>
      </w:pPr>
      <w:r>
        <w:rPr>
          <w:rFonts w:ascii="Heiti SC" w:hAnsi="Heiti SC" w:eastAsia="Heiti SC" w:cs="Heiti SC"/>
          <w:b/>
          <w:i w:val="0"/>
          <w:color w:val="1F2937"/>
          <w:sz w:val="21"/>
        </w:rPr>
        <w:t>补齐交付与合规：</w:t>
      </w:r>
      <w:r>
        <w:rPr>
          <w:rFonts w:ascii="Heiti SC" w:hAnsi="Heiti SC" w:eastAsia="Heiti SC" w:cs="Heiti SC"/>
          <w:b w:val="0"/>
          <w:i w:val="0"/>
          <w:color w:val="1F2937"/>
          <w:sz w:val="21"/>
        </w:rPr>
        <w:t>完成 AMD 原始实验备份、可复现 ROCm 镜像及运行时门禁；推进 Mantis 资产许可，未授权前不公开 URDF/网格。</w:t>
      </w:r>
    </w:p>
    <w:p>
      <w:pPr>
        <w:spacing w:before="120" w:after="0" w:line="252" w:lineRule="auto"/>
      </w:pPr>
      <w:r>
        <w:rPr>
          <w:rFonts w:ascii="Heiti SC" w:hAnsi="Heiti SC" w:eastAsia="Heiti SC" w:cs="Heiti SC"/>
          <w:b/>
          <w:i w:val="0"/>
          <w:color w:val="667085"/>
          <w:sz w:val="17"/>
        </w:rPr>
        <w:t>口径说明：</w:t>
      </w:r>
      <w:r>
        <w:rPr>
          <w:rFonts w:ascii="Heiti SC" w:hAnsi="Heiti SC" w:eastAsia="Heiti SC" w:cs="Heiti SC"/>
          <w:b w:val="0"/>
          <w:i w:val="0"/>
          <w:color w:val="667085"/>
          <w:sz w:val="17"/>
        </w:rPr>
        <w:t>60k 训练仅证明优化与证据链；负向 G3 结果不证明任务成功、泛化、鲁棒性或实机安全。</w:t>
      </w:r>
    </w:p>
    <w:sectPr w:rsidR="00FC693F" w:rsidRPr="0006063C" w:rsidSect="00034616">
      <w:headerReference w:type="default" r:id="rId9"/>
      <w:footerReference w:type="default" r:id="rId10"/>
      <w:pgSz w:w="12240" w:h="15840"/>
      <w:pgMar w:top="1037"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Heiti SC" w:hAnsi="Heiti SC" w:eastAsia="Heiti SC" w:cs="Heiti SC"/>
        <w:b w:val="0"/>
        <w:i w:val="0"/>
        <w:color w:val="667085"/>
        <w:sz w:val="18"/>
      </w:rPr>
      <w:t xml:space="preserve">内部阶段简报  |  第 </w:t>
    </w:r>
    <w:r>
      <w:rPr>
        <w:rFonts w:ascii="Heiti SC" w:hAnsi="Heiti SC" w:eastAsia="Heiti SC" w:cs="Heiti SC"/>
        <w:b w:val="0"/>
        <w:i w:val="0"/>
        <w:color w:val="667085"/>
        <w:sz w:val="18"/>
      </w:rPr>
      <w:fldChar w:fldCharType="begin"/>
      <w:instrText xml:space="preserve"> PAGE </w:instrText>
      <w:fldChar w:fldCharType="separate"/>
      <w:t>1</w:t>
      <w:fldChar w:fldCharType="end"/>
    </w:r>
    <w:r>
      <w:rPr>
        <w:rFonts w:ascii="Heiti SC" w:hAnsi="Heiti SC" w:eastAsia="Heiti SC" w:cs="Heiti SC"/>
        <w:b w:val="0"/>
        <w:i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Heiti SC" w:hAnsi="Heiti SC" w:eastAsia="Heiti SC" w:cs="Heiti SC"/>
        <w:b/>
        <w:i w:val="0"/>
        <w:color w:val="667085"/>
        <w:sz w:val="17"/>
      </w:rPr>
      <w:t>MANTIS TRACK 3  ·  PROJECT WEEKLY REPORT</w:t>
    </w:r>
    <w:r>
      <w:rPr>
        <w:rFonts w:ascii="Heiti SC" w:hAnsi="Heiti SC" w:eastAsia="Heiti SC" w:cs="Heiti SC"/>
        <w:b w:val="0"/>
        <w:i w:val="0"/>
        <w:color w:val="667085"/>
        <w:sz w:val="17"/>
      </w:rPr>
      <w:t xml:space="preserve">                  2026-07-28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suff w:val="tab"/>
      <w:pPr>
        <w:tabs>
          <w:tab w:val="num" w:pos="720"/>
        </w:tabs>
        <w:ind w:left="720" w:hanging="360"/>
        <w:spacing w:after="100" w:line="280" w:lineRule="auto"/>
      </w:pPr>
      <w:rPr>
        <w:rFonts w:ascii="Heiti SC" w:hAnsi="Heiti SC" w:eastAsia="Heiti SC" w:cs="Heiti SC"/>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Heiti SC" w:hAnsi="Heiti SC" w:eastAsia="Heiti SC" w:cs="Heiti S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Heiti SC" w:hAnsi="Heiti SC" w:eastAsia="Heiti SC" w:cs="Heiti SC"/>
      <w:b/>
      <w:bCs/>
      <w:color w:val="245B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Track 3 项目周报（2026-07-22 至 2026-07-28）</dc:title>
  <dc:subject>AMD Radeon + ROCm 机器人仿真、训练与闭环评测阶段周报</dc:subject>
  <dc:creator>Mantis Track 3 Project</dc:creator>
  <cp:keywords>Mantis, AMD, ROCm, Genesis, LeRobot, ACT, Track 3</cp:keywords>
  <dc:description>generated by python-docx</dc:description>
  <cp:lastModifiedBy/>
  <cp:revision>1</cp:revision>
  <dcterms:created xsi:type="dcterms:W3CDTF">2013-12-23T23:15:00Z</dcterms:created>
  <dcterms:modified xsi:type="dcterms:W3CDTF">2013-12-23T23:15:00Z</dcterms:modified>
  <cp:category/>
</cp:coreProperties>
</file>