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Calibri" w:cs="Calibri" w:eastAsia="Calibri" w:hAnsi="Calibri"/>
          <w:b/>
          <w:bCs/>
          <w:color w:val="1B2A4A"/>
          <w:sz w:val="60"/>
          <w:szCs w:val="60"/>
        </w:rPr>
        <w:t xml:space="preserve">Nova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5EAA"/>
          <w:sz w:val="30"/>
          <w:szCs w:val="30"/>
        </w:rPr>
        <w:t xml:space="preserve">Private Local Research Assistant</w:t>
      </w:r>
    </w:p>
    <w:p>
      <w:pPr>
        <w:spacing w:after="320"/>
        <w:jc w:val="center"/>
      </w:pPr>
      <w:r>
        <w:rPr>
          <w:rFonts w:ascii="Calibri" w:cs="Calibri" w:eastAsia="Calibri" w:hAnsi="Calibri"/>
          <w:i/>
          <w:iCs/>
          <w:color w:val="5A6472"/>
          <w:sz w:val="24"/>
          <w:szCs w:val="24"/>
        </w:rPr>
        <w:t xml:space="preserve">Project Specification Document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AMD AI DevMaster Hackathon — Track 2: Development &amp; Local Deployment of Private AI Agents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Submitted by: DohaIsianioui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1. Application Scenarios</w:t>
      </w:r>
    </w:p>
    <w:p>
      <w:pPr>
        <w:spacing w:after="160" w:line="280"/>
      </w:pPr>
      <w:r>
        <w:rPr>
          <w:rFonts w:ascii="Calibri" w:cs="Calibri" w:eastAsia="Calibri" w:hAnsi="Calibri"/>
          <w:sz w:val="22"/>
          <w:szCs w:val="22"/>
        </w:rPr>
        <w:t xml:space="preserve">Nova is a fully local, private AI agent that answers questions grounded in a user's own documents, invokes local tools, and remembers conversation context — with all core inference running on an AMD Radeon GPU via the ROCm software stack. It targets the "local knowledge base Q&amp;A assistant" use case defined in the Track 2 brief, extended with tool invocation and privacy controls so it functions as a general-purpose private research assistant rather than a single-purpose demo.</w:t>
      </w:r>
    </w:p>
    <w:p>
      <w:pPr>
        <w:spacing w:after="160" w:line="280"/>
      </w:pPr>
      <w:r>
        <w:rPr>
          <w:rFonts w:ascii="Calibri" w:cs="Calibri" w:eastAsia="Calibri" w:hAnsi="Calibri"/>
          <w:sz w:val="22"/>
          <w:szCs w:val="22"/>
        </w:rPr>
        <w:t xml:space="preserve">Primary application scenarios: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sz w:val="22"/>
          <w:szCs w:val="22"/>
        </w:rPr>
        <w:t xml:space="preserve">Personal research assistant — grounding answers in a user's own notes, papers, or technical documentation without sending that content to any third-party API.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sz w:val="22"/>
          <w:szCs w:val="22"/>
        </w:rPr>
        <w:t xml:space="preserve">Private knowledge base Q&amp;A — teams or individuals who need to query internal documents (specifications, manuals, reports) locally, with no data leaving their own infrastructure.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sz w:val="22"/>
          <w:szCs w:val="22"/>
        </w:rPr>
        <w:t xml:space="preserve">Lightweight office automation — quick file lookups and calculations handled by local tools rather than round-tripping through a cloud service.</w:t>
      </w:r>
    </w:p>
    <w:p>
      <w:pPr>
        <w:spacing w:after="160" w:line="280"/>
      </w:pPr>
      <w:r>
        <w:rPr>
          <w:rFonts w:ascii="Calibri" w:cs="Calibri" w:eastAsia="Calibri" w:hAnsi="Calibri"/>
          <w:sz w:val="22"/>
          <w:szCs w:val="22"/>
        </w:rPr>
        <w:t xml:space="preserve">Target users: individuals and small teams who need grounded, explainable answers from their own documents, and who care about keeping that data under their own control — a direct match for the "private AI Agent" framing of this track.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2. Agent Architecture</w:t>
      </w:r>
    </w:p>
    <w:p>
      <w:pPr>
        <w:spacing w:after="160" w:line="280"/>
      </w:pPr>
      <w:r>
        <w:rPr>
          <w:rFonts w:ascii="Calibri" w:cs="Calibri" w:eastAsia="Calibri" w:hAnsi="Calibri"/>
          <w:sz w:val="22"/>
          <w:szCs w:val="22"/>
        </w:rPr>
        <w:t xml:space="preserve">Nova's orchestration deliberately favors a transparent, rule-based intent router over a black-box function-calling loop. Every user turn is routed to exactly one grounding source — a tool, retrieved document chunks, or none — before the prompt reaches the model. This keeps tool-selection behavior auditable (important for a "private" agent handling potentially sensitive queries) and avoids the latency cost of an extra LLM round-trip just to decide whether to call a tool.</w:t>
      </w:r>
    </w:p>
    <w:p>
      <w:pPr>
        <w:spacing w:after="200" w:before="200"/>
        <w:jc w:val="center"/>
      </w:pPr>
      <w:r>
        <w:drawing>
          <wp:inline distT="0" distB="0" distL="0" distR="0">
            <wp:extent cx="4191000" cy="51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80"/>
      </w:pPr>
      <w:r>
        <w:rPr>
          <w:rFonts w:ascii="Calibri" w:cs="Calibri" w:eastAsia="Calibri" w:hAnsi="Calibri"/>
          <w:sz w:val="22"/>
          <w:szCs w:val="22"/>
        </w:rPr>
        <w:t xml:space="preserve">Pipeline for each user turn: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sz w:val="22"/>
          <w:szCs w:val="22"/>
        </w:rPr>
        <w:t xml:space="preserve">Route — the intent router matches the query against tool patterns (list files, read file, calculator); if none match, it falls back to RAG retrieval when the knowledge base is non-empty, or direct chat otherwise.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sz w:val="22"/>
          <w:szCs w:val="22"/>
        </w:rPr>
        <w:t xml:space="preserve">Gather context — the matched tool executes (permission-checked), or the top-k nearest chunks are retrieved from the local Chroma vector store.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sz w:val="22"/>
          <w:szCs w:val="22"/>
        </w:rPr>
        <w:t xml:space="preserve">Assemble prompt — a system prompt, the recent conversation window, any retrieved/tool context, and the new user turn are combined.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sz w:val="22"/>
          <w:szCs w:val="22"/>
        </w:rPr>
        <w:t xml:space="preserve">Infer — the assembled prompt is sent to the local vLLM endpoint (Radeon Cloud Dedicated Model API), running on the AMD Radeon GPU.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sz w:val="22"/>
          <w:szCs w:val="22"/>
        </w:rPr>
        <w:t xml:space="preserve">Record — the turn and response are appended to the bounded conversation memory for subsequent turns.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3. Introduction to Core Capabilities</w:t>
      </w:r>
    </w:p>
    <w:p>
      <w:pPr>
        <w:spacing w:after="160" w:line="280"/>
      </w:pPr>
      <w:r>
        <w:rPr>
          <w:rFonts w:ascii="Calibri" w:cs="Calibri" w:eastAsia="Calibri" w:hAnsi="Calibri"/>
          <w:sz w:val="22"/>
          <w:szCs w:val="22"/>
        </w:rPr>
        <w:t xml:space="preserve">Nova implements three of the five Track 2 capabilities, plus the permission-control mechanism as a differentiator (four total, exceeding the minimum of two required):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7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Local knowledge retrieval (RAG)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Documents are chunked, embedded locally (sentence-transformers, BAAI/bge-small-en-v1.5), and stored in a persistent Chroma vector database. User queries are embedded and matched against the closest chunks, which are injected into the model prompt as grounding context.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Tool invocation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 lightweight intent router matches user queries against registered tools (list_files, read_file, calculator) and dispatches to local Python handlers before falling back to RAG or direct chat, keeping tool-use behavior transparent and auditable.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Local multi-turn memory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 bounded, in-process conversation window (ConversationMemory) retains the most recent turns and is included in every prompt, allowing natural follow-up questions without external persistence.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Permission control &amp; privacy protection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File-access tools resolve and validate every path against an explicit allow-list (ALLOWED_TOOL_DIRS) before touching disk. Any path outside the allow-list is refused automatically, regardless of how the request is phrased.</w:t>
            </w:r>
          </w:p>
        </w:tc>
      </w:tr>
    </w:tbl>
    <w:p>
      <w:pPr>
        <w:spacing w:before="240"/>
      </w:pPr>
    </w:p>
    <w:p>
      <w:pPr>
        <w:spacing w:after="160" w:line="280"/>
      </w:pPr>
      <w:r>
        <w:rPr>
          <w:rFonts w:ascii="Calibri" w:cs="Calibri" w:eastAsia="Calibri" w:hAnsi="Calibri"/>
          <w:sz w:val="22"/>
          <w:szCs w:val="22"/>
        </w:rPr>
        <w:t xml:space="preserve">Design note: capabilities were deliberately kept composable and independently testable — each has dedicated unit tests (tests/test_agent.py) that mock the LLM and vector store, so routing and permission logic can be verified without a live GPU, in addition to end-to-end verification against the real deployed model.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4. Model Introduction &amp; Local Deployment Plan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EAA"/>
          <w:sz w:val="26"/>
          <w:szCs w:val="26"/>
        </w:rPr>
        <w:t xml:space="preserve">4.1 Model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Primary model:  </w:t>
      </w:r>
      <w:r>
        <w:rPr>
          <w:rFonts w:ascii="Calibri" w:cs="Calibri" w:eastAsia="Calibri" w:hAnsi="Calibri"/>
          <w:sz w:val="22"/>
          <w:szCs w:val="22"/>
        </w:rPr>
        <w:t xml:space="preserve">Qwen/Qwen2.5-7B-Instruct — a 7B-parameter instruction-tuned model chosen for a strong quality/VRAM tradeoff on a single Radeon GPU instance, and reliable performance on grounded, tool-augmented prompting.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Fallback model:  </w:t>
      </w:r>
      <w:r>
        <w:rPr>
          <w:rFonts w:ascii="Calibri" w:cs="Calibri" w:eastAsia="Calibri" w:hAnsi="Calibri"/>
          <w:sz w:val="22"/>
          <w:szCs w:val="22"/>
        </w:rPr>
        <w:t xml:space="preserve">Qwen/Qwen2.5-3B-Instruct, used if the primary model is VRAM-constrained on the provisioned instance.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Embedding model:  </w:t>
      </w:r>
      <w:r>
        <w:rPr>
          <w:rFonts w:ascii="Calibri" w:cs="Calibri" w:eastAsia="Calibri" w:hAnsi="Calibri"/>
          <w:sz w:val="22"/>
          <w:szCs w:val="22"/>
        </w:rPr>
        <w:t xml:space="preserve">BAAI/bge-small-en-v1.5, chosen to stay lightweight so it does not compete heavily with the main LLM for GPU resources.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EAA"/>
          <w:sz w:val="26"/>
          <w:szCs w:val="26"/>
        </w:rPr>
        <w:t xml:space="preserve">4.2 Deployment Plan</w:t>
      </w:r>
    </w:p>
    <w:p>
      <w:pPr>
        <w:spacing w:after="160" w:line="280"/>
      </w:pPr>
      <w:r>
        <w:rPr>
          <w:rFonts w:ascii="Calibri" w:cs="Calibri" w:eastAsia="Calibri" w:hAnsi="Calibri"/>
          <w:sz w:val="22"/>
          <w:szCs w:val="22"/>
        </w:rPr>
        <w:t xml:space="preserve">Nova's LLM backend is deployed directly through Radeon Cloud's vLLM Dedicated Model API rather than a self-managed build, keeping the setup reproducible for evaluators: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sz w:val="22"/>
          <w:szCs w:val="22"/>
        </w:rPr>
        <w:t xml:space="preserve">Container image: vllm-dev:rocm7.2.1_navi_ubuntu22.04_py3.10_pytorch_2.9_vllm_0.16.0 (Radeon Cloud template, ROCm 7.2.1 + vLLM 0.16.0 pre-installed).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sz w:val="22"/>
          <w:szCs w:val="22"/>
        </w:rPr>
        <w:t xml:space="preserve">Deploy Type: vLLM Model API, with Serve Command: vllm serve Qwen/Qwen2.5-7B-Instruct --host 0.0.0.0 --port 8000.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sz w:val="22"/>
          <w:szCs w:val="22"/>
        </w:rPr>
        <w:t xml:space="preserve">The platform exposes a dedicated, OpenAI-compatible Base URL (.../spaces/&lt;id&gt;/8000/v1), Model name, and API Key, which are provided to Nova via three environment variables (NOVA_LLM_BASE_URL, NOVA_LLM_MODEL_NAME, NOVA_LLM_API_KEY).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sz w:val="22"/>
          <w:szCs w:val="22"/>
        </w:rPr>
        <w:t xml:space="preserve">Nova's own process (ingestion + Gradio UI) runs in the same Radeon Cloud environment via a JupyterLab terminal or SSH session, so the full pipeline — from document ingestion to model inference — executes on AMD Radeon hardware.</w:t>
      </w:r>
    </w:p>
    <w:p>
      <w:pPr>
        <w:spacing w:after="160" w:line="280"/>
      </w:pPr>
      <w:r>
        <w:rPr>
          <w:rFonts w:ascii="Calibri" w:cs="Calibri" w:eastAsia="Calibri" w:hAnsi="Calibri"/>
          <w:sz w:val="22"/>
          <w:szCs w:val="22"/>
        </w:rPr>
        <w:t xml:space="preserve">This satisfies the requirement that core inference execute locally on AMD Radeon GPU: no remote third-party API is used for the LLM or the embedding model.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5. Optimization Description for Inference Speed on AMD Radeon GPU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sz w:val="22"/>
          <w:szCs w:val="22"/>
        </w:rPr>
        <w:t xml:space="preserve">vLLM's continuous batching and PagedAttention (used automatically by vllm serve) provide strong throughput on a single Radeon GPU without additional manual tuning.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sz w:val="22"/>
          <w:szCs w:val="22"/>
        </w:rPr>
        <w:t xml:space="preserve">A 7B-parameter instruct model was selected specifically to fit comfortably within a single Radeon GPU instance's VRAM while retaining strong instruction-following quality; a 3B fallback is defined for more constrained instances.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sz w:val="22"/>
          <w:szCs w:val="22"/>
        </w:rPr>
        <w:t xml:space="preserve">The embedding model is intentionally small (bge-small-en-v1.5) so RAG retrieval does not compete with the main LLM for GPU memory or compute during a turn.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sz w:val="22"/>
          <w:szCs w:val="22"/>
        </w:rPr>
        <w:t xml:space="preserve">Conversation memory is capped (MEMORY_MAX_TURNS) to bound prompt length, which keeps per-turn latency predictable as a session grows longer.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sz w:val="22"/>
          <w:szCs w:val="22"/>
        </w:rPr>
        <w:t xml:space="preserve">RAG retrieval uses a fixed top-k (default 4) and moderate chunk size (800 characters, 120 overlap), balancing answer groundedness against prompt length / inference time.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sz w:val="22"/>
          <w:szCs w:val="22"/>
        </w:rPr>
        <w:t xml:space="preserve">The platform-required --host 0.0.0.0 --port 8000 serve configuration is preserved exactly, ensuring the routed endpoint remains stable across redeploys.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Appendix — Technology Stack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2E5EA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50"/>
            <w:shd w:fill="2E5EA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LLM inference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Qwen2.5-7B-Instruct (fallback: Qwen2.5-3B-Instruct), served via vLLM on Radeon Cloud's Dedicated Model API, exposing an OpenAI-compatible endpoint backed by an AMD Radeon GPU running ROCm 7.2.1.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Embeddings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sentence-transformers, BAAI/bge-small-en-v1.5 — lightweight, runs locally, GPU-accelerated automatically when a ROCm-enabled PyTorch build is present.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Chroma, local persistent client — no external database service required.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Custom, transparent intent router (no black-box function-calling loop) implemented in src/agent.py — chosen over a heavier framework to keep tool-selection behavior auditable, which matters for a privacy-focused agent.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UI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Gradio ChatInterface, served locally on the deployment instance.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Container image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vllm-dev:rocm7.2.1_navi_ubuntu22.04_py3.10_pytorch_2.9_vllm_0.16.0 (Radeon Cloud template, pre-configured with vLLM 0.16.0 on ROCm 7.2.1).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i/>
          <w:iCs/>
          <w:color w:val="5A6472"/>
          <w:sz w:val="20"/>
          <w:szCs w:val="20"/>
        </w:rPr>
        <w:t xml:space="preserve">Full source code, README, and reproduction instructions are included in the accompanying project source code submission.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70" w:hanging="260"/>
      </w:pPr>
    </w:lvl>
    <w:lvl w:ilvl="1" w15:tentative="1">
      <w:start w:val="1"/>
      <w:numFmt w:val="bullet"/>
      <w:lvlText w:val="◦"/>
      <w:lvlJc w:val="left"/>
      <w:pPr>
        <w:ind w:left="83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a678ff8a49b1ab11fa400389906a468cc2277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2026-08-04T14:07:28.312Z</dcterms:created>
  <dcterms:modified xsi:type="dcterms:W3CDTF">2026-08-04T14:07:28.323Z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