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1DFD0">
      <w:pPr>
        <w:pStyle w:val="14"/>
        <w:widowControl/>
        <w:rPr>
          <w:rFonts w:hint="eastAsia" w:eastAsia="黑体"/>
          <w:lang w:eastAsia="zh-CN"/>
        </w:rPr>
      </w:pPr>
      <w:r>
        <w:t>Forgearena本地多智能体决策系统</w:t>
      </w:r>
    </w:p>
    <w:p w14:paraId="4A1C975E">
      <w:pPr>
        <w:widowControl/>
        <w:adjustRightInd w:val="0"/>
        <w:spacing w:before="100" w:beforeAutospacing="0" w:after="100" w:afterAutospacing="0" w:line="240" w:lineRule="auto"/>
        <w:jc w:val="center"/>
        <w:outlineLvl w:val="9"/>
        <w:rPr>
          <w:rFonts w:hint="eastAsia" w:ascii="Times New Roman" w:hAnsi="Times New Roman" w:eastAsia="黑体" w:cs="Times New Roman"/>
          <w:kern w:val="2"/>
          <w:sz w:val="36"/>
          <w:szCs w:val="24"/>
          <w:lang w:eastAsia="zh-CN" w:bidi="ar-SA"/>
        </w:rPr>
      </w:pPr>
      <w:r>
        <w:rPr>
          <w:rFonts w:ascii="Times New Roman" w:hAnsi="Times New Roman" w:eastAsia="黑体" w:cs="Times New Roman"/>
          <w:kern w:val="2"/>
          <w:sz w:val="36"/>
          <w:szCs w:val="24"/>
          <w:lang w:bidi="ar-SA"/>
        </w:rPr>
        <w:t>Amd ai devmaster 2026赛道二项目技术报告</w:t>
      </w:r>
    </w:p>
    <w:p w14:paraId="4A2DDB58">
      <w:pPr>
        <w:pStyle w:val="11"/>
        <w:widowControl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17"/>
          <w:rFonts w:ascii="Times New Roman" w:hAnsi="Times New Roman" w:eastAsia="宋体" w:cs="Times New Roman"/>
          <w:color w:val="000000"/>
          <w:sz w:val="24"/>
          <w:szCs w:val="24"/>
        </w:rPr>
        <w:t>参赛赛道：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赛道二・私有ai agent开发与本地部署</w:t>
      </w:r>
    </w:p>
    <w:p w14:paraId="55AF4E65">
      <w:pPr>
        <w:widowControl/>
        <w:adjustRightInd w:val="0"/>
        <w:spacing w:before="100" w:after="100" w:afterLines="0" w:afterAutospacing="0" w:line="300" w:lineRule="auto"/>
        <w:ind w:firstLine="482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b/>
          <w:color w:val="000000"/>
          <w:kern w:val="2"/>
          <w:sz w:val="24"/>
          <w:szCs w:val="24"/>
          <w:lang w:bidi="ar-SA"/>
        </w:rPr>
        <w:t>项目作者：@yyf121381文档版本：V1.0</w:t>
      </w:r>
    </w:p>
    <w:p w14:paraId="60437F70">
      <w:pPr>
        <w:pStyle w:val="20"/>
        <w:widowControl/>
        <w:outlineLvl w:val="9"/>
      </w:pPr>
      <w:r>
        <w:t>目录</w:t>
      </w:r>
    </w:p>
    <w:p w14:paraId="070BEC9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360" w:leftChars="0" w:right="0" w:rightChars="0" w:firstLine="480" w:firstLineChars="200"/>
        <w:jc w:val="left"/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1.项目简介</w:t>
      </w:r>
    </w:p>
    <w:p w14:paraId="2A7C9A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360" w:leftChars="0" w:right="0" w:rightChars="0" w:firstLine="480" w:firstLineChars="200"/>
        <w:jc w:val="left"/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2.系统总体架构</w:t>
      </w:r>
    </w:p>
    <w:p w14:paraId="440DA2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360" w:leftChars="0" w:right="0" w:rightChars="0" w:firstLine="480" w:firstLineChars="200"/>
        <w:jc w:val="left"/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3.agent核心能力</w:t>
      </w:r>
    </w:p>
    <w:p w14:paraId="4BFA57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360" w:leftChars="0" w:right="0" w:rightChars="0" w:firstLine="480" w:firstLineChars="200"/>
        <w:jc w:val="left"/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4.典型应用场景</w:t>
      </w:r>
    </w:p>
    <w:p w14:paraId="13AF95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360" w:leftChars="0" w:right="0" w:rightChars="0" w:firstLine="480" w:firstLineChars="200"/>
        <w:jc w:val="left"/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5.技术实现方案</w:t>
      </w:r>
    </w:p>
    <w:p w14:paraId="109E51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360" w:leftChars="0" w:right="0" w:rightChars="0" w:firstLine="480" w:firstLineChars="200"/>
        <w:jc w:val="left"/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6.amd硬件适配与性能优化</w:t>
      </w:r>
    </w:p>
    <w:p w14:paraId="0A1D92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360" w:leftChars="0" w:right="0" w:rightChars="0" w:firstLine="480" w:firstLineChars="200"/>
        <w:jc w:val="left"/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7.demo演示流程</w:t>
      </w:r>
    </w:p>
    <w:p w14:paraId="5706E8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tLeast"/>
        <w:ind w:left="360" w:leftChars="0" w:right="0" w:rightChars="0" w:firstLine="480" w:firstLineChars="200"/>
        <w:jc w:val="left"/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color w:val="000000"/>
          <w:kern w:val="2"/>
          <w:sz w:val="24"/>
          <w:szCs w:val="24"/>
          <w:lang w:val="en-US" w:eastAsia="zh-CN" w:bidi="ar-SA"/>
        </w:rPr>
        <w:t>8.未来扩展规划</w:t>
      </w:r>
    </w:p>
    <w:p w14:paraId="0CACAEED">
      <w:pPr>
        <w:pStyle w:val="2"/>
        <w:widowControl/>
      </w:pPr>
      <w:r>
        <w:t>第一章项目简介</w:t>
      </w:r>
    </w:p>
    <w:p w14:paraId="1B919B6A">
      <w:pPr>
        <w:pStyle w:val="3"/>
        <w:widowControl/>
      </w:pPr>
      <w:r>
        <w:t>1.1项目背景</w:t>
      </w:r>
    </w:p>
    <w:p w14:paraId="515751F9">
      <w:pPr>
        <w:pStyle w:val="11"/>
        <w:widowControl/>
        <w:ind w:leftChars="0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在产业研判、策略推演、风险评估等专业场景中，单一通用大模型存在认知视角单一、决策过程不透明等固有局限；同时云端api模式无法满足敏感场景下的数据主权、离线可用、操作审计等核心需求。</w:t>
      </w:r>
      <w:r>
        <w:rPr>
          <w:rStyle w:val="17"/>
          <w:rFonts w:ascii="Times New Roman" w:hAnsi="Times New Roman" w:eastAsia="宋体" w:cs="Times New Roman"/>
          <w:color w:val="000000"/>
          <w:sz w:val="24"/>
          <w:szCs w:val="24"/>
        </w:rPr>
        <w:t>私有化、多视角、可解释的本地ai agent系统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，已成为产业智能化落地的关键方向。</w:t>
      </w:r>
    </w:p>
    <w:p w14:paraId="426C29DC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Forgearena正是面向私有ai agent开发与本地部署赛道打造的多智能体决策辅助系统，可完整运行于本地amd radeon gpu之上，核心推理全程不依赖云端api。系统不以收益承诺或结果预测为目标，围绕复杂问题提供产业趋势分析、风险评估与多因素推演，为用户提供多角度、可追溯、数据安全可控的决策支撑。</w:t>
      </w:r>
    </w:p>
    <w:p w14:paraId="3884D28E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1.2应用场景覆盖</w:t>
      </w:r>
    </w:p>
    <w:p w14:paraId="5FEBA20A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产业趋势分析：围绕半导体、ai芯片、hbm等公开产业信息，从多维度展开行业格局与周期研判</w:t>
      </w:r>
    </w:p>
    <w:p w14:paraId="1D006DDA">
      <w:pPr>
        <w:widowControl/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足球战术推演：基于比分、时间、阵型和控球态势，生成不同风格的战术调整思路与破局方案</w:t>
      </w:r>
    </w:p>
    <w:p w14:paraId="75BF09D3">
      <w:pPr>
        <w:widowControl/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tft策略分析：结合游戏阶段、经济、血量与阵容状态，提供多路径运营决策辅助</w:t>
      </w:r>
    </w:p>
    <w:p w14:paraId="0D3BD272">
      <w:pPr>
        <w:widowControl/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通用决策辅助：面向所有需要多角度分析的复杂问题，提供分歧预演与综合判断能力</w:t>
      </w:r>
    </w:p>
    <w:p w14:paraId="60B58075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1.3核心创新点</w:t>
      </w:r>
    </w:p>
    <w:p w14:paraId="0012D75E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1.差异化风险偏好的多智能体协作机制：设置三类决策偏好分离的agent独立研判，从机制上降低单一模型的视角偏差，输出更全面的决策参考</w:t>
      </w:r>
    </w:p>
    <w:p w14:paraId="67A2135A">
      <w:pPr>
        <w:widowControl/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2.全链路可审计的私有化决策闭环：融合工具调用、本地知识检索、结构化输出与本地审计日志，形成完整可追溯的决策链路，数据全程不出本地环境</w:t>
      </w:r>
    </w:p>
    <w:p w14:paraId="46325B5E">
      <w:pPr>
        <w:widowControl/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3.amd rocm生态深度适配落地：在amd radeon gpu与rocm软件栈上完成全链路部署与优化，实现高性能、高稳定的本地大模型推理，验证了消费级硬件承载私有ai agent的可行性</w:t>
      </w:r>
    </w:p>
    <w:p w14:paraId="65F8AC9A">
      <w:pPr>
        <w:widowControl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1.4与传统大模型的区别</w:t>
      </w:r>
    </w:p>
    <w:tbl>
      <w:tblPr>
        <w:tblW w:w="8407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5"/>
        <w:gridCol w:w="30"/>
        <w:gridCol w:w="4792"/>
      </w:tblGrid>
      <w:tr w14:paraId="07FED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0" w:hRule="atLeast"/>
          <w:tblHeader/>
          <w:tblCellSpacing w:w="15" w:type="dxa"/>
          <w:jc w:val="center"/>
        </w:trPr>
        <w:tc>
          <w:tcPr>
            <w:tcW w:w="3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614E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普通LLM</w:t>
            </w:r>
          </w:p>
        </w:tc>
        <w:tc>
          <w:tcPr>
            <w:tcW w:w="4777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E988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ForgeArena</w:t>
            </w:r>
          </w:p>
        </w:tc>
      </w:tr>
      <w:tr w14:paraId="62218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0" w:hRule="atLeast"/>
          <w:tblCellSpacing w:w="15" w:type="dxa"/>
          <w:jc w:val="center"/>
        </w:trPr>
        <w:tc>
          <w:tcPr>
            <w:tcW w:w="3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5463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单一视角回答</w:t>
            </w:r>
          </w:p>
        </w:tc>
        <w:tc>
          <w:tcPr>
            <w:tcW w:w="4777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91B7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多风险偏好Agent并行分析</w:t>
            </w:r>
          </w:p>
        </w:tc>
      </w:tr>
      <w:tr w14:paraId="286F5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After w:w="0" w:type="auto"/>
          <w:trHeight w:val="0" w:hRule="atLeast"/>
          <w:tblCellSpacing w:w="15" w:type="dxa"/>
          <w:jc w:val="center"/>
        </w:trPr>
        <w:tc>
          <w:tcPr>
            <w:tcW w:w="3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2FA9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无状态输出</w:t>
            </w:r>
          </w:p>
        </w:tc>
        <w:tc>
          <w:tcPr>
            <w:tcW w:w="4777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3C6D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WorldState状态保存</w:t>
            </w:r>
          </w:p>
        </w:tc>
      </w:tr>
      <w:tr w14:paraId="58D0E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0" w:hRule="atLeast"/>
          <w:tblCellSpacing w:w="15" w:type="dxa"/>
          <w:jc w:val="center"/>
        </w:trPr>
        <w:tc>
          <w:tcPr>
            <w:tcW w:w="3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4600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黑盒回答</w:t>
            </w:r>
          </w:p>
        </w:tc>
        <w:tc>
          <w:tcPr>
            <w:tcW w:w="4777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F809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数据来源+推理链审计</w:t>
            </w:r>
          </w:p>
        </w:tc>
      </w:tr>
      <w:tr w14:paraId="2D471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0" w:hRule="atLeast"/>
          <w:tblCellSpacing w:w="15" w:type="dxa"/>
          <w:jc w:val="center"/>
        </w:trPr>
        <w:tc>
          <w:tcPr>
            <w:tcW w:w="3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95C7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云端API依赖</w:t>
            </w:r>
          </w:p>
        </w:tc>
        <w:tc>
          <w:tcPr>
            <w:tcW w:w="4777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DCCE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本地GPU运行</w:t>
            </w:r>
          </w:p>
        </w:tc>
      </w:tr>
      <w:tr w14:paraId="1768F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rHeight w:val="0" w:hRule="atLeast"/>
          <w:tblCellSpacing w:w="15" w:type="dxa"/>
          <w:jc w:val="center"/>
        </w:trPr>
        <w:tc>
          <w:tcPr>
            <w:tcW w:w="35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13D3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无领域策略</w:t>
            </w:r>
          </w:p>
        </w:tc>
        <w:tc>
          <w:tcPr>
            <w:tcW w:w="4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3593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场景知识库+策略库</w:t>
            </w:r>
          </w:p>
        </w:tc>
      </w:tr>
    </w:tbl>
    <w:p w14:paraId="0900996F">
      <w:pPr>
        <w:widowControl/>
        <w:adjustRightInd w:val="0"/>
        <w:spacing w:before="320" w:line="300" w:lineRule="auto"/>
        <w:jc w:val="both"/>
        <w:outlineLvl w:val="0"/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第二章系统总体架构</w:t>
      </w:r>
    </w:p>
    <w:p w14:paraId="39BDD8BB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2.1分层架构设计</w:t>
      </w:r>
    </w:p>
    <w:p w14:paraId="663FD1DD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系统采用自上而下的六层解耦架构，明确划分交互、编排、工具、知识、模型、硬件的职责边界，具备良好的可扩展性与可维护性，完整覆盖私有ai agent的全能力链路。</w:t>
      </w:r>
    </w:p>
    <w:p w14:paraId="75D95C42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Plaintext</w:t>
      </w:r>
    </w:p>
    <w:p w14:paraId="7335F58A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┌─────────────────────────────────────┐</w:t>
      </w:r>
    </w:p>
    <w:p w14:paraId="78436F71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│用户交互层（gradio）│</w:t>
      </w:r>
    </w:p>
    <w:p w14:paraId="133F9CA6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│对话区/分析面板/证据折叠区│</w:t>
      </w:r>
    </w:p>
    <w:p w14:paraId="77DD051A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└─────────────────┬───────────────────┘</w:t>
      </w:r>
    </w:p>
    <w:p w14:paraId="4CF66077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</w:t>
      </w:r>
    </w:p>
    <w:p w14:paraId="10974D43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┌─────────────────▼───────────────────┐</w:t>
      </w:r>
    </w:p>
    <w:p w14:paraId="4F46D746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│agent编排层│</w:t>
      </w:r>
    </w:p>
    <w:p w14:paraId="02133659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│单轮对话调度/四阶段完整分析管线│</w:t>
      </w:r>
    </w:p>
    <w:p w14:paraId="57658A02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└─────────────────┬───────────────────┘</w:t>
      </w:r>
    </w:p>
    <w:p w14:paraId="154BD1E4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</w:t>
      </w:r>
    </w:p>
    <w:p w14:paraId="3AEB87C7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┌─────────────────▼───────────────────┐</w:t>
      </w:r>
    </w:p>
    <w:p w14:paraId="1CDC9F56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│工具调用层│</w:t>
      </w:r>
    </w:p>
    <w:p w14:paraId="35212225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│数据获取/工具路由/策略库匹配│</w:t>
      </w:r>
    </w:p>
    <w:p w14:paraId="7A26E96E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└─────────────────┬───────────────────┘</w:t>
      </w:r>
    </w:p>
    <w:p w14:paraId="26E54F4E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</w:t>
      </w:r>
    </w:p>
    <w:p w14:paraId="4826726B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┌─────────────────▼───────────────────┐</w:t>
      </w:r>
    </w:p>
    <w:p w14:paraId="35A3F551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│知识库/rag层│</w:t>
      </w:r>
    </w:p>
    <w:p w14:paraId="4B80A9AF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│本地知识库/领域策略库/关键词匹配│</w:t>
      </w:r>
    </w:p>
    <w:p w14:paraId="3FDC5EB3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└─────────────────┬───────────────────┘</w:t>
      </w:r>
    </w:p>
    <w:p w14:paraId="4C3BB478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</w:t>
      </w:r>
    </w:p>
    <w:p w14:paraId="4F220DF8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┌─────────────────▼───────────────────┐</w:t>
      </w:r>
    </w:p>
    <w:p w14:paraId="0796066E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│模型推理层（本地llm）│</w:t>
      </w:r>
    </w:p>
    <w:p w14:paraId="2B5AEB98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│qwen2.5-7b-instruct本地推理│</w:t>
      </w:r>
    </w:p>
    <w:p w14:paraId="7E4E30E9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└─────────────────┬───────────────────┘</w:t>
      </w:r>
    </w:p>
    <w:p w14:paraId="586D27CF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</w:t>
      </w:r>
    </w:p>
    <w:p w14:paraId="51EAC58E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┌─────────────────▼───────────────────┐</w:t>
      </w:r>
    </w:p>
    <w:p w14:paraId="13BDB0E5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│amd rocm硬件层│</w:t>
      </w:r>
    </w:p>
    <w:p w14:paraId="74002663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│amd radeon gpu+rocm+vllm│</w:t>
      </w:r>
    </w:p>
    <w:p w14:paraId="701D277C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└─────────────────────────────────────┘</w:t>
      </w:r>
    </w:p>
    <w:p w14:paraId="7752A48B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2.2核心数据流向</w:t>
      </w:r>
    </w:p>
    <w:p w14:paraId="624AC878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系统采用标准化决策管线，实现从用户输入到结构化输出的全闭环，核心流程如下：</w:t>
      </w:r>
    </w:p>
    <w:p w14:paraId="1364CC2C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1.数据获取阶段：对用户输入进行解析，通过公开信息搜索、本地知识库匹配完成上下文注入，形成统一决策上下文</w:t>
      </w:r>
    </w:p>
    <w:p w14:paraId="4B9C48E0">
      <w:pPr>
        <w:widowControl/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2.多智能体分析阶段：三类agent基于同一份上下文独立推理：</w:t>
      </w:r>
    </w:p>
    <w:p w14:paraId="52984340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O稳健顾问：以安全边际与风险控制为核心优先级</w:t>
      </w:r>
    </w:p>
    <w:p w14:paraId="495AE55D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O机会顾问：以增长机会与趋势窗口为核心优先级</w:t>
      </w:r>
    </w:p>
    <w:p w14:paraId="4CA2011F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O探索顾问：以信息收集、分歧验证与灵活判断为核心优先级</w:t>
      </w:r>
    </w:p>
    <w:p w14:paraId="5835B71A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3.综合决策阶段：整合三方输出，生成结构化json报告，包含共识判断、决策辅助方向、风险提示、综合结论四大模块</w:t>
      </w:r>
    </w:p>
    <w:p w14:paraId="4B304737">
      <w:pPr>
        <w:widowControl/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4.证据沉淀阶段：同步生成worldstate状态快照、数据来源标记与审计追踪日志</w:t>
      </w:r>
    </w:p>
    <w:p w14:paraId="3A1373B2">
      <w:pPr>
        <w:widowControl/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5.前端渲染阶段：通过三顾问卡片、综合报告、可折叠证据层完成结果可视化呈现</w:t>
      </w:r>
    </w:p>
    <w:p w14:paraId="3F62C566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2.3各层职责说明</w:t>
      </w:r>
    </w:p>
    <w:p w14:paraId="32E977C1">
      <w:pPr>
        <w:widowControl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表格</w:t>
      </w:r>
    </w:p>
    <w:tbl>
      <w:tblPr>
        <w:tblStyle w:val="15"/>
        <w:tblW w:w="4999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"/>
        <w:gridCol w:w="2990"/>
        <w:gridCol w:w="4360"/>
      </w:tblGrid>
      <w:tr w14:paraId="64A26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611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38D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架构层级</w:t>
            </w:r>
          </w:p>
        </w:tc>
        <w:tc>
          <w:tcPr>
            <w:tcW w:w="1756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84F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核心职责</w:t>
            </w:r>
          </w:p>
        </w:tc>
        <w:tc>
          <w:tcPr>
            <w:tcW w:w="2560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3FF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关键模块</w:t>
            </w:r>
          </w:p>
        </w:tc>
      </w:tr>
      <w:tr w14:paraId="13333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11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3E95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用户交互层</w:t>
            </w:r>
          </w:p>
        </w:tc>
        <w:tc>
          <w:tcPr>
            <w:tcW w:w="175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FC4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提供可视化交互入口，承载对话交互、分析结果展示、证据追溯功能</w:t>
            </w:r>
          </w:p>
        </w:tc>
        <w:tc>
          <w:tcPr>
            <w:tcW w:w="256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8185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Gradio对话区、三顾问分析面板、决策报告区、证据折叠区</w:t>
            </w:r>
          </w:p>
        </w:tc>
      </w:tr>
      <w:tr w14:paraId="31ECE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11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2FD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Agent编排层</w:t>
            </w:r>
          </w:p>
        </w:tc>
        <w:tc>
          <w:tcPr>
            <w:tcW w:w="175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D13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系统核心调度中枢，负责会话状态管理与全流程决策管线控制</w:t>
            </w:r>
          </w:p>
        </w:tc>
        <w:tc>
          <w:tcPr>
            <w:tcW w:w="256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E70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Chat_reply单轮对话模块、full_analysis四阶段分析管线</w:t>
            </w:r>
          </w:p>
        </w:tc>
      </w:tr>
      <w:tr w14:paraId="2DDA8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11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781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工具调用层</w:t>
            </w:r>
          </w:p>
        </w:tc>
        <w:tc>
          <w:tcPr>
            <w:tcW w:w="175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ED3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统一管理工具能力，根据决策场景智能路由对应工具</w:t>
            </w:r>
          </w:p>
        </w:tc>
        <w:tc>
          <w:tcPr>
            <w:tcW w:w="256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0FC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Data fetcher数据获取、tool router工具路由、policy library策略库</w:t>
            </w:r>
          </w:p>
        </w:tc>
      </w:tr>
      <w:tr w14:paraId="690E5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11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924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知识库/rag层</w:t>
            </w:r>
          </w:p>
        </w:tc>
        <w:tc>
          <w:tcPr>
            <w:tcW w:w="175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DC0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提供本地化知识供给，为推理提供事实与方法论支撑</w:t>
            </w:r>
          </w:p>
        </w:tc>
        <w:tc>
          <w:tcPr>
            <w:tcW w:w="256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6E8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本地知识库、领域策略库、关键词匹配引擎</w:t>
            </w:r>
          </w:p>
        </w:tc>
      </w:tr>
      <w:tr w14:paraId="25A91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11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7F5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模型推理层</w:t>
            </w:r>
          </w:p>
        </w:tc>
        <w:tc>
          <w:tcPr>
            <w:tcW w:w="175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6FD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承载所有智能体推理与报告生成能力，全程本地执行</w:t>
            </w:r>
          </w:p>
        </w:tc>
        <w:tc>
          <w:tcPr>
            <w:tcW w:w="256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4DA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Qwen2.5-7b-instruct推理引擎、结构化输出模块</w:t>
            </w:r>
          </w:p>
        </w:tc>
      </w:tr>
      <w:tr w14:paraId="7AB7A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11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F2E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Amd rocm硬件层</w:t>
            </w:r>
          </w:p>
        </w:tc>
        <w:tc>
          <w:tcPr>
            <w:tcW w:w="1756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975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提供底层硬件加速能力，保障推理性能与稳定性</w:t>
            </w:r>
          </w:p>
        </w:tc>
        <w:tc>
          <w:tcPr>
            <w:tcW w:w="256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B3A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Amd radeon gpu、rocm计算栈、vllm推理服务</w:t>
            </w:r>
          </w:p>
        </w:tc>
      </w:tr>
    </w:tbl>
    <w:p w14:paraId="5809D496">
      <w:pPr>
        <w:widowControl/>
        <w:adjustRightInd w:val="0"/>
        <w:spacing w:before="320" w:line="300" w:lineRule="auto"/>
        <w:jc w:val="both"/>
        <w:outlineLvl w:val="0"/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第三章agent核心能力</w:t>
      </w:r>
    </w:p>
    <w:p w14:paraId="4F819503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3.1多智能体协作决策</w:t>
      </w:r>
    </w:p>
    <w:p w14:paraId="50CC9B00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系统设置稳健顾问、机会顾问与探索顾问三类独立智能体，分别从风险控制、趋势机会和信息增量三个维度展开分析，最终通过综合阶段整合共识与分歧，实现“分歧明确、论据充分、视角全面”的决策辅助效果，从机制上规避单一模型的认知盲区与风格偏见。</w:t>
      </w:r>
    </w:p>
    <w:p w14:paraId="69D92F05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3.2差异化风险偏好分离</w:t>
      </w:r>
    </w:p>
    <w:p w14:paraId="7EA2FFEE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三类Agent并非简单角色设定，而是通过不同目标函数约束形成决策偏好的差异化。设计清晰：</w:t>
      </w:r>
    </w:p>
    <w:p w14:paraId="71D75751">
      <w:pPr>
        <w:widowControl/>
        <w:numPr>
          <w:ilvl w:val="0"/>
          <w:numId w:val="1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稳健顾问：强调风险控制、证据充分性与下行保护，优先输出确定性高的结论</w:t>
      </w:r>
    </w:p>
    <w:p w14:paraId="5BDEADF5">
      <w:pPr>
        <w:widowControl/>
        <w:numPr>
          <w:ilvl w:val="0"/>
          <w:numId w:val="1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机会顾问：强调增长空间、产业窗口与潜在催化因素，侧重上行潜力与边际变化分析</w:t>
      </w:r>
    </w:p>
    <w:p w14:paraId="501E807B">
      <w:pPr>
        <w:widowControl/>
        <w:numPr>
          <w:ilvl w:val="0"/>
          <w:numId w:val="1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探索顾问：强调未知信息、验证路径与灵活调整，关注潜在变量与非常规决策路径</w:t>
      </w:r>
    </w:p>
    <w:p w14:paraId="33435CA5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3.3工具调用与本地知识检索</w:t>
      </w:r>
    </w:p>
    <w:p w14:paraId="1489618F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内置上下文感知的工具路由系统，系统根据当前任务上下文，通过工具路由机制自动匹配数据获取、知识检索和策略调用能力，核心工具包括：</w:t>
      </w:r>
    </w:p>
    <w:p w14:paraId="0A1285B4">
      <w:pPr>
        <w:widowControl/>
        <w:numPr>
          <w:ilvl w:val="0"/>
          <w:numId w:val="2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Retrieve_policy(domain)：按领域检索预置策略框架，为推理提供专业方法论支撑</w:t>
      </w:r>
    </w:p>
    <w:p w14:paraId="36AB1F17">
      <w:pPr>
        <w:widowControl/>
        <w:numPr>
          <w:ilvl w:val="0"/>
          <w:numId w:val="2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Simulate_action(action,context)：基于领域规则模拟决策动作的潜在影响与边界条件</w:t>
      </w:r>
    </w:p>
    <w:p w14:paraId="7CB3F585">
      <w:pPr>
        <w:widowControl/>
        <w:numPr>
          <w:ilvl w:val="0"/>
          <w:numId w:val="2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Query_memory(query)：检索同一会话历史决策记录，保持多轮决策的上下文连贯性</w:t>
      </w:r>
    </w:p>
    <w:p w14:paraId="35E25904">
      <w:pPr>
        <w:widowControl/>
        <w:adjustRightInd w:val="0"/>
        <w:spacing w:before="100" w:after="100" w:afterLines="0" w:afterAutospacing="0" w:line="300" w:lineRule="auto"/>
        <w:ind w:left="840" w:leftChars="40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同时配套本地知识库与领域策略库，为金融产业、足球、tft等场景提供可复用的结构化知识，全程本地检索，无数据外泄风险。</w:t>
      </w:r>
    </w:p>
    <w:p w14:paraId="7CFDF827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3.4标准化结构化决策输出</w:t>
      </w:r>
    </w:p>
    <w:p w14:paraId="451B13F5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输出遵循统一的结构化规范，包含四大核心模块，支持标准json格式输出，既便于前端可视化渲染，也便于后续审计与复用：</w:t>
      </w:r>
    </w:p>
    <w:p w14:paraId="6CB6AB6D">
      <w:pPr>
        <w:widowControl/>
        <w:numPr>
          <w:ilvl w:val="0"/>
          <w:numId w:val="3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共识判断：三类智能体共同认可的基础结论与事实</w:t>
      </w:r>
    </w:p>
    <w:p w14:paraId="5EAA5FF6">
      <w:pPr>
        <w:widowControl/>
        <w:numPr>
          <w:ilvl w:val="0"/>
          <w:numId w:val="3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决策辅助方向：不同偏好下的可选决策路径与对应逻辑</w:t>
      </w:r>
    </w:p>
    <w:p w14:paraId="47A52CB3">
      <w:pPr>
        <w:widowControl/>
        <w:numPr>
          <w:ilvl w:val="0"/>
          <w:numId w:val="3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风险提示：潜在不确定性、下行风险与边界条件</w:t>
      </w:r>
    </w:p>
    <w:p w14:paraId="7A47D9AC">
      <w:pPr>
        <w:widowControl/>
        <w:numPr>
          <w:ilvl w:val="0"/>
          <w:numId w:val="3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综合结论：基于权重平衡的参考性综合研判</w:t>
      </w:r>
    </w:p>
    <w:p w14:paraId="0FE2530B">
      <w:pPr>
        <w:widowControl/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3.5全链路本地审计追踪</w:t>
      </w:r>
    </w:p>
    <w:p w14:paraId="643379D4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系统内置本地审计日志（audit trail）功能，每次完整决策自动生成审计记录并本地存储，核心记录项包括：</w:t>
      </w:r>
    </w:p>
    <w:p w14:paraId="24564981">
      <w:pPr>
        <w:widowControl/>
        <w:numPr>
          <w:ilvl w:val="0"/>
          <w:numId w:val="4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时间戳、会话唯一标识</w:t>
      </w:r>
    </w:p>
    <w:p w14:paraId="6B015E1E">
      <w:pPr>
        <w:widowControl/>
        <w:numPr>
          <w:ilvl w:val="0"/>
          <w:numId w:val="4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用户输入摘要与决策领域</w:t>
      </w:r>
    </w:p>
    <w:p w14:paraId="74556FC8">
      <w:pPr>
        <w:widowControl/>
        <w:numPr>
          <w:ilvl w:val="0"/>
          <w:numId w:val="4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调用的工具清单与数据来源标记</w:t>
      </w:r>
    </w:p>
    <w:p w14:paraId="13ED3EC5">
      <w:pPr>
        <w:widowControl/>
        <w:numPr>
          <w:ilvl w:val="0"/>
          <w:numId w:val="4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每次模型推理的延迟统计</w:t>
      </w:r>
    </w:p>
    <w:p w14:paraId="1EC06BE7">
      <w:pPr>
        <w:widowControl/>
        <w:numPr>
          <w:ilvl w:val="0"/>
          <w:numId w:val="4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使用的模型版本与推理参数</w:t>
      </w:r>
    </w:p>
    <w:p w14:paraId="28C40948">
      <w:pPr>
        <w:widowControl/>
        <w:adjustRightInd w:val="0"/>
        <w:spacing w:before="100" w:after="100" w:afterLines="0" w:afterAutospacing="0" w:line="300" w:lineRule="auto"/>
        <w:ind w:left="840" w:leftChars="40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日志全程本地存储、不离开用户环境，支持逐会话隔离，可在证据层中直接查看，满足私有化场景下的操作审计与合规追溯需求。</w:t>
      </w:r>
    </w:p>
    <w:p w14:paraId="565CB885">
      <w:pPr>
        <w:widowControl/>
        <w:adjustRightInd w:val="0"/>
        <w:spacing w:before="320" w:line="300" w:lineRule="auto"/>
        <w:jc w:val="both"/>
        <w:outlineLvl w:val="0"/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第四章典型应用场景</w:t>
      </w:r>
    </w:p>
    <w:p w14:paraId="603867B3">
      <w:pPr>
        <w:widowControl/>
        <w:numPr>
          <w:ilvl w:val="0"/>
          <w:numId w:val="5"/>
        </w:numPr>
        <w:adjustRightInd w:val="0"/>
        <w:spacing w:before="280" w:line="300" w:lineRule="auto"/>
        <w:jc w:val="both"/>
        <w:outlineLvl w:val="1"/>
        <w:rPr>
          <w:rFonts w:hint="eastAsia"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半导体产业趋势分析</w:t>
      </w:r>
    </w:p>
    <w:p w14:paraId="787BDDFF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面向科技产业研究场景，结合本地产业知识库与可选公开资讯，从多个视角输出行业趋势、企业竞争力、周期位置等维度的分析参考，辅助产业研究与决策判断。</w:t>
      </w:r>
    </w:p>
    <w:p w14:paraId="008C8EE7">
      <w:pPr>
        <w:widowControl/>
        <w:numPr>
          <w:ilvl w:val="0"/>
          <w:numId w:val="6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典型研判问题：Sk hynix在hbm市场的领先地位能否持续？</w:t>
      </w:r>
    </w:p>
    <w:p w14:paraId="0715DF10">
      <w:pPr>
        <w:widowControl/>
        <w:numPr>
          <w:ilvl w:val="0"/>
          <w:numId w:val="6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核心分析维度：产业链格局、供需周期、竞争态势、潜在风险因</w:t>
      </w:r>
      <w:r>
        <w:rPr>
          <w:rFonts w:hint="eastAsia"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  <w:t xml:space="preserve">  </w:t>
      </w: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素</w:t>
      </w:r>
    </w:p>
    <w:p w14:paraId="7CD79909">
      <w:pPr>
        <w:widowControl/>
        <w:numPr>
          <w:ilvl w:val="0"/>
          <w:numId w:val="5"/>
        </w:numPr>
        <w:adjustRightInd w:val="0"/>
        <w:spacing w:before="280" w:line="300" w:lineRule="auto"/>
        <w:jc w:val="both"/>
        <w:outlineLvl w:val="1"/>
        <w:rPr>
          <w:rFonts w:hint="eastAsia"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足球战术推演</w:t>
      </w:r>
    </w:p>
    <w:p w14:paraId="5A434DA2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面向体育竞技战术决策场景，基于实时比赛态势数据，输出不同风格的战术调整思路与破局路径推演，辅助教练团队进行战术复盘与临场决策参考。</w:t>
      </w:r>
    </w:p>
    <w:p w14:paraId="4E17BCCA">
      <w:pPr>
        <w:widowControl/>
        <w:numPr>
          <w:ilvl w:val="0"/>
          <w:numId w:val="7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典型研判问题：70分钟0-0，对手低位防守且本方控球率65%，如何破局？</w:t>
      </w:r>
    </w:p>
    <w:p w14:paraId="7F928B74">
      <w:pPr>
        <w:widowControl/>
        <w:numPr>
          <w:ilvl w:val="0"/>
          <w:numId w:val="7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核心分析维度：阵地战攻坚、战术调整风险、非常规变阵路径</w:t>
      </w:r>
    </w:p>
    <w:p w14:paraId="569365B1">
      <w:pPr>
        <w:widowControl/>
        <w:numPr>
          <w:ilvl w:val="0"/>
          <w:numId w:val="5"/>
        </w:numPr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Tft策略分析</w:t>
      </w:r>
    </w:p>
    <w:p w14:paraId="085AB208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面向强策略类游戏场景，基于当前阶段经济、血量、阵容等状态，输出不同风险偏好的运营路径推演，辅助玩家理解决策逻辑与备选方案。</w:t>
      </w:r>
    </w:p>
    <w:p w14:paraId="0630A317">
      <w:pPr>
        <w:widowControl/>
        <w:numPr>
          <w:ilvl w:val="0"/>
          <w:numId w:val="8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典型研判问题：3-2阶段、50金币、血量80，应该上7还是all-in？</w:t>
      </w:r>
    </w:p>
    <w:p w14:paraId="39185D05">
      <w:pPr>
        <w:widowControl/>
        <w:numPr>
          <w:ilvl w:val="0"/>
          <w:numId w:val="8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核心分析维度：经济节奏、血量容错、阵容强度、版本窗口</w:t>
      </w:r>
    </w:p>
    <w:p w14:paraId="681FA0F1">
      <w:pPr>
        <w:widowControl/>
        <w:adjustRightInd w:val="0"/>
        <w:spacing w:before="320" w:line="300" w:lineRule="auto"/>
        <w:jc w:val="both"/>
        <w:outlineLvl w:val="0"/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第五章技术实现方案</w:t>
      </w:r>
    </w:p>
    <w:p w14:paraId="6DC967B9">
      <w:pPr>
        <w:widowControl/>
        <w:numPr>
          <w:ilvl w:val="0"/>
          <w:numId w:val="9"/>
        </w:numPr>
        <w:adjustRightInd w:val="0"/>
        <w:spacing w:before="280" w:line="300" w:lineRule="auto"/>
        <w:jc w:val="both"/>
        <w:outlineLvl w:val="1"/>
        <w:rPr>
          <w:rFonts w:hint="eastAsia"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基础模型选型</w:t>
      </w:r>
    </w:p>
    <w:p w14:paraId="171C1E37">
      <w:pPr>
        <w:widowControl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表格</w:t>
      </w:r>
    </w:p>
    <w:tbl>
      <w:tblPr>
        <w:tblStyle w:val="15"/>
        <w:tblW w:w="4998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25"/>
        <w:gridCol w:w="917"/>
        <w:gridCol w:w="2069"/>
        <w:gridCol w:w="1888"/>
        <w:gridCol w:w="1164"/>
      </w:tblGrid>
      <w:tr w14:paraId="2152F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360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BA15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模型名称</w:t>
            </w:r>
          </w:p>
        </w:tc>
        <w:tc>
          <w:tcPr>
            <w:tcW w:w="53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4B7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参数量</w:t>
            </w:r>
          </w:p>
        </w:tc>
        <w:tc>
          <w:tcPr>
            <w:tcW w:w="1219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B73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核心用途</w:t>
            </w:r>
          </w:p>
        </w:tc>
        <w:tc>
          <w:tcPr>
            <w:tcW w:w="111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763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推理速度</w:t>
            </w:r>
          </w:p>
          <w:p w14:paraId="0D38A0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（amd48gb）</w:t>
            </w:r>
          </w:p>
        </w:tc>
        <w:tc>
          <w:tcPr>
            <w:tcW w:w="669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962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显存占用</w:t>
            </w:r>
          </w:p>
        </w:tc>
      </w:tr>
      <w:tr w14:paraId="44873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60" w:type="pct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CF0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Qwen2.5-7b-instruct</w:t>
            </w:r>
          </w:p>
        </w:tc>
        <w:tc>
          <w:tcPr>
            <w:tcW w:w="531" w:type="pct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04A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7b</w:t>
            </w:r>
          </w:p>
        </w:tc>
        <w:tc>
          <w:tcPr>
            <w:tcW w:w="1219" w:type="pct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757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三智能体推理+决策综合报告生成</w:t>
            </w:r>
          </w:p>
        </w:tc>
        <w:tc>
          <w:tcPr>
            <w:tcW w:w="1111" w:type="pct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094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87.5 tokens/s</w:t>
            </w:r>
          </w:p>
        </w:tc>
        <w:tc>
          <w:tcPr>
            <w:tcW w:w="669" w:type="pct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DDA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约8 gb</w:t>
            </w:r>
          </w:p>
        </w:tc>
      </w:tr>
    </w:tbl>
    <w:p w14:paraId="467F5540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选型依据：</w:t>
      </w:r>
    </w:p>
    <w:p w14:paraId="614C4F68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1.7b参数规模适配消费级gpu，可实现完整本地私有化部署，硬件门槛低</w:t>
      </w:r>
    </w:p>
    <w:p w14:paraId="00FF499D">
      <w:pPr>
        <w:widowControl/>
        <w:numPr>
          <w:ilvl w:val="0"/>
          <w:numId w:val="10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中文理解与生成能力优异，适配产业分析、战术推演等专业场景</w:t>
      </w:r>
    </w:p>
    <w:p w14:paraId="090C8035">
      <w:pPr>
        <w:widowControl/>
        <w:numPr>
          <w:ilvl w:val="0"/>
          <w:numId w:val="10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结构化输出稳定，可可靠生成标准json格式报告，满足系统对接需求</w:t>
      </w:r>
    </w:p>
    <w:p w14:paraId="64F662DF">
      <w:pPr>
        <w:widowControl/>
        <w:numPr>
          <w:ilvl w:val="0"/>
          <w:numId w:val="10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采用mit开源协议，商用友好，生态兼容性强</w:t>
      </w:r>
    </w:p>
    <w:p w14:paraId="198025BC">
      <w:pPr>
        <w:widowControl/>
        <w:numPr>
          <w:ilvl w:val="0"/>
          <w:numId w:val="9"/>
        </w:numPr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Vllm推理服务部署</w:t>
      </w:r>
    </w:p>
    <w:p w14:paraId="10CDCD55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采用vllm作为核心推理引擎，通过参数调优实现性能与显存的最佳平衡，核心启动配置如下：</w:t>
      </w:r>
    </w:p>
    <w:p w14:paraId="34F23756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Bash</w:t>
      </w:r>
    </w:p>
    <w:p w14:paraId="3EA6DA8A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运行</w:t>
      </w:r>
    </w:p>
    <w:p w14:paraId="77045A1B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Vllm serve/path/to/qwen2.5-7b-instruct\</w:t>
      </w:r>
    </w:p>
    <w:p w14:paraId="38104E8C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--host 0.0.0.0\</w:t>
      </w:r>
    </w:p>
    <w:p w14:paraId="676AE554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--port 8001\</w:t>
      </w:r>
      <w:bookmarkStart w:id="0" w:name="_GoBack"/>
      <w:bookmarkEnd w:id="0"/>
    </w:p>
    <w:p w14:paraId="2A8628D4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--dtype half\</w:t>
      </w:r>
    </w:p>
    <w:p w14:paraId="0AA72189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--gpu-memory-utilization 0.85\</w:t>
      </w:r>
    </w:p>
    <w:p w14:paraId="69CB0EF9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--trust-remote-code\</w:t>
      </w:r>
    </w:p>
    <w:p w14:paraId="7BC18469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--enforce-eager</w:t>
      </w:r>
    </w:p>
    <w:p w14:paraId="14754A8E">
      <w:pPr>
        <w:widowControl/>
        <w:numPr>
          <w:ilvl w:val="0"/>
          <w:numId w:val="9"/>
        </w:numPr>
        <w:adjustRightInd w:val="0"/>
        <w:spacing w:before="280" w:line="300" w:lineRule="auto"/>
        <w:jc w:val="both"/>
        <w:outlineLvl w:val="1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Rocm环境适配</w:t>
      </w:r>
    </w:p>
    <w:p w14:paraId="778BEAFC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针对amd rdna3架构gpu完成专项环境适配，通过环境变量精准匹配硬件指令集，保障推理性能与兼容性：</w:t>
      </w:r>
    </w:p>
    <w:p w14:paraId="2DB21CAD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Bash</w:t>
      </w:r>
    </w:p>
    <w:p w14:paraId="41489725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运行</w:t>
      </w:r>
    </w:p>
    <w:p w14:paraId="30B0AF9E">
      <w:pPr>
        <w:pStyle w:val="4"/>
      </w:pPr>
      <w:r>
        <w:t>Rocm环境配置</w:t>
      </w:r>
    </w:p>
    <w:p w14:paraId="290065BA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Export rocm_home=/opt/rocmexport pytorch_rocm_arch=gfx1100</w:t>
      </w:r>
    </w:p>
    <w:p w14:paraId="44FF600E">
      <w:pPr>
        <w:keepNext/>
        <w:keepLines/>
        <w:widowControl w:val="0"/>
        <w:adjustRightInd w:val="0"/>
        <w:spacing w:before="240" w:line="300" w:lineRule="auto"/>
        <w:jc w:val="both"/>
        <w:outlineLvl w:val="2"/>
        <w:rPr>
          <w:rFonts w:ascii="Times New Roman" w:hAnsi="Times New Roman" w:eastAsia="黑体" w:cs="Times New Roman"/>
          <w:kern w:val="2"/>
          <w:sz w:val="30"/>
          <w:szCs w:val="24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24"/>
          <w:lang w:bidi="ar-SA"/>
        </w:rPr>
        <w:t>性能剖析与调优</w:t>
      </w:r>
    </w:p>
    <w:p w14:paraId="7917EA9A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Rocprof--stats python3 forgearena_chat.py</w:t>
      </w:r>
    </w:p>
    <w:p w14:paraId="0C121DE1">
      <w:pPr>
        <w:widowControl/>
        <w:numPr>
          <w:ilvl w:val="0"/>
          <w:numId w:val="9"/>
        </w:numPr>
        <w:adjustRightInd w:val="0"/>
        <w:spacing w:before="280" w:line="300" w:lineRule="auto"/>
        <w:jc w:val="both"/>
        <w:outlineLvl w:val="1"/>
        <w:rPr>
          <w:rFonts w:hint="eastAsia"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推理性能优化基础策略</w:t>
      </w:r>
    </w:p>
    <w:p w14:paraId="192FF6B1">
      <w:pPr>
        <w:widowControl/>
        <w:numPr>
          <w:ilvl w:val="0"/>
          <w:numId w:val="11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采用fp16半精度推理，在精度损失可忽略的前提下大幅降低显存占用</w:t>
      </w:r>
    </w:p>
    <w:p w14:paraId="40F3138A">
      <w:pPr>
        <w:widowControl/>
        <w:numPr>
          <w:ilvl w:val="0"/>
          <w:numId w:val="11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限制kv cache长度与最大上下文窗口，避免高负载下显存溢出（oom）</w:t>
      </w:r>
    </w:p>
    <w:p w14:paraId="0B41794E">
      <w:pPr>
        <w:widowControl/>
        <w:numPr>
          <w:ilvl w:val="0"/>
          <w:numId w:val="11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规划异步并行推理与批量推理优化，后续版本可进一步提升系统吞吐量</w:t>
      </w:r>
    </w:p>
    <w:p w14:paraId="7E6525E9">
      <w:pPr>
        <w:widowControl/>
        <w:numPr>
          <w:ilvl w:val="0"/>
          <w:numId w:val="11"/>
        </w:numPr>
        <w:adjustRightInd w:val="0"/>
        <w:spacing w:before="100" w:after="100" w:afterLines="0" w:afterAutospacing="0" w:line="300" w:lineRule="auto"/>
        <w:ind w:left="72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当前稳定版本采用串行推理架构，保障输出一致性与系统稳定性</w:t>
      </w:r>
    </w:p>
    <w:p w14:paraId="0C2DE316">
      <w:pPr>
        <w:widowControl/>
        <w:adjustRightInd w:val="0"/>
        <w:spacing w:before="320" w:line="300" w:lineRule="auto"/>
        <w:jc w:val="both"/>
        <w:outlineLvl w:val="0"/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第六章amd硬件适配与性能优化</w:t>
      </w:r>
    </w:p>
    <w:p w14:paraId="2F24128C">
      <w:pPr>
        <w:pStyle w:val="3"/>
        <w:widowControl/>
        <w:numPr>
          <w:ilvl w:val="0"/>
          <w:numId w:val="12"/>
        </w:numPr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测试环境配置</w:t>
      </w:r>
    </w:p>
    <w:p w14:paraId="2BA811B6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表格</w:t>
      </w:r>
    </w:p>
    <w:tbl>
      <w:tblPr>
        <w:tblStyle w:val="15"/>
        <w:tblW w:w="4999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84"/>
        <w:gridCol w:w="5740"/>
      </w:tblGrid>
      <w:tr w14:paraId="7E30D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66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884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配置项</w:t>
            </w:r>
          </w:p>
        </w:tc>
        <w:tc>
          <w:tcPr>
            <w:tcW w:w="3380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B99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规格参数</w:t>
            </w:r>
          </w:p>
        </w:tc>
      </w:tr>
      <w:tr w14:paraId="266D6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762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Gpu架构</w:t>
            </w:r>
          </w:p>
        </w:tc>
        <w:tc>
          <w:tcPr>
            <w:tcW w:w="338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BE1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Amd radeon rdna3(gfx1100)</w:t>
            </w:r>
          </w:p>
        </w:tc>
      </w:tr>
      <w:tr w14:paraId="0BC64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91E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显存规格</w:t>
            </w:r>
          </w:p>
        </w:tc>
        <w:tc>
          <w:tcPr>
            <w:tcW w:w="338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648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48 gb vram</w:t>
            </w:r>
          </w:p>
        </w:tc>
      </w:tr>
      <w:tr w14:paraId="0FF5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A6C7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Rocm版本</w:t>
            </w:r>
          </w:p>
        </w:tc>
        <w:tc>
          <w:tcPr>
            <w:tcW w:w="338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BC9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V7.2</w:t>
            </w:r>
          </w:p>
        </w:tc>
      </w:tr>
      <w:tr w14:paraId="32B87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6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ED5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Pytorch版本</w:t>
            </w:r>
          </w:p>
        </w:tc>
        <w:tc>
          <w:tcPr>
            <w:tcW w:w="338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75D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Rocm 6.2兼容版</w:t>
            </w:r>
          </w:p>
        </w:tc>
      </w:tr>
      <w:tr w14:paraId="242D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66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1A6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推理引擎</w:t>
            </w:r>
          </w:p>
        </w:tc>
        <w:tc>
          <w:tcPr>
            <w:tcW w:w="338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CE6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自编译rocm适配版vllm</w:t>
            </w:r>
          </w:p>
        </w:tc>
      </w:tr>
    </w:tbl>
    <w:p w14:paraId="6BE24656">
      <w:pPr>
        <w:widowControl/>
        <w:numPr>
          <w:ilvl w:val="0"/>
          <w:numId w:val="12"/>
        </w:numPr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性能实测结果</w:t>
      </w:r>
    </w:p>
    <w:p w14:paraId="1B509911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测试基准：Qwen2.5-7b-instruct@fp16，vllm推理引擎，单用户串行请求</w:t>
      </w:r>
    </w:p>
    <w:p w14:paraId="40E81E78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表格</w:t>
      </w:r>
    </w:p>
    <w:tbl>
      <w:tblPr>
        <w:tblStyle w:val="15"/>
        <w:tblW w:w="4998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61"/>
        <w:gridCol w:w="1293"/>
        <w:gridCol w:w="2009"/>
      </w:tblGrid>
      <w:tr w14:paraId="0318F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998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97CD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W w:w="755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E0E91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实测延迟</w:t>
            </w:r>
          </w:p>
        </w:tc>
        <w:tc>
          <w:tcPr>
            <w:tcW w:w="1174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4BE6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吞吐表现</w:t>
            </w:r>
          </w:p>
        </w:tc>
      </w:tr>
      <w:tr w14:paraId="7B942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782C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单次短输出推理（150 tokens）</w:t>
            </w:r>
          </w:p>
        </w:tc>
        <w:tc>
          <w:tcPr>
            <w:tcW w:w="75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73DA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2.2 s</w:t>
            </w:r>
          </w:p>
        </w:tc>
        <w:tc>
          <w:tcPr>
            <w:tcW w:w="117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7C73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约95 chars/s</w:t>
            </w:r>
          </w:p>
        </w:tc>
      </w:tr>
      <w:tr w14:paraId="0E078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7795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单次长输出推理（300 tokens）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29DF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5.7 s</w:t>
            </w:r>
          </w:p>
        </w:tc>
        <w:tc>
          <w:tcPr>
            <w:tcW w:w="11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C83C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约99 chars/s</w:t>
            </w:r>
          </w:p>
        </w:tc>
      </w:tr>
      <w:tr w14:paraId="3D4BB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99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F6F5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完整决策管线（串行4次llm调用）</w:t>
            </w:r>
          </w:p>
        </w:tc>
        <w:tc>
          <w:tcPr>
            <w:tcW w:w="755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6D06A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9.3 s</w:t>
            </w:r>
          </w:p>
        </w:tc>
        <w:tc>
          <w:tcPr>
            <w:tcW w:w="1174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7BC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</w:tr>
    </w:tbl>
    <w:p w14:paraId="6223AE6D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说明：当前稳定版本采用串行推理架构，以保证输出一致性与系统稳定性，单轮完整决策管线实测端到端延迟约9.3s。异步并行推理优化方案已完成技术验证，可在保证输出质量的前提下进一步压缩端到端延迟，后续版本将逐步上线。</w:t>
      </w:r>
    </w:p>
    <w:p w14:paraId="665161AB">
      <w:pPr>
        <w:widowControl/>
        <w:numPr>
          <w:ilvl w:val="0"/>
          <w:numId w:val="12"/>
        </w:numPr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显存优化效果汇总</w:t>
      </w:r>
    </w:p>
    <w:p w14:paraId="2F724F6D">
      <w:pPr>
        <w:widowControl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表格</w:t>
      </w:r>
    </w:p>
    <w:tbl>
      <w:tblPr>
        <w:tblStyle w:val="15"/>
        <w:tblW w:w="4999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71"/>
        <w:gridCol w:w="1825"/>
        <w:gridCol w:w="3768"/>
      </w:tblGrid>
      <w:tr w14:paraId="628C0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629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402A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优化手段</w:t>
            </w:r>
          </w:p>
        </w:tc>
        <w:tc>
          <w:tcPr>
            <w:tcW w:w="1073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167B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显存节省幅度</w:t>
            </w:r>
          </w:p>
        </w:tc>
        <w:tc>
          <w:tcPr>
            <w:tcW w:w="2225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131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对精度与性能的影响</w:t>
            </w:r>
          </w:p>
        </w:tc>
      </w:tr>
      <w:tr w14:paraId="6D4C4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2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8FE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Fp16半精度推理</w:t>
            </w:r>
          </w:p>
        </w:tc>
        <w:tc>
          <w:tcPr>
            <w:tcW w:w="107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C69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约50%</w:t>
            </w:r>
          </w:p>
        </w:tc>
        <w:tc>
          <w:tcPr>
            <w:tcW w:w="222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BE5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无显著精度损失</w:t>
            </w:r>
          </w:p>
        </w:tc>
      </w:tr>
      <w:tr w14:paraId="30339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D74F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Int8量化（awq/gptq）</w:t>
            </w:r>
          </w:p>
        </w:tc>
        <w:tc>
          <w:tcPr>
            <w:tcW w:w="1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C9A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约60%</w:t>
            </w:r>
          </w:p>
        </w:tc>
        <w:tc>
          <w:tcPr>
            <w:tcW w:w="2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3D6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精度损失&lt;1%</w:t>
            </w:r>
          </w:p>
        </w:tc>
      </w:tr>
      <w:tr w14:paraId="6B53E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23A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Style w:val="19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--enforce-eager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1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FE2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约2 gb</w:t>
            </w:r>
          </w:p>
        </w:tc>
        <w:tc>
          <w:tcPr>
            <w:tcW w:w="2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F33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吞吐量略有下降</w:t>
            </w:r>
          </w:p>
        </w:tc>
      </w:tr>
      <w:tr w14:paraId="32966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DED4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Kv cache限制8192</w:t>
            </w:r>
          </w:p>
        </w:tc>
        <w:tc>
          <w:tcPr>
            <w:tcW w:w="1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1C4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约3 gb</w:t>
            </w:r>
          </w:p>
        </w:tc>
        <w:tc>
          <w:tcPr>
            <w:tcW w:w="2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3C4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超长上下文能力受限</w:t>
            </w:r>
          </w:p>
        </w:tc>
      </w:tr>
      <w:tr w14:paraId="7008D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29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6CA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85%显存利用率配置</w:t>
            </w:r>
          </w:p>
        </w:tc>
        <w:tc>
          <w:tcPr>
            <w:tcW w:w="1073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CD60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约15%预留空间</w:t>
            </w:r>
          </w:p>
        </w:tc>
        <w:tc>
          <w:tcPr>
            <w:tcW w:w="2225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665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防止显存溢出，提升运行稳定性</w:t>
            </w:r>
          </w:p>
        </w:tc>
      </w:tr>
    </w:tbl>
    <w:p w14:paraId="7A22122D">
      <w:pPr>
        <w:widowControl/>
        <w:numPr>
          <w:ilvl w:val="0"/>
          <w:numId w:val="12"/>
        </w:numPr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Rocm适配常见问题与解决方案</w:t>
      </w:r>
    </w:p>
    <w:p w14:paraId="323ECA95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基于实际落地经验整理典型问题排查方案，保障私有化部署的可落地性：</w:t>
      </w:r>
    </w:p>
    <w:p w14:paraId="6462B20E">
      <w:pPr>
        <w:widowControl/>
        <w:adjustRightInd w:val="0"/>
        <w:spacing w:before="280" w:line="300" w:lineRule="auto"/>
        <w:ind w:left="0" w:leftChars="0" w:firstLine="0" w:firstLineChars="0"/>
        <w:jc w:val="both"/>
        <w:outlineLvl w:val="1"/>
        <w:rPr>
          <w:rFonts w:hint="eastAsia" w:ascii="黑体" w:hAnsi="黑体" w:eastAsia="黑体" w:cs="黑体"/>
          <w:b w:val="0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表格</w:t>
      </w:r>
    </w:p>
    <w:tbl>
      <w:tblPr>
        <w:tblStyle w:val="15"/>
        <w:tblW w:w="4999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48"/>
        <w:gridCol w:w="5316"/>
      </w:tblGrid>
      <w:tr w14:paraId="5EB4D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795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9823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问题现象</w:t>
            </w:r>
          </w:p>
        </w:tc>
        <w:tc>
          <w:tcPr>
            <w:tcW w:w="3150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C0B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68695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A73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Style w:val="19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Hiperrornobinaryforgpu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报错</w:t>
            </w:r>
          </w:p>
        </w:tc>
        <w:tc>
          <w:tcPr>
            <w:tcW w:w="315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AC8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  <w:r>
              <w:rPr>
                <w:rStyle w:val="19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hsa_override_gfx_version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环境变量适配对应gpu架构</w:t>
            </w:r>
          </w:p>
        </w:tc>
      </w:tr>
      <w:tr w14:paraId="42285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2E77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Vllm编译失败</w:t>
            </w:r>
          </w:p>
        </w:tc>
        <w:tc>
          <w:tcPr>
            <w:tcW w:w="31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DA6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使用官方预编译安装包：</w:t>
            </w:r>
            <w:r>
              <w:rPr>
                <w:rStyle w:val="19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Pip install vllm-rocm</w:t>
            </w:r>
          </w:p>
        </w:tc>
      </w:tr>
      <w:tr w14:paraId="2D79E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FB7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显存不足（oom）</w:t>
            </w:r>
          </w:p>
        </w:tc>
        <w:tc>
          <w:tcPr>
            <w:tcW w:w="31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A8D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下调</w:t>
            </w:r>
            <w:r>
              <w:rPr>
                <w:rStyle w:val="19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gpu-memory-utilization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参数至0.7，或启用int8量化</w:t>
            </w:r>
          </w:p>
        </w:tc>
      </w:tr>
      <w:tr w14:paraId="7B8AD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5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99A2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推理速度异常偏低</w:t>
            </w:r>
          </w:p>
        </w:tc>
        <w:tc>
          <w:tcPr>
            <w:tcW w:w="315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1FC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通过</w:t>
            </w:r>
            <w:r>
              <w:rPr>
                <w:rStyle w:val="19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rocm-smi--showpids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检查是否发生cpu fallback</w:t>
            </w:r>
          </w:p>
        </w:tc>
      </w:tr>
    </w:tbl>
    <w:p w14:paraId="5F38462D">
      <w:pPr>
        <w:widowControl/>
        <w:adjustRightInd w:val="0"/>
        <w:spacing w:before="320" w:line="300" w:lineRule="auto"/>
        <w:jc w:val="both"/>
        <w:outlineLvl w:val="0"/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第七章demo演示流程</w:t>
      </w:r>
    </w:p>
    <w:p w14:paraId="432493A2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建议演示按照「问题引入→能力展示→亮点突出→价值收尾」的逻辑展开，完整呈现系统核心能力与赛道匹配点，具体流程如下：</w:t>
      </w:r>
    </w:p>
    <w:p w14:paraId="369FB6BC">
      <w:pPr>
        <w:widowControl/>
        <w:numPr>
          <w:ilvl w:val="0"/>
          <w:numId w:val="13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场景引入：输入一个典型复杂决策问题（如hbm产业趋势研判、足球阵地战破局、tft运营决策），说明场景痛点与决策难点</w:t>
      </w:r>
    </w:p>
    <w:p w14:paraId="6788C0AC">
      <w:pPr>
        <w:widowControl/>
        <w:numPr>
          <w:ilvl w:val="0"/>
          <w:numId w:val="13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数据获取展示：呈现系统的数据获取过程，包括公开信息检索、本地知识库匹配与上下文注入，体现双源数据融合能力</w:t>
      </w:r>
    </w:p>
    <w:p w14:paraId="6886CB9C">
      <w:pPr>
        <w:widowControl/>
        <w:numPr>
          <w:ilvl w:val="0"/>
          <w:numId w:val="13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多智能体分析展示：逐一展示三类agent的分析结果，突出稳健、机会、探索三种风险偏好的差异化结论，体现多智能体协作价值</w:t>
      </w:r>
    </w:p>
    <w:p w14:paraId="100C892C">
      <w:pPr>
        <w:widowControl/>
        <w:numPr>
          <w:ilvl w:val="0"/>
          <w:numId w:val="13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综合决策报告展示：呈现最终结构化决策报告，说明共识判断、可选路径、风险提示与综合结论的生成逻辑</w:t>
      </w:r>
    </w:p>
    <w:p w14:paraId="350210D4">
      <w:pPr>
        <w:widowControl/>
        <w:numPr>
          <w:ilvl w:val="0"/>
          <w:numId w:val="13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私有化特性展示：展开证据层，展示worldstate状态快照与audit trail审计日志，强调本地可审计、可追踪、数据不出境的核心优势</w:t>
      </w:r>
    </w:p>
    <w:p w14:paraId="7B1884C4">
      <w:pPr>
        <w:widowControl/>
        <w:numPr>
          <w:ilvl w:val="0"/>
          <w:numId w:val="13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硬件状态展示：同步展示amd gpu运行状态与推理性能数据，体现硬件适配成果</w:t>
      </w:r>
    </w:p>
    <w:p w14:paraId="56F59C8F">
      <w:pPr>
        <w:widowControl/>
        <w:adjustRightInd w:val="0"/>
        <w:spacing w:before="320" w:line="300" w:lineRule="auto"/>
        <w:jc w:val="both"/>
        <w:outlineLvl w:val="0"/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</w:pPr>
      <w:r>
        <w:rPr>
          <w:rFonts w:ascii="Times New Roman" w:hAnsi="Times New Roman" w:eastAsia="黑体" w:cs="Times New Roman"/>
          <w:color w:val="000000"/>
          <w:kern w:val="44"/>
          <w:sz w:val="32"/>
          <w:szCs w:val="44"/>
          <w:lang w:bidi="ar-SA"/>
        </w:rPr>
        <w:t>第八章未来扩展规划</w:t>
      </w:r>
    </w:p>
    <w:p w14:paraId="0B3A98E6">
      <w:pPr>
        <w:widowControl/>
        <w:numPr>
          <w:ilvl w:val="0"/>
          <w:numId w:val="14"/>
        </w:numPr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场景扩展：持续拓展行业agent覆盖，面向制造、医疗、教育、供应链、政企知识管理等更多领域输出私有化决策辅助能力</w:t>
      </w:r>
    </w:p>
    <w:p w14:paraId="2CFF432D">
      <w:pPr>
        <w:widowControl/>
        <w:numPr>
          <w:ilvl w:val="0"/>
          <w:numId w:val="14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知识库升级：建设更完善的本地知识库体系，支持用户文档一键导入、向量检索与领域知识增量更新，强化私有化知识沉淀能力</w:t>
      </w:r>
    </w:p>
    <w:p w14:paraId="4CBB1B92">
      <w:pPr>
        <w:widowControl/>
        <w:numPr>
          <w:ilvl w:val="0"/>
          <w:numId w:val="14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决策演化能力：支持多轮决策演化机制，使agent能够根据新证据动态更新worldstate与策略判断，提升复杂场景适配能力</w:t>
      </w:r>
    </w:p>
    <w:p w14:paraId="4730F81D">
      <w:pPr>
        <w:widowControl/>
        <w:numPr>
          <w:ilvl w:val="0"/>
          <w:numId w:val="14"/>
        </w:numPr>
        <w:adjustRightInd w:val="0"/>
        <w:spacing w:before="100" w:after="100" w:afterLines="0" w:afterAutospacing="0" w:line="300" w:lineRule="auto"/>
        <w:ind w:left="0"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部署形态扩展：进一步优化轻量级部署方案，全面适配企业内网、个人工作站、纯离线环境等多元私有化部署场景</w:t>
      </w:r>
    </w:p>
    <w:p w14:paraId="2176AC60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Forgearena旨在全面验证amd radeon gpu与rocm软件栈在私有ai agent、本地知识检索、多智能体决策辅助场景下的落地可行性，为国产化、私有化的产业决策智能化提供可复制的参考方案。</w:t>
      </w:r>
    </w:p>
    <w:p w14:paraId="1007C639">
      <w:pPr>
        <w:widowControl/>
        <w:adjustRightInd w:val="0"/>
        <w:spacing w:before="100" w:after="100" w:afterLines="0" w:afterAutospacing="0" w:line="300" w:lineRule="auto"/>
        <w:ind w:leftChars="0" w:firstLine="480" w:firstLineChars="200"/>
        <w:jc w:val="both"/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bidi="ar-SA"/>
        </w:rPr>
        <w:t>Forgearena—local multi-agent decision intelligence for amd ai devmaster 2026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479E1"/>
    <w:multiLevelType w:val="singleLevel"/>
    <w:tmpl w:val="820479E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4DC4516"/>
    <w:multiLevelType w:val="singleLevel"/>
    <w:tmpl w:val="94DC4516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">
    <w:nsid w:val="AB5074E4"/>
    <w:multiLevelType w:val="multilevel"/>
    <w:tmpl w:val="AB507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DB5922"/>
    <w:multiLevelType w:val="singleLevel"/>
    <w:tmpl w:val="B8DB5922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4">
    <w:nsid w:val="C4637AF6"/>
    <w:multiLevelType w:val="singleLevel"/>
    <w:tmpl w:val="C4637AF6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5">
    <w:nsid w:val="E5F992E0"/>
    <w:multiLevelType w:val="multilevel"/>
    <w:tmpl w:val="E5F99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9A80DDE"/>
    <w:multiLevelType w:val="multilevel"/>
    <w:tmpl w:val="E9A80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B79BA49"/>
    <w:multiLevelType w:val="multilevel"/>
    <w:tmpl w:val="0B79BA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0EB84AA"/>
    <w:multiLevelType w:val="multilevel"/>
    <w:tmpl w:val="10EB8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738B19A"/>
    <w:multiLevelType w:val="multilevel"/>
    <w:tmpl w:val="2738B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24A78DD"/>
    <w:multiLevelType w:val="singleLevel"/>
    <w:tmpl w:val="424A78DD"/>
    <w:lvl w:ilvl="0" w:tentative="0">
      <w:start w:val="2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4AE446B6"/>
    <w:multiLevelType w:val="singleLevel"/>
    <w:tmpl w:val="4AE446B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66AD1335"/>
    <w:multiLevelType w:val="multilevel"/>
    <w:tmpl w:val="66AD13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50D61F6"/>
    <w:multiLevelType w:val="multilevel"/>
    <w:tmpl w:val="750D6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2"/>
  </w:num>
  <w:num w:numId="5">
    <w:abstractNumId w:val="4"/>
  </w:num>
  <w:num w:numId="6">
    <w:abstractNumId w:val="13"/>
  </w:num>
  <w:num w:numId="7">
    <w:abstractNumId w:val="9"/>
  </w:num>
  <w:num w:numId="8">
    <w:abstractNumId w:val="12"/>
  </w:num>
  <w:num w:numId="9">
    <w:abstractNumId w:val="3"/>
  </w:num>
  <w:num w:numId="10">
    <w:abstractNumId w:val="10"/>
  </w:num>
  <w:num w:numId="11">
    <w:abstractNumId w:val="6"/>
  </w:num>
  <w:num w:numId="12">
    <w:abstractNumId w:val="1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2613C"/>
    <w:rsid w:val="2E705D87"/>
    <w:rsid w:val="32D32BB5"/>
    <w:rsid w:val="7A6A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Emphasis"/>
    <w:basedOn w:val="16"/>
    <w:qFormat/>
    <w:uiPriority w:val="0"/>
    <w:rPr>
      <w:i/>
    </w:rPr>
  </w:style>
  <w:style w:type="character" w:styleId="19">
    <w:name w:val="HTML Code"/>
    <w:basedOn w:val="16"/>
    <w:uiPriority w:val="0"/>
    <w:rPr>
      <w:rFonts w:ascii="Courier New" w:hAnsi="Courier New"/>
      <w:sz w:val="20"/>
    </w:rPr>
  </w:style>
  <w:style w:type="paragraph" w:customStyle="1" w:styleId="20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21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4345</Words>
  <Characters>5973</Characters>
  <Lines>0</Lines>
  <Paragraphs>0</Paragraphs>
  <TotalTime>23</TotalTime>
  <ScaleCrop>false</ScaleCrop>
  <LinksUpToDate>false</LinksUpToDate>
  <CharactersWithSpaces>6041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2026-07-22T13:14:00Z</dcterms:created>
  <dc:creator>HI</dc:creator>
  <cp:lastModifiedBy>西门町老杨</cp:lastModifiedBy>
  <dcterms:modified xsi:type="dcterms:W3CDTF">2026-07-22T14:13:48Z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eyJoZGlkIjoiNjQ5NjNjYWFjZDgxZDQyMDExNzRiYjMyYTRmODdlZGUiLCJ1c2VySWQiOiIzOTMxMDk3ODUifQ==</vt:lpwstr>
  </property>
  <property fmtid="{D5CDD505-2E9C-101B-9397-08002B2CF9AE}" pid="4" name="ICV">
    <vt:lpwstr>65C958852F31437AB1E607B2E72851DE_12</vt:lpwstr>
  </property>
</Properties>
</file>