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Cambria" w:hAnsi="Cambria" w:cs="Cambria" w:eastAsia="Cambria"/>
          <w:b/>
          <w:color w:val="000000"/>
          <w:spacing w:val="0"/>
          <w:position w:val="0"/>
          <w:sz w:val="32"/>
          <w:shd w:fill="auto" w:val="clear"/>
        </w:rPr>
      </w:pPr>
      <w:r>
        <w:object w:dxaOrig="1538" w:dyaOrig="748">
          <v:rect xmlns:o="urn:schemas-microsoft-com:office:office" xmlns:v="urn:schemas-microsoft-com:vml" id="rectole0000000000" style="width:76.900000pt;height:37.4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Cambria" w:hAnsi="Cambria" w:cs="Cambria" w:eastAsia="Cambria"/>
          <w:b/>
          <w:color w:val="000000"/>
          <w:spacing w:val="0"/>
          <w:position w:val="0"/>
          <w:sz w:val="32"/>
          <w:shd w:fill="auto" w:val="clear"/>
        </w:rPr>
        <w:t xml:space="preserve">Report</w:t>
      </w:r>
    </w:p>
    <w:p>
      <w:pPr>
        <w:spacing w:before="0" w:after="0" w:line="259"/>
        <w:ind w:right="0" w:left="0" w:firstLine="0"/>
        <w:jc w:val="center"/>
        <w:rPr>
          <w:rFonts w:ascii="Arial" w:hAnsi="Arial" w:cs="Arial" w:eastAsia="Arial"/>
          <w:b/>
          <w:color w:val="auto"/>
          <w:spacing w:val="0"/>
          <w:position w:val="0"/>
          <w:sz w:val="22"/>
          <w:shd w:fill="auto" w:val="clear"/>
        </w:rPr>
      </w:pPr>
    </w:p>
    <w:tbl>
      <w:tblPr/>
      <w:tblGrid>
        <w:gridCol w:w="4508"/>
        <w:gridCol w:w="4843"/>
      </w:tblGrid>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Date</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21-sep-2026</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Team ID</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MCA(Master of Computer Applications)</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Project Name</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Online Learning Engagement and Student Performance Analysis</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Maximum Marks</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5 Marks</w:t>
            </w:r>
          </w:p>
        </w:tc>
      </w:tr>
    </w:tbl>
    <w:p>
      <w:pPr>
        <w:spacing w:before="0" w:after="160" w:line="259"/>
        <w:ind w:right="0" w:left="0" w:firstLine="0"/>
        <w:jc w:val="left"/>
        <w:rPr>
          <w:rFonts w:ascii="Cambria" w:hAnsi="Cambria" w:cs="Cambria" w:eastAsia="Cambria"/>
          <w:color w:val="000000"/>
          <w:spacing w:val="0"/>
          <w:position w:val="0"/>
          <w:sz w:val="24"/>
          <w:shd w:fill="FFFFFF" w:val="clear"/>
        </w:rPr>
      </w:pPr>
    </w:p>
    <w:p>
      <w:pPr>
        <w:spacing w:before="280" w:after="280" w:line="240"/>
        <w:ind w:right="0" w:left="284"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pPr>
        <w:spacing w:before="0" w:after="200" w:line="240"/>
        <w:ind w:right="0" w:left="284"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pPr>
        <w:spacing w:before="0" w:after="160" w:line="259"/>
        <w:ind w:right="0" w:left="0" w:firstLine="0"/>
        <w:jc w:val="center"/>
        <w:rPr>
          <w:rFonts w:ascii="Calibri" w:hAnsi="Calibri" w:cs="Calibri" w:eastAsia="Calibri"/>
          <w:color w:val="auto"/>
          <w:spacing w:val="0"/>
          <w:position w:val="0"/>
          <w:sz w:val="20"/>
          <w:shd w:fill="FFFFFF" w:val="clear"/>
        </w:rPr>
      </w:pPr>
      <w:r>
        <w:rPr>
          <w:rFonts w:ascii="Calibri" w:hAnsi="Calibri" w:cs="Calibri" w:eastAsia="Calibri"/>
          <w:color w:val="auto"/>
          <w:spacing w:val="0"/>
          <w:position w:val="0"/>
          <w:sz w:val="20"/>
          <w:shd w:fill="FFFFFF" w:val="clear"/>
        </w:rPr>
        <w:t xml:space="preserve">                    </w:t>
      </w:r>
    </w:p>
    <w:p>
      <w:pPr>
        <w:spacing w:before="0" w:after="200" w:line="240"/>
        <w:ind w:right="0" w:left="1440" w:firstLine="0"/>
        <w:jc w:val="left"/>
        <w:rPr>
          <w:rFonts w:ascii="Arial" w:hAnsi="Arial" w:cs="Arial" w:eastAsia="Arial"/>
          <w:color w:val="000000"/>
          <w:spacing w:val="0"/>
          <w:position w:val="0"/>
          <w:sz w:val="20"/>
          <w:shd w:fill="auto" w:val="clear"/>
        </w:rPr>
      </w:pPr>
    </w:p>
    <w:p>
      <w:pPr>
        <w:spacing w:before="0" w:after="200" w:line="240"/>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1F6FEB"/>
          <w:spacing w:val="0"/>
          <w:position w:val="0"/>
          <w:sz w:val="28"/>
          <w:shd w:fill="auto" w:val="clear"/>
        </w:rPr>
        <w:t xml:space="preserve">Report Page 1: KPI and Trend Overview</w:t>
      </w:r>
    </w:p>
    <w:p>
      <w:pPr>
        <w:spacing w:before="0" w:after="200" w:line="240"/>
        <w:ind w:right="0" w:left="0" w:firstLine="0"/>
        <w:jc w:val="left"/>
        <w:rPr>
          <w:rFonts w:ascii="Arial" w:hAnsi="Arial" w:cs="Arial" w:eastAsia="Arial"/>
          <w:color w:val="000000"/>
          <w:spacing w:val="0"/>
          <w:position w:val="0"/>
          <w:sz w:val="20"/>
          <w:shd w:fill="auto" w:val="clear"/>
        </w:rPr>
      </w:pPr>
      <w:r>
        <w:object w:dxaOrig="9049" w:dyaOrig="4961">
          <v:rect xmlns:o="urn:schemas-microsoft-com:office:office" xmlns:v="urn:schemas-microsoft-com:vml" id="rectole0000000001" style="width:452.450000pt;height:248.0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40"/>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Observations drawn from reports in Power BI can provide valuable insights into business performance and trends.</w:t>
      </w:r>
    </w:p>
    <w:p>
      <w:pPr>
        <w:spacing w:before="0" w:after="200" w:line="240"/>
        <w:ind w:right="0" w:left="0" w:firstLine="0"/>
        <w:jc w:val="left"/>
        <w:rPr>
          <w:rFonts w:ascii="Arial" w:hAnsi="Arial" w:cs="Arial" w:eastAsia="Arial"/>
          <w:color w:val="000000"/>
          <w:spacing w:val="0"/>
          <w:position w:val="0"/>
          <w:sz w:val="20"/>
          <w:shd w:fill="auto" w:val="clear"/>
        </w:rPr>
      </w:pPr>
      <w:r>
        <w:rPr>
          <w:rFonts w:ascii="Arial" w:hAnsi="Arial" w:cs="Arial" w:eastAsia="Arial"/>
          <w:b/>
          <w:color w:val="000000"/>
          <w:spacing w:val="0"/>
          <w:position w:val="0"/>
          <w:sz w:val="20"/>
          <w:shd w:fill="auto" w:val="clear"/>
        </w:rPr>
        <w:t xml:space="preserve">1. Trends Over Time</w:t>
      </w:r>
      <w:r>
        <w:rPr>
          <w:rFonts w:ascii="Arial" w:hAnsi="Arial" w:cs="Arial" w:eastAsia="Arial"/>
          <w:color w:val="000000"/>
          <w:spacing w:val="0"/>
          <w:position w:val="0"/>
          <w:sz w:val="20"/>
          <w:shd w:fill="auto" w:val="clear"/>
        </w:rPr>
        <w:t xml:space="preserve">:</w:t>
      </w:r>
    </w:p>
    <w:p>
      <w:pPr>
        <w:numPr>
          <w:ilvl w:val="0"/>
          <w:numId w:val="19"/>
        </w:numPr>
        <w:spacing w:before="0" w:after="200" w:line="240"/>
        <w:ind w:right="0" w:left="720" w:hanging="36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Average score is tracked across engagement bands (total clicks: 0</w:t>
      </w:r>
      <w:r>
        <w:rPr>
          <w:rFonts w:ascii="Arial" w:hAnsi="Arial" w:cs="Arial" w:eastAsia="Aria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500, 500</w:t>
      </w:r>
      <w:r>
        <w:rPr>
          <w:rFonts w:ascii="Arial" w:hAnsi="Arial" w:cs="Arial" w:eastAsia="Aria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1000, 1000</w:t>
      </w:r>
      <w:r>
        <w:rPr>
          <w:rFonts w:ascii="Arial" w:hAnsi="Arial" w:cs="Arial" w:eastAsia="Aria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2000, 2000</w:t>
      </w:r>
      <w:r>
        <w:rPr>
          <w:rFonts w:ascii="Arial" w:hAnsi="Arial" w:cs="Arial" w:eastAsia="Aria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3000, 3000+) to identify how score improves as platform activity increases over the course.</w:t>
      </w:r>
    </w:p>
    <w:p>
      <w:pPr>
        <w:spacing w:before="0" w:after="200" w:line="240"/>
        <w:ind w:right="0" w:left="0" w:firstLine="0"/>
        <w:jc w:val="left"/>
        <w:rPr>
          <w:rFonts w:ascii="Arial" w:hAnsi="Arial" w:cs="Arial" w:eastAsia="Arial"/>
          <w:color w:val="000000"/>
          <w:spacing w:val="0"/>
          <w:position w:val="0"/>
          <w:sz w:val="20"/>
          <w:shd w:fill="auto" w:val="clear"/>
        </w:rPr>
      </w:pPr>
      <w:r>
        <w:rPr>
          <w:rFonts w:ascii="Arial" w:hAnsi="Arial" w:cs="Arial" w:eastAsia="Arial"/>
          <w:b/>
          <w:color w:val="000000"/>
          <w:spacing w:val="0"/>
          <w:position w:val="0"/>
          <w:sz w:val="20"/>
          <w:shd w:fill="auto" w:val="clear"/>
        </w:rPr>
        <w:t xml:space="preserve">2. Performance Comparisons</w:t>
      </w:r>
      <w:r>
        <w:rPr>
          <w:rFonts w:ascii="Arial" w:hAnsi="Arial" w:cs="Arial" w:eastAsia="Arial"/>
          <w:color w:val="000000"/>
          <w:spacing w:val="0"/>
          <w:position w:val="0"/>
          <w:sz w:val="20"/>
          <w:shd w:fill="auto" w:val="clear"/>
        </w:rPr>
        <w:t xml:space="preserve">:</w:t>
      </w:r>
    </w:p>
    <w:p>
      <w:pPr>
        <w:numPr>
          <w:ilvl w:val="0"/>
          <w:numId w:val="21"/>
        </w:numPr>
        <w:spacing w:before="0" w:after="200" w:line="240"/>
        <w:ind w:right="0" w:left="720" w:hanging="36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Dropout rate is compared across regions and performance levels to determine which student segments and geographies are underperforming and need the most support.</w:t>
      </w:r>
    </w:p>
    <w:p>
      <w:pPr>
        <w:spacing w:before="280" w:after="28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 Student  Segmentation</w:t>
      </w:r>
      <w:r>
        <w:rPr>
          <w:rFonts w:ascii="Times New Roman" w:hAnsi="Times New Roman" w:cs="Times New Roman" w:eastAsia="Times New Roman"/>
          <w:color w:val="auto"/>
          <w:spacing w:val="0"/>
          <w:position w:val="0"/>
          <w:sz w:val="24"/>
          <w:shd w:fill="auto" w:val="clear"/>
        </w:rPr>
        <w:t xml:space="preserve">:</w:t>
      </w:r>
    </w:p>
    <w:p>
      <w:pPr>
        <w:numPr>
          <w:ilvl w:val="0"/>
          <w:numId w:val="23"/>
        </w:numPr>
        <w:spacing w:before="280" w:after="28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Demographic data (gender, region, highest prior education) is assessed to understand student segments and identify where targeted academic support would have the greatest impact.</w:t>
      </w:r>
    </w:p>
    <w:p>
      <w:pPr>
        <w:spacing w:before="280" w:after="28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 Goal Achievement</w:t>
      </w:r>
      <w:r>
        <w:rPr>
          <w:rFonts w:ascii="Times New Roman" w:hAnsi="Times New Roman" w:cs="Times New Roman" w:eastAsia="Times New Roman"/>
          <w:color w:val="auto"/>
          <w:spacing w:val="0"/>
          <w:position w:val="0"/>
          <w:sz w:val="24"/>
          <w:shd w:fill="auto" w:val="clear"/>
        </w:rPr>
        <w:t xml:space="preserve">:</w:t>
      </w:r>
    </w:p>
    <w:p>
      <w:pPr>
        <w:numPr>
          <w:ilvl w:val="0"/>
          <w:numId w:val="25"/>
        </w:numPr>
        <w:spacing w:before="280" w:after="28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Progress is measured against the project's core KPIs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Total Students, Dropout Rate, Average Score, Average Clicks, and Pass Rate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to assess whether engagement and retention goals are being met.</w:t>
      </w:r>
    </w:p>
    <w:p>
      <w:pPr>
        <w:spacing w:before="280" w:after="280" w:line="240"/>
        <w:ind w:right="0" w:left="0" w:firstLine="0"/>
        <w:jc w:val="left"/>
        <w:rPr>
          <w:rFonts w:ascii="Times New Roman" w:hAnsi="Times New Roman" w:cs="Times New Roman" w:eastAsia="Times New Roman"/>
          <w:b/>
          <w:color w:val="4472C4"/>
          <w:spacing w:val="0"/>
          <w:position w:val="0"/>
          <w:sz w:val="24"/>
          <w:shd w:fill="auto" w:val="clear"/>
        </w:rPr>
      </w:pPr>
      <w:r>
        <w:rPr>
          <w:rFonts w:ascii="Times New Roman" w:hAnsi="Times New Roman" w:cs="Times New Roman" w:eastAsia="Times New Roman"/>
          <w:b/>
          <w:color w:val="4472C4"/>
          <w:spacing w:val="0"/>
          <w:position w:val="0"/>
          <w:sz w:val="24"/>
          <w:shd w:fill="auto" w:val="clear"/>
        </w:rPr>
        <w:t xml:space="preserve">Example:</w:t>
      </w:r>
    </w:p>
    <w:p>
      <w:pPr>
        <w:numPr>
          <w:ilvl w:val="0"/>
          <w:numId w:val="27"/>
        </w:numPr>
        <w:tabs>
          <w:tab w:val="left" w:pos="284" w:leader="none"/>
        </w:tabs>
        <w:spacing w:before="280" w:after="280" w:line="240"/>
        <w:ind w:right="0" w:left="142" w:hanging="142"/>
        <w:jc w:val="left"/>
        <w:rPr>
          <w:rFonts w:ascii="Times New Roman" w:hAnsi="Times New Roman" w:cs="Times New Roman" w:eastAsia="Times New Roman"/>
          <w:color w:val="000000"/>
          <w:spacing w:val="0"/>
          <w:position w:val="0"/>
          <w:sz w:val="24"/>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Gender Distribution</w:t>
      </w:r>
      <w:r>
        <w:rPr>
          <w:rFonts w:ascii="Times New Roman" w:hAnsi="Times New Roman" w:cs="Times New Roman" w:eastAsia="Times New Roman"/>
          <w:color w:val="000000"/>
          <w:spacing w:val="0"/>
          <w:position w:val="0"/>
          <w:sz w:val="24"/>
          <w:u w:val="single"/>
          <w:shd w:fill="auto" w:val="clear"/>
        </w:rPr>
        <w:t xml:space="preserve">:</w:t>
      </w:r>
    </w:p>
    <w:p>
      <w:pPr>
        <w:numPr>
          <w:ilvl w:val="0"/>
          <w:numId w:val="27"/>
        </w:numPr>
        <w:spacing w:before="280" w:after="28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gender distribution chart shows that the platform has more male students enrolled, </w:t>
      </w:r>
      <w:r>
        <w:rPr>
          <w:rFonts w:ascii="Times New Roman" w:hAnsi="Times New Roman" w:cs="Times New Roman" w:eastAsia="Times New Roman"/>
          <w:b/>
          <w:color w:val="auto"/>
          <w:spacing w:val="0"/>
          <w:position w:val="0"/>
          <w:sz w:val="24"/>
          <w:shd w:fill="auto" w:val="clear"/>
        </w:rPr>
        <w:t xml:space="preserve">male students (17,875)</w:t>
      </w:r>
      <w:r>
        <w:rPr>
          <w:rFonts w:ascii="Times New Roman" w:hAnsi="Times New Roman" w:cs="Times New Roman" w:eastAsia="Times New Roman"/>
          <w:color w:val="auto"/>
          <w:spacing w:val="0"/>
          <w:position w:val="0"/>
          <w:sz w:val="24"/>
          <w:shd w:fill="auto" w:val="clear"/>
        </w:rPr>
        <w:t xml:space="preserve"> compared to </w:t>
      </w:r>
      <w:r>
        <w:rPr>
          <w:rFonts w:ascii="Times New Roman" w:hAnsi="Times New Roman" w:cs="Times New Roman" w:eastAsia="Times New Roman"/>
          <w:b/>
          <w:color w:val="auto"/>
          <w:spacing w:val="0"/>
          <w:position w:val="0"/>
          <w:sz w:val="24"/>
          <w:shd w:fill="auto" w:val="clear"/>
        </w:rPr>
        <w:t xml:space="preserve">female students (14,718)</w:t>
      </w:r>
      <w:r>
        <w:rPr>
          <w:rFonts w:ascii="Times New Roman" w:hAnsi="Times New Roman" w:cs="Times New Roman" w:eastAsia="Times New Roman"/>
          <w:color w:val="auto"/>
          <w:spacing w:val="0"/>
          <w:position w:val="0"/>
          <w:sz w:val="24"/>
          <w:shd w:fill="auto" w:val="clear"/>
        </w:rPr>
        <w:t xml:space="preserve">. </w:t>
      </w:r>
    </w:p>
    <w:p>
      <w:pPr>
        <w:numPr>
          <w:ilvl w:val="0"/>
          <w:numId w:val="27"/>
        </w:numPr>
        <w:spacing w:before="280" w:after="280" w:line="240"/>
        <w:ind w:right="0" w:left="284" w:hanging="284"/>
        <w:jc w:val="left"/>
        <w:rPr>
          <w:rFonts w:ascii="Times New Roman" w:hAnsi="Times New Roman" w:cs="Times New Roman" w:eastAsia="Times New Roman"/>
          <w:color w:val="000000"/>
          <w:spacing w:val="0"/>
          <w:position w:val="0"/>
          <w:sz w:val="24"/>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Engagement vs. Score Trend</w:t>
      </w:r>
      <w:r>
        <w:rPr>
          <w:rFonts w:ascii="Times New Roman" w:hAnsi="Times New Roman" w:cs="Times New Roman" w:eastAsia="Times New Roman"/>
          <w:color w:val="000000"/>
          <w:spacing w:val="0"/>
          <w:position w:val="0"/>
          <w:sz w:val="24"/>
          <w:u w:val="single"/>
          <w:shd w:fill="auto" w:val="clear"/>
        </w:rPr>
        <w:t xml:space="preserve">:</w:t>
      </w:r>
    </w:p>
    <w:p>
      <w:pPr>
        <w:numPr>
          <w:ilvl w:val="0"/>
          <w:numId w:val="27"/>
        </w:numPr>
        <w:spacing w:before="280" w:after="28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 total clicks rise from the </w:t>
      </w:r>
      <w:r>
        <w:rPr>
          <w:rFonts w:ascii="Times New Roman" w:hAnsi="Times New Roman" w:cs="Times New Roman" w:eastAsia="Times New Roman"/>
          <w:b/>
          <w:color w:val="auto"/>
          <w:spacing w:val="0"/>
          <w:position w:val="0"/>
          <w:sz w:val="24"/>
          <w:shd w:fill="auto" w:val="clear"/>
        </w:rPr>
        <w:t xml:space="preserve">0</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500 band to the 3000+ band</w:t>
      </w:r>
      <w:r>
        <w:rPr>
          <w:rFonts w:ascii="Times New Roman" w:hAnsi="Times New Roman" w:cs="Times New Roman" w:eastAsia="Times New Roman"/>
          <w:color w:val="auto"/>
          <w:spacing w:val="0"/>
          <w:position w:val="0"/>
          <w:sz w:val="24"/>
          <w:shd w:fill="auto" w:val="clear"/>
        </w:rPr>
        <w:t xml:space="preserve">, average score climbs steadily from 66.20 to </w:t>
      </w:r>
      <w:r>
        <w:rPr>
          <w:rFonts w:ascii="Times New Roman" w:hAnsi="Times New Roman" w:cs="Times New Roman" w:eastAsia="Times New Roman"/>
          <w:b/>
          <w:color w:val="auto"/>
          <w:spacing w:val="0"/>
          <w:position w:val="0"/>
          <w:sz w:val="24"/>
          <w:shd w:fill="auto" w:val="clear"/>
        </w:rPr>
        <w:t xml:space="preserve">80.17</w:t>
      </w:r>
      <w:r>
        <w:rPr>
          <w:rFonts w:ascii="Times New Roman" w:hAnsi="Times New Roman" w:cs="Times New Roman" w:eastAsia="Times New Roman"/>
          <w:color w:val="auto"/>
          <w:spacing w:val="0"/>
          <w:position w:val="0"/>
          <w:sz w:val="24"/>
          <w:shd w:fill="auto" w:val="clear"/>
        </w:rPr>
        <w:t xml:space="preserve">, confirming a strong positive relationship between platform engagement and academic performance.</w:t>
      </w:r>
    </w:p>
    <w:p>
      <w:pPr>
        <w:numPr>
          <w:ilvl w:val="0"/>
          <w:numId w:val="27"/>
        </w:numPr>
        <w:spacing w:before="280" w:after="280" w:line="240"/>
        <w:ind w:right="0" w:left="284" w:hanging="284"/>
        <w:jc w:val="left"/>
        <w:rPr>
          <w:rFonts w:ascii="Times New Roman" w:hAnsi="Times New Roman" w:cs="Times New Roman" w:eastAsia="Times New Roman"/>
          <w:color w:val="000000"/>
          <w:spacing w:val="0"/>
          <w:position w:val="0"/>
          <w:sz w:val="24"/>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Regional Disparities</w:t>
      </w:r>
      <w:r>
        <w:rPr>
          <w:rFonts w:ascii="Times New Roman" w:hAnsi="Times New Roman" w:cs="Times New Roman" w:eastAsia="Times New Roman"/>
          <w:color w:val="000000"/>
          <w:spacing w:val="0"/>
          <w:position w:val="0"/>
          <w:sz w:val="24"/>
          <w:u w:val="single"/>
          <w:shd w:fill="auto" w:val="clear"/>
        </w:rPr>
        <w:t xml:space="preserve">:</w:t>
      </w:r>
    </w:p>
    <w:p>
      <w:pPr>
        <w:numPr>
          <w:ilvl w:val="0"/>
          <w:numId w:val="27"/>
        </w:numPr>
        <w:spacing w:before="280" w:after="28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North Western Region</w:t>
      </w:r>
      <w:r>
        <w:rPr>
          <w:rFonts w:ascii="Times New Roman" w:hAnsi="Times New Roman" w:cs="Times New Roman" w:eastAsia="Times New Roman"/>
          <w:color w:val="auto"/>
          <w:spacing w:val="0"/>
          <w:position w:val="0"/>
          <w:sz w:val="24"/>
          <w:shd w:fill="auto" w:val="clear"/>
        </w:rPr>
        <w:t xml:space="preserve"> has the highest dropout rate among all regions (</w:t>
      </w:r>
      <w:r>
        <w:rPr>
          <w:rFonts w:ascii="Times New Roman" w:hAnsi="Times New Roman" w:cs="Times New Roman" w:eastAsia="Times New Roman"/>
          <w:b/>
          <w:color w:val="auto"/>
          <w:spacing w:val="0"/>
          <w:position w:val="0"/>
          <w:sz w:val="24"/>
          <w:shd w:fill="auto" w:val="clear"/>
        </w:rPr>
        <w:t xml:space="preserve">35.58%</w:t>
      </w:r>
      <w:r>
        <w:rPr>
          <w:rFonts w:ascii="Times New Roman" w:hAnsi="Times New Roman" w:cs="Times New Roman" w:eastAsia="Times New Roman"/>
          <w:color w:val="auto"/>
          <w:spacing w:val="0"/>
          <w:position w:val="0"/>
          <w:sz w:val="24"/>
          <w:shd w:fill="auto" w:val="clear"/>
        </w:rPr>
        <w:t xml:space="preserve">), closely followed by West Midlands (35.36%) and East Midlands (34.76%), highlighting where additional student support may be most needed.</w:t>
      </w:r>
    </w:p>
    <w:p>
      <w:pPr>
        <w:numPr>
          <w:ilvl w:val="0"/>
          <w:numId w:val="27"/>
        </w:numPr>
        <w:spacing w:before="280" w:after="280" w:line="240"/>
        <w:ind w:right="0" w:left="284" w:hanging="284"/>
        <w:jc w:val="left"/>
        <w:rPr>
          <w:rFonts w:ascii="Times New Roman" w:hAnsi="Times New Roman" w:cs="Times New Roman" w:eastAsia="Times New Roman"/>
          <w:color w:val="000000"/>
          <w:spacing w:val="0"/>
          <w:position w:val="0"/>
          <w:sz w:val="24"/>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Prior Education and Dropout</w:t>
      </w:r>
      <w:r>
        <w:rPr>
          <w:rFonts w:ascii="Times New Roman" w:hAnsi="Times New Roman" w:cs="Times New Roman" w:eastAsia="Times New Roman"/>
          <w:color w:val="000000"/>
          <w:spacing w:val="0"/>
          <w:position w:val="0"/>
          <w:sz w:val="24"/>
          <w:u w:val="single"/>
          <w:shd w:fill="auto" w:val="clear"/>
        </w:rPr>
        <w:t xml:space="preserve">:</w:t>
      </w:r>
    </w:p>
    <w:p>
      <w:pPr>
        <w:numPr>
          <w:ilvl w:val="0"/>
          <w:numId w:val="27"/>
        </w:numPr>
        <w:spacing w:before="280" w:after="28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Dropout rate falls sharply as performance level rises: </w:t>
      </w:r>
      <w:r>
        <w:rPr>
          <w:rFonts w:ascii="Times New Roman" w:hAnsi="Times New Roman" w:cs="Times New Roman" w:eastAsia="Times New Roman"/>
          <w:b/>
          <w:color w:val="auto"/>
          <w:spacing w:val="0"/>
          <w:position w:val="0"/>
          <w:sz w:val="24"/>
          <w:shd w:fill="auto" w:val="clear"/>
        </w:rPr>
        <w:t xml:space="preserve">42.46% for Low performers versus just 15.48% for High performers</w:t>
      </w:r>
      <w:r>
        <w:rPr>
          <w:rFonts w:ascii="Times New Roman" w:hAnsi="Times New Roman" w:cs="Times New Roman" w:eastAsia="Times New Roman"/>
          <w:color w:val="auto"/>
          <w:spacing w:val="0"/>
          <w:position w:val="0"/>
          <w:sz w:val="24"/>
          <w:shd w:fill="auto" w:val="clear"/>
        </w:rPr>
        <w:t xml:space="preserve">. Prior education also predicts performance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students with a </w:t>
      </w:r>
      <w:r>
        <w:rPr>
          <w:rFonts w:ascii="Times New Roman" w:hAnsi="Times New Roman" w:cs="Times New Roman" w:eastAsia="Times New Roman"/>
          <w:b/>
          <w:color w:val="auto"/>
          <w:spacing w:val="0"/>
          <w:position w:val="0"/>
          <w:sz w:val="24"/>
          <w:shd w:fill="auto" w:val="clear"/>
        </w:rPr>
        <w:t xml:space="preserve">Post Graduate Qualification average 81.94 in score</w:t>
      </w:r>
      <w:r>
        <w:rPr>
          <w:rFonts w:ascii="Times New Roman" w:hAnsi="Times New Roman" w:cs="Times New Roman" w:eastAsia="Times New Roman"/>
          <w:color w:val="auto"/>
          <w:spacing w:val="0"/>
          <w:position w:val="0"/>
          <w:sz w:val="24"/>
          <w:shd w:fill="auto" w:val="clear"/>
        </w:rPr>
        <w:t xml:space="preserve">, compared to just 66.10 for those with </w:t>
      </w:r>
      <w:r>
        <w:rPr>
          <w:rFonts w:ascii="Times New Roman" w:hAnsi="Times New Roman" w:cs="Times New Roman" w:eastAsia="Times New Roman"/>
          <w:b/>
          <w:color w:val="auto"/>
          <w:spacing w:val="0"/>
          <w:position w:val="0"/>
          <w:sz w:val="24"/>
          <w:shd w:fill="auto" w:val="clear"/>
        </w:rPr>
        <w:t xml:space="preserve">no formal qualifications</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 gap of more than 15 points, reinforcing that early academic support is the most direct lever for reducing dropout.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1F6FEB"/>
          <w:spacing w:val="0"/>
          <w:position w:val="0"/>
          <w:sz w:val="28"/>
          <w:shd w:fill="auto" w:val="clear"/>
        </w:rPr>
        <w:t xml:space="preserve">Report Page 2: Factors Affecting Dropout (Decomposition Tree)</w:t>
      </w:r>
    </w:p>
    <w:p>
      <w:pPr>
        <w:spacing w:before="0" w:after="200" w:line="240"/>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This page uses an AI-powered Decomposition Tree to drill into student dropout, expanding Dropout Rate step by step across engagement level, risk level, and region to surface the highest-priority student segments.</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4894" w:dyaOrig="3585">
          <v:rect xmlns:o="urn:schemas-microsoft-com:office:office" xmlns:v="urn:schemas-microsoft-com:vml" id="rectole0000000002" style="width:244.700000pt;height:179.2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object w:dxaOrig="5279" w:dyaOrig="3630">
          <v:rect xmlns:o="urn:schemas-microsoft-com:office:office" xmlns:v="urn:schemas-microsoft-com:vml" id="rectole0000000003" style="width:263.950000pt;height:181.5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40"/>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Observations drawn from the decomposition tree:</w:t>
      </w:r>
    </w:p>
    <w:p>
      <w:pPr>
        <w:spacing w:before="0" w:after="200" w:line="240"/>
        <w:ind w:right="0" w:left="0" w:firstLine="0"/>
        <w:jc w:val="left"/>
        <w:rPr>
          <w:rFonts w:ascii="Arial" w:hAnsi="Arial" w:cs="Arial" w:eastAsia="Arial"/>
          <w:color w:val="000000"/>
          <w:spacing w:val="0"/>
          <w:position w:val="0"/>
          <w:sz w:val="20"/>
          <w:shd w:fill="auto" w:val="clear"/>
        </w:rPr>
      </w:pPr>
      <w:r>
        <w:rPr>
          <w:rFonts w:ascii="Arial" w:hAnsi="Arial" w:cs="Arial" w:eastAsia="Arial"/>
          <w:b/>
          <w:color w:val="000000"/>
          <w:spacing w:val="0"/>
          <w:position w:val="0"/>
          <w:sz w:val="20"/>
          <w:shd w:fill="auto" w:val="clear"/>
        </w:rPr>
        <w:t xml:space="preserve">1. Root Cause </w:t>
      </w:r>
      <w:r>
        <w:rPr>
          <w:rFonts w:ascii="Arial" w:hAnsi="Arial" w:cs="Arial" w:eastAsia="Arial"/>
          <w:b/>
          <w:color w:val="000000"/>
          <w:spacing w:val="0"/>
          <w:position w:val="0"/>
          <w:sz w:val="20"/>
          <w:shd w:fill="auto" w:val="clear"/>
        </w:rPr>
        <w:t xml:space="preserve">—</w:t>
      </w:r>
      <w:r>
        <w:rPr>
          <w:rFonts w:ascii="Arial" w:hAnsi="Arial" w:cs="Arial" w:eastAsia="Arial"/>
          <w:b/>
          <w:color w:val="000000"/>
          <w:spacing w:val="0"/>
          <w:position w:val="0"/>
          <w:sz w:val="20"/>
          <w:shd w:fill="auto" w:val="clear"/>
        </w:rPr>
        <w:t xml:space="preserve"> Engagement Level</w:t>
      </w:r>
      <w:r>
        <w:rPr>
          <w:rFonts w:ascii="Arial" w:hAnsi="Arial" w:cs="Arial" w:eastAsia="Arial"/>
          <w:color w:val="000000"/>
          <w:spacing w:val="0"/>
          <w:position w:val="0"/>
          <w:sz w:val="20"/>
          <w:shd w:fill="auto" w:val="clear"/>
        </w:rPr>
        <w:t xml:space="preserve">:</w:t>
      </w:r>
    </w:p>
    <w:p>
      <w:pPr>
        <w:numPr>
          <w:ilvl w:val="0"/>
          <w:numId w:val="39"/>
        </w:numPr>
        <w:spacing w:before="0" w:after="200" w:line="240"/>
        <w:ind w:right="0" w:left="720" w:hanging="360"/>
        <w:jc w:val="left"/>
        <w:rPr>
          <w:rFonts w:ascii="Arial" w:hAnsi="Arial" w:cs="Arial" w:eastAsia="Arial"/>
          <w:color w:val="000000"/>
          <w:spacing w:val="0"/>
          <w:position w:val="0"/>
          <w:sz w:val="20"/>
          <w:shd w:fill="auto" w:val="clear"/>
        </w:rPr>
      </w:pPr>
      <w:r>
        <w:rPr>
          <w:rFonts w:ascii="Arial" w:hAnsi="Arial" w:cs="Arial" w:eastAsia="Arial"/>
          <w:b/>
          <w:color w:val="000000"/>
          <w:spacing w:val="0"/>
          <w:position w:val="0"/>
          <w:sz w:val="20"/>
          <w:shd w:fill="auto" w:val="clear"/>
        </w:rPr>
        <w:t xml:space="preserve">Of the 10,156 total dropouts in the dataset, </w:t>
      </w:r>
      <w:r>
        <w:rPr>
          <w:rFonts w:ascii="Arial" w:hAnsi="Arial" w:cs="Arial" w:eastAsia="Arial"/>
          <w:color w:val="000000"/>
          <w:spacing w:val="0"/>
          <w:position w:val="0"/>
          <w:sz w:val="20"/>
          <w:shd w:fill="auto" w:val="clear"/>
        </w:rPr>
        <w:t xml:space="preserve">4,328 (42.6%) come from Low-engagement students </w:t>
      </w:r>
      <w:r>
        <w:rPr>
          <w:rFonts w:ascii="Arial" w:hAnsi="Arial" w:cs="Arial" w:eastAsia="Aria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 nearly double the Medium-engagement group (2,133) and more than triple the High-engagement group (1,179), confirming engagement as the single strongest driver of dropout.</w:t>
      </w:r>
    </w:p>
    <w:p>
      <w:pPr>
        <w:spacing w:before="0" w:after="200" w:line="240"/>
        <w:ind w:right="0" w:left="0" w:firstLine="0"/>
        <w:jc w:val="left"/>
        <w:rPr>
          <w:rFonts w:ascii="Arial" w:hAnsi="Arial" w:cs="Arial" w:eastAsia="Arial"/>
          <w:color w:val="000000"/>
          <w:spacing w:val="0"/>
          <w:position w:val="0"/>
          <w:sz w:val="20"/>
          <w:shd w:fill="auto" w:val="clear"/>
        </w:rPr>
      </w:pPr>
      <w:r>
        <w:rPr>
          <w:rFonts w:ascii="Arial" w:hAnsi="Arial" w:cs="Arial" w:eastAsia="Arial"/>
          <w:b/>
          <w:color w:val="000000"/>
          <w:spacing w:val="0"/>
          <w:position w:val="0"/>
          <w:sz w:val="20"/>
          <w:shd w:fill="auto" w:val="clear"/>
        </w:rPr>
        <w:t xml:space="preserve">2. Secondary Split </w:t>
      </w:r>
      <w:r>
        <w:rPr>
          <w:rFonts w:ascii="Arial" w:hAnsi="Arial" w:cs="Arial" w:eastAsia="Arial"/>
          <w:b/>
          <w:color w:val="000000"/>
          <w:spacing w:val="0"/>
          <w:position w:val="0"/>
          <w:sz w:val="20"/>
          <w:shd w:fill="auto" w:val="clear"/>
        </w:rPr>
        <w:t xml:space="preserve">—</w:t>
      </w:r>
      <w:r>
        <w:rPr>
          <w:rFonts w:ascii="Arial" w:hAnsi="Arial" w:cs="Arial" w:eastAsia="Arial"/>
          <w:b/>
          <w:color w:val="000000"/>
          <w:spacing w:val="0"/>
          <w:position w:val="0"/>
          <w:sz w:val="20"/>
          <w:shd w:fill="auto" w:val="clear"/>
        </w:rPr>
        <w:t xml:space="preserve"> Risk Level</w:t>
      </w:r>
      <w:r>
        <w:rPr>
          <w:rFonts w:ascii="Arial" w:hAnsi="Arial" w:cs="Arial" w:eastAsia="Arial"/>
          <w:color w:val="000000"/>
          <w:spacing w:val="0"/>
          <w:position w:val="0"/>
          <w:sz w:val="20"/>
          <w:shd w:fill="auto" w:val="clear"/>
        </w:rPr>
        <w:t xml:space="preserve">:</w:t>
      </w:r>
    </w:p>
    <w:p>
      <w:pPr>
        <w:numPr>
          <w:ilvl w:val="0"/>
          <w:numId w:val="41"/>
        </w:numPr>
        <w:spacing w:before="0" w:after="200" w:line="240"/>
        <w:ind w:right="0" w:left="720" w:hanging="360"/>
        <w:jc w:val="left"/>
        <w:rPr>
          <w:rFonts w:ascii="Arial" w:hAnsi="Arial" w:cs="Arial" w:eastAsia="Arial"/>
          <w:color w:val="000000"/>
          <w:spacing w:val="0"/>
          <w:position w:val="0"/>
          <w:sz w:val="20"/>
          <w:shd w:fill="auto" w:val="clear"/>
        </w:rPr>
      </w:pPr>
      <w:r>
        <w:rPr>
          <w:rFonts w:ascii="Arial" w:hAnsi="Arial" w:cs="Arial" w:eastAsia="Arial"/>
          <w:b/>
          <w:color w:val="000000"/>
          <w:spacing w:val="0"/>
          <w:position w:val="0"/>
          <w:sz w:val="20"/>
          <w:shd w:fill="auto" w:val="clear"/>
        </w:rPr>
        <w:t xml:space="preserve">Within the Low-engagement branch, </w:t>
      </w:r>
      <w:r>
        <w:rPr>
          <w:rFonts w:ascii="Arial" w:hAnsi="Arial" w:cs="Arial" w:eastAsia="Arial"/>
          <w:color w:val="000000"/>
          <w:spacing w:val="0"/>
          <w:position w:val="0"/>
          <w:sz w:val="20"/>
          <w:shd w:fill="auto" w:val="clear"/>
        </w:rPr>
        <w:t xml:space="preserve">3,591 of the 4,328 dropouts (83%) are classified as Very High Risk, versus only 737 as High Risk </w:t>
      </w:r>
      <w:r>
        <w:rPr>
          <w:rFonts w:ascii="Arial" w:hAnsi="Arial" w:cs="Arial" w:eastAsia="Aria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 showing that low engagement and high risk strongly compound one another.</w:t>
      </w:r>
    </w:p>
    <w:p>
      <w:pPr>
        <w:spacing w:before="0" w:after="200" w:line="240"/>
        <w:ind w:right="0" w:left="0" w:firstLine="0"/>
        <w:jc w:val="left"/>
        <w:rPr>
          <w:rFonts w:ascii="Arial" w:hAnsi="Arial" w:cs="Arial" w:eastAsia="Arial"/>
          <w:color w:val="000000"/>
          <w:spacing w:val="0"/>
          <w:position w:val="0"/>
          <w:sz w:val="20"/>
          <w:shd w:fill="auto" w:val="clear"/>
        </w:rPr>
      </w:pPr>
      <w:r>
        <w:rPr>
          <w:rFonts w:ascii="Arial" w:hAnsi="Arial" w:cs="Arial" w:eastAsia="Arial"/>
          <w:b/>
          <w:color w:val="000000"/>
          <w:spacing w:val="0"/>
          <w:position w:val="0"/>
          <w:sz w:val="20"/>
          <w:shd w:fill="auto" w:val="clear"/>
        </w:rPr>
        <w:t xml:space="preserve">3. Regional Overlay</w:t>
      </w:r>
      <w:r>
        <w:rPr>
          <w:rFonts w:ascii="Arial" w:hAnsi="Arial" w:cs="Arial" w:eastAsia="Arial"/>
          <w:color w:val="000000"/>
          <w:spacing w:val="0"/>
          <w:position w:val="0"/>
          <w:sz w:val="20"/>
          <w:shd w:fill="auto" w:val="clear"/>
        </w:rPr>
        <w:t xml:space="preserve">:</w:t>
      </w:r>
    </w:p>
    <w:p>
      <w:pPr>
        <w:numPr>
          <w:ilvl w:val="0"/>
          <w:numId w:val="43"/>
        </w:numPr>
        <w:spacing w:before="0" w:after="200" w:line="240"/>
        <w:ind w:right="0" w:left="720" w:hanging="360"/>
        <w:jc w:val="left"/>
        <w:rPr>
          <w:rFonts w:ascii="Arial" w:hAnsi="Arial" w:cs="Arial" w:eastAsia="Arial"/>
          <w:color w:val="000000"/>
          <w:spacing w:val="0"/>
          <w:position w:val="0"/>
          <w:sz w:val="20"/>
          <w:shd w:fill="auto" w:val="clear"/>
        </w:rPr>
      </w:pPr>
      <w:r>
        <w:rPr>
          <w:rFonts w:ascii="Arial" w:hAnsi="Arial" w:cs="Arial" w:eastAsia="Arial"/>
          <w:b/>
          <w:color w:val="000000"/>
          <w:spacing w:val="0"/>
          <w:position w:val="0"/>
          <w:sz w:val="20"/>
          <w:shd w:fill="auto" w:val="clear"/>
        </w:rPr>
        <w:t xml:space="preserve">Within this Low-engagement, Very-High-Risk segment, </w:t>
      </w:r>
      <w:r>
        <w:rPr>
          <w:rFonts w:ascii="Arial" w:hAnsi="Arial" w:cs="Arial" w:eastAsia="Arial"/>
          <w:color w:val="000000"/>
          <w:spacing w:val="0"/>
          <w:position w:val="0"/>
          <w:sz w:val="20"/>
          <w:shd w:fill="auto" w:val="clear"/>
        </w:rPr>
        <w:t xml:space="preserve">the London Region (391 students), East Anglian Region (376), and North Western Region (343) show the largest concentrations, pointing to where intervention resources would have the greatest impact.</w:t>
      </w:r>
    </w:p>
    <w:p>
      <w:pPr>
        <w:spacing w:before="0" w:after="200" w:line="240"/>
        <w:ind w:right="0" w:left="0" w:firstLine="0"/>
        <w:jc w:val="left"/>
        <w:rPr>
          <w:rFonts w:ascii="Arial" w:hAnsi="Arial" w:cs="Arial" w:eastAsia="Arial"/>
          <w:color w:val="000000"/>
          <w:spacing w:val="0"/>
          <w:position w:val="0"/>
          <w:sz w:val="20"/>
          <w:shd w:fill="auto" w:val="clear"/>
        </w:rPr>
      </w:pPr>
      <w:r>
        <w:rPr>
          <w:rFonts w:ascii="Arial" w:hAnsi="Arial" w:cs="Arial" w:eastAsia="Arial"/>
          <w:b/>
          <w:color w:val="000000"/>
          <w:spacing w:val="0"/>
          <w:position w:val="0"/>
          <w:sz w:val="20"/>
          <w:shd w:fill="auto" w:val="clear"/>
        </w:rPr>
        <w:t xml:space="preserve">4. Actionable Insight</w:t>
      </w:r>
      <w:r>
        <w:rPr>
          <w:rFonts w:ascii="Arial" w:hAnsi="Arial" w:cs="Arial" w:eastAsia="Arial"/>
          <w:color w:val="000000"/>
          <w:spacing w:val="0"/>
          <w:position w:val="0"/>
          <w:sz w:val="20"/>
          <w:shd w:fill="auto" w:val="clear"/>
        </w:rPr>
        <w:t xml:space="preserve">:</w:t>
      </w:r>
    </w:p>
    <w:p>
      <w:pPr>
        <w:numPr>
          <w:ilvl w:val="0"/>
          <w:numId w:val="45"/>
        </w:numPr>
        <w:spacing w:before="0" w:after="200" w:line="240"/>
        <w:ind w:right="0" w:left="720" w:hanging="360"/>
        <w:jc w:val="left"/>
        <w:rPr>
          <w:rFonts w:ascii="Arial" w:hAnsi="Arial" w:cs="Arial" w:eastAsia="Arial"/>
          <w:color w:val="000000"/>
          <w:spacing w:val="0"/>
          <w:position w:val="0"/>
          <w:sz w:val="20"/>
          <w:shd w:fill="auto" w:val="clear"/>
        </w:rPr>
      </w:pPr>
      <w:r>
        <w:rPr>
          <w:rFonts w:ascii="Arial" w:hAnsi="Arial" w:cs="Arial" w:eastAsia="Arial"/>
          <w:b/>
          <w:color w:val="000000"/>
          <w:spacing w:val="0"/>
          <w:position w:val="0"/>
          <w:sz w:val="20"/>
          <w:shd w:fill="auto" w:val="clear"/>
        </w:rPr>
        <w:t xml:space="preserve">The decomposition tree confirms a clear priority order for intervention: </w:t>
      </w:r>
      <w:r>
        <w:rPr>
          <w:rFonts w:ascii="Arial" w:hAnsi="Arial" w:cs="Arial" w:eastAsia="Arial"/>
          <w:color w:val="000000"/>
          <w:spacing w:val="0"/>
          <w:position w:val="0"/>
          <w:sz w:val="20"/>
          <w:shd w:fill="auto" w:val="clear"/>
        </w:rPr>
        <w:t xml:space="preserve">engagement level first, then risk level, then region </w:t>
      </w:r>
      <w:r>
        <w:rPr>
          <w:rFonts w:ascii="Arial" w:hAnsi="Arial" w:cs="Arial" w:eastAsia="Aria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 giving coordinators a data-driven path to identify the students most likely to drop out.</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num w:numId="19">
    <w:abstractNumId w:val="48"/>
  </w:num>
  <w:num w:numId="21">
    <w:abstractNumId w:val="42"/>
  </w:num>
  <w:num w:numId="23">
    <w:abstractNumId w:val="36"/>
  </w:num>
  <w:num w:numId="25">
    <w:abstractNumId w:val="30"/>
  </w:num>
  <w:num w:numId="27">
    <w:abstractNumId w:val="24"/>
  </w:num>
  <w:num w:numId="39">
    <w:abstractNumId w:val="18"/>
  </w:num>
  <w:num w:numId="41">
    <w:abstractNumId w:val="12"/>
  </w:num>
  <w:num w:numId="43">
    <w:abstractNumId w:val="6"/>
  </w:num>
  <w:num w:numId="4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numbering.xml" Id="docRId8" Type="http://schemas.openxmlformats.org/officeDocument/2006/relationships/numbering" /><Relationship Target="media/image0.wmf" Id="docRId1" Type="http://schemas.openxmlformats.org/officeDocument/2006/relationships/image" /><Relationship Target="media/image2.wmf" Id="docRId5" Type="http://schemas.openxmlformats.org/officeDocument/2006/relationships/image" /><Relationship Target="styles.xml" Id="docRId9" Type="http://schemas.openxmlformats.org/officeDocument/2006/relationships/styles" /></Relationships>
</file>