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Business Question and Visualization Report</w:t>
      </w:r>
    </w:p>
    <w:p>
      <w:pPr>
        <w:spacing w:before="0" w:after="0" w:line="240"/>
        <w:ind w:right="0" w:left="0" w:firstLine="0"/>
        <w:jc w:val="left"/>
        <w:rPr>
          <w:rFonts w:ascii="Calibri" w:hAnsi="Calibri" w:cs="Calibri" w:eastAsia="Calibri"/>
          <w:color w:val="auto"/>
          <w:spacing w:val="0"/>
          <w:position w:val="0"/>
          <w:sz w:val="22"/>
          <w:shd w:fill="auto" w:val="clear"/>
        </w:rPr>
      </w:pPr>
    </w:p>
    <w:tbl>
      <w:tblPr/>
      <w:tblGrid>
        <w:gridCol w:w="3000"/>
        <w:gridCol w:w="12456"/>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21-sep-2026</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Team ID</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54"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MCA(Master of Computer Application)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Project Name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Online Learning Engagement and Student Performance Analysis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Maximum Marks</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 Marks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This process is commonly associated with data visualization tools and platforms, and it plays a crucial role in business intelligence, analytics, and reporting.</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Business Questions and Visualisation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following business questions guided the creation of the KPIs, charts, and interactive elements in the Power BI dashboard for the Online Learning Engagement and Student Performance Analysis project.</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14"/>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What is the overall pass rate and dropout rate among students?</w:t>
      </w:r>
    </w:p>
    <w:p>
      <w:pPr>
        <w:numPr>
          <w:ilvl w:val="0"/>
          <w:numId w:val="15"/>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Visualization: </w:t>
      </w:r>
      <w:r>
        <w:rPr>
          <w:rFonts w:ascii="Times New Roman" w:hAnsi="Times New Roman" w:cs="Times New Roman" w:eastAsia="Times New Roman"/>
          <w:color w:val="auto"/>
          <w:spacing w:val="0"/>
          <w:position w:val="0"/>
          <w:sz w:val="22"/>
          <w:shd w:fill="auto" w:val="clear"/>
        </w:rPr>
        <w:t xml:space="preserve">KPI cards showing Pass Rate and Dropout Rate.</w:t>
      </w:r>
    </w:p>
    <w:p>
      <w:pPr>
        <w:numPr>
          <w:ilvl w:val="0"/>
          <w:numId w:val="15"/>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Screenshot of visualisation:</w:t>
      </w:r>
    </w:p>
    <w:p>
      <w:pPr>
        <w:spacing w:before="120" w:after="200" w:line="240"/>
        <w:ind w:right="0" w:left="0" w:firstLine="0"/>
        <w:jc w:val="left"/>
        <w:rPr>
          <w:rFonts w:ascii="Calibri" w:hAnsi="Calibri" w:cs="Calibri" w:eastAsia="Calibri"/>
          <w:color w:val="auto"/>
          <w:spacing w:val="0"/>
          <w:position w:val="0"/>
          <w:sz w:val="22"/>
          <w:shd w:fill="auto" w:val="clear"/>
        </w:rPr>
      </w:pPr>
      <w:r>
        <w:object w:dxaOrig="7349" w:dyaOrig="1944">
          <v:rect xmlns:o="urn:schemas-microsoft-com:office:office" xmlns:v="urn:schemas-microsoft-com:vml" id="rectole0000000000" style="width:367.450000pt;height:97.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1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How does student engagement level relate to average academic score?</w:t>
      </w:r>
    </w:p>
    <w:p>
      <w:pPr>
        <w:numPr>
          <w:ilvl w:val="0"/>
          <w:numId w:val="19"/>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Visualization: </w:t>
      </w:r>
      <w:r>
        <w:rPr>
          <w:rFonts w:ascii="Times New Roman" w:hAnsi="Times New Roman" w:cs="Times New Roman" w:eastAsia="Times New Roman"/>
          <w:color w:val="auto"/>
          <w:spacing w:val="0"/>
          <w:position w:val="0"/>
          <w:sz w:val="22"/>
          <w:shd w:fill="auto" w:val="clear"/>
        </w:rPr>
        <w:t xml:space="preserve">Bar chart comparing Average Score across Low, Medium, and High engagement levels.</w:t>
      </w:r>
    </w:p>
    <w:p>
      <w:pPr>
        <w:numPr>
          <w:ilvl w:val="0"/>
          <w:numId w:val="19"/>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Screenshot of visualisation:</w:t>
      </w:r>
    </w:p>
    <w:p>
      <w:pPr>
        <w:spacing w:before="120" w:after="200" w:line="240"/>
        <w:ind w:right="0" w:left="0" w:firstLine="0"/>
        <w:jc w:val="left"/>
        <w:rPr>
          <w:rFonts w:ascii="Calibri" w:hAnsi="Calibri" w:cs="Calibri" w:eastAsia="Calibri"/>
          <w:color w:val="auto"/>
          <w:spacing w:val="0"/>
          <w:position w:val="0"/>
          <w:sz w:val="22"/>
          <w:shd w:fill="auto" w:val="clear"/>
        </w:rPr>
      </w:pPr>
      <w:r>
        <w:object w:dxaOrig="7349" w:dyaOrig="4474">
          <v:rect xmlns:o="urn:schemas-microsoft-com:office:office" xmlns:v="urn:schemas-microsoft-com:vml" id="rectole0000000001" style="width:367.450000pt;height:223.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Which regions have the highest number of students and the highest average score?</w:t>
      </w:r>
    </w:p>
    <w:p>
      <w:pPr>
        <w:numPr>
          <w:ilvl w:val="0"/>
          <w:numId w:val="23"/>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Visualization: </w:t>
      </w:r>
      <w:r>
        <w:rPr>
          <w:rFonts w:ascii="Times New Roman" w:hAnsi="Times New Roman" w:cs="Times New Roman" w:eastAsia="Times New Roman"/>
          <w:color w:val="auto"/>
          <w:spacing w:val="0"/>
          <w:position w:val="0"/>
          <w:sz w:val="22"/>
          <w:shd w:fill="auto" w:val="clear"/>
        </w:rPr>
        <w:t xml:space="preserve">Horizontal bar chart of Total Students and Average Score by Region.</w:t>
      </w:r>
    </w:p>
    <w:p>
      <w:pPr>
        <w:numPr>
          <w:ilvl w:val="0"/>
          <w:numId w:val="23"/>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Screenshot of visualisation:</w:t>
      </w:r>
    </w:p>
    <w:p>
      <w:pPr>
        <w:spacing w:before="120" w:after="200" w:line="240"/>
        <w:ind w:right="0" w:left="0" w:firstLine="0"/>
        <w:jc w:val="left"/>
        <w:rPr>
          <w:rFonts w:ascii="Calibri" w:hAnsi="Calibri" w:cs="Calibri" w:eastAsia="Calibri"/>
          <w:color w:val="auto"/>
          <w:spacing w:val="0"/>
          <w:position w:val="0"/>
          <w:sz w:val="22"/>
          <w:shd w:fill="auto" w:val="clear"/>
        </w:rPr>
      </w:pPr>
      <w:r>
        <w:object w:dxaOrig="7349" w:dyaOrig="4150">
          <v:rect xmlns:o="urn:schemas-microsoft-com:office:office" xmlns:v="urn:schemas-microsoft-com:vml" id="rectole0000000002" style="width:367.450000pt;height:207.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6"/>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What proportion of students fall into each dropout risk level?</w:t>
      </w:r>
    </w:p>
    <w:p>
      <w:pPr>
        <w:numPr>
          <w:ilvl w:val="0"/>
          <w:numId w:val="27"/>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Visualization: </w:t>
      </w:r>
      <w:r>
        <w:rPr>
          <w:rFonts w:ascii="Times New Roman" w:hAnsi="Times New Roman" w:cs="Times New Roman" w:eastAsia="Times New Roman"/>
          <w:color w:val="auto"/>
          <w:spacing w:val="0"/>
          <w:position w:val="0"/>
          <w:sz w:val="22"/>
          <w:shd w:fill="auto" w:val="clear"/>
        </w:rPr>
        <w:t xml:space="preserve">Donut chart showing the distribution of students across Low, Medium, High, and Very High Risk levels.</w:t>
      </w:r>
    </w:p>
    <w:p>
      <w:pPr>
        <w:numPr>
          <w:ilvl w:val="0"/>
          <w:numId w:val="27"/>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Screenshot of visualisation:</w:t>
      </w:r>
    </w:p>
    <w:p>
      <w:pPr>
        <w:spacing w:before="120" w:after="200" w:line="240"/>
        <w:ind w:right="0" w:left="0" w:firstLine="0"/>
        <w:jc w:val="left"/>
        <w:rPr>
          <w:rFonts w:ascii="Calibri" w:hAnsi="Calibri" w:cs="Calibri" w:eastAsia="Calibri"/>
          <w:color w:val="auto"/>
          <w:spacing w:val="0"/>
          <w:position w:val="0"/>
          <w:sz w:val="22"/>
          <w:shd w:fill="auto" w:val="clear"/>
        </w:rPr>
      </w:pPr>
      <w:r>
        <w:object w:dxaOrig="7349" w:dyaOrig="4859">
          <v:rect xmlns:o="urn:schemas-microsoft-com:office:office" xmlns:v="urn:schemas-microsoft-com:vml" id="rectole0000000003" style="width:367.450000pt;height:242.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30"/>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How does platform engagement (total clicks) relate to average score across click ranges?</w:t>
      </w:r>
    </w:p>
    <w:p>
      <w:pPr>
        <w:numPr>
          <w:ilvl w:val="0"/>
          <w:numId w:val="31"/>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Visualization: </w:t>
      </w:r>
      <w:r>
        <w:rPr>
          <w:rFonts w:ascii="Times New Roman" w:hAnsi="Times New Roman" w:cs="Times New Roman" w:eastAsia="Times New Roman"/>
          <w:color w:val="auto"/>
          <w:spacing w:val="0"/>
          <w:position w:val="0"/>
          <w:sz w:val="22"/>
          <w:shd w:fill="auto" w:val="clear"/>
        </w:rPr>
        <w:t xml:space="preserve">Line chart of Average Score across click bands (0</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500, 500</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1000, 1000</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2000, 2000</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3000, 3000+).</w:t>
      </w:r>
    </w:p>
    <w:p>
      <w:pPr>
        <w:numPr>
          <w:ilvl w:val="0"/>
          <w:numId w:val="31"/>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Screenshot of visualisation:</w:t>
      </w:r>
    </w:p>
    <w:p>
      <w:pPr>
        <w:spacing w:before="120" w:after="200" w:line="240"/>
        <w:ind w:right="0" w:left="0" w:firstLine="0"/>
        <w:jc w:val="left"/>
        <w:rPr>
          <w:rFonts w:ascii="Calibri" w:hAnsi="Calibri" w:cs="Calibri" w:eastAsia="Calibri"/>
          <w:color w:val="auto"/>
          <w:spacing w:val="0"/>
          <w:position w:val="0"/>
          <w:sz w:val="22"/>
          <w:shd w:fill="auto" w:val="clear"/>
        </w:rPr>
      </w:pPr>
      <w:r>
        <w:object w:dxaOrig="7349" w:dyaOrig="4150">
          <v:rect xmlns:o="urn:schemas-microsoft-com:office:office" xmlns:v="urn:schemas-microsoft-com:vml" id="rectole0000000004" style="width:367.450000pt;height:207.5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34"/>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What is the distribution of final outcomes (Pass, Fail, Withdrawn, Distinction)?</w:t>
      </w:r>
    </w:p>
    <w:p>
      <w:pPr>
        <w:numPr>
          <w:ilvl w:val="0"/>
          <w:numId w:val="35"/>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Visualization: </w:t>
      </w:r>
      <w:r>
        <w:rPr>
          <w:rFonts w:ascii="Times New Roman" w:hAnsi="Times New Roman" w:cs="Times New Roman" w:eastAsia="Times New Roman"/>
          <w:color w:val="auto"/>
          <w:spacing w:val="0"/>
          <w:position w:val="0"/>
          <w:sz w:val="22"/>
          <w:shd w:fill="auto" w:val="clear"/>
        </w:rPr>
        <w:t xml:space="preserve">Pie chart showing the breakdown of Final Result categories.</w:t>
      </w:r>
    </w:p>
    <w:p>
      <w:pPr>
        <w:numPr>
          <w:ilvl w:val="0"/>
          <w:numId w:val="35"/>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Screenshot of visualisation:</w:t>
      </w:r>
    </w:p>
    <w:p>
      <w:pPr>
        <w:spacing w:before="120" w:after="200" w:line="240"/>
        <w:ind w:right="0" w:left="0" w:firstLine="0"/>
        <w:jc w:val="left"/>
        <w:rPr>
          <w:rFonts w:ascii="Calibri" w:hAnsi="Calibri" w:cs="Calibri" w:eastAsia="Calibri"/>
          <w:color w:val="auto"/>
          <w:spacing w:val="0"/>
          <w:position w:val="0"/>
          <w:sz w:val="22"/>
          <w:shd w:fill="auto" w:val="clear"/>
        </w:rPr>
      </w:pPr>
      <w:r>
        <w:object w:dxaOrig="7349" w:dyaOrig="5203">
          <v:rect xmlns:o="urn:schemas-microsoft-com:office:office" xmlns:v="urn:schemas-microsoft-com:vml" id="rectole0000000005" style="width:367.450000pt;height:260.1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38"/>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Which factors contribute most to student dropout?</w:t>
      </w:r>
    </w:p>
    <w:p>
      <w:pPr>
        <w:numPr>
          <w:ilvl w:val="0"/>
          <w:numId w:val="39"/>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Visualization: </w:t>
      </w:r>
      <w:r>
        <w:rPr>
          <w:rFonts w:ascii="Times New Roman" w:hAnsi="Times New Roman" w:cs="Times New Roman" w:eastAsia="Times New Roman"/>
          <w:color w:val="auto"/>
          <w:spacing w:val="0"/>
          <w:position w:val="0"/>
          <w:sz w:val="22"/>
          <w:shd w:fill="auto" w:val="clear"/>
        </w:rPr>
        <w:t xml:space="preserve">AI-powered Decomposition Tree analyzing Dropout Rate by engagement level, performance level, and region.</w:t>
      </w:r>
    </w:p>
    <w:p>
      <w:pPr>
        <w:numPr>
          <w:ilvl w:val="0"/>
          <w:numId w:val="39"/>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Screenshot of visualisation:</w:t>
      </w:r>
    </w:p>
    <w:p>
      <w:pPr>
        <w:spacing w:before="120" w:after="200" w:line="240"/>
        <w:ind w:right="0" w:left="0" w:firstLine="0"/>
        <w:jc w:val="left"/>
        <w:rPr>
          <w:rFonts w:ascii="Calibri" w:hAnsi="Calibri" w:cs="Calibri" w:eastAsia="Calibri"/>
          <w:color w:val="auto"/>
          <w:spacing w:val="0"/>
          <w:position w:val="0"/>
          <w:sz w:val="22"/>
          <w:shd w:fill="auto" w:val="clear"/>
        </w:rPr>
      </w:pPr>
      <w:r>
        <w:object w:dxaOrig="7349" w:dyaOrig="3503">
          <v:rect xmlns:o="urn:schemas-microsoft-com:office:office" xmlns:v="urn:schemas-microsoft-com:vml" id="rectole0000000006" style="width:367.450000pt;height:175.1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How does average score vary by students' highest prior education level?</w:t>
      </w:r>
    </w:p>
    <w:p>
      <w:pPr>
        <w:numPr>
          <w:ilvl w:val="0"/>
          <w:numId w:val="43"/>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Visualization: </w:t>
      </w:r>
      <w:r>
        <w:rPr>
          <w:rFonts w:ascii="Times New Roman" w:hAnsi="Times New Roman" w:cs="Times New Roman" w:eastAsia="Times New Roman"/>
          <w:color w:val="auto"/>
          <w:spacing w:val="0"/>
          <w:position w:val="0"/>
          <w:sz w:val="22"/>
          <w:shd w:fill="auto" w:val="clear"/>
        </w:rPr>
        <w:t xml:space="preserve">Bar chart comparing Average Score across highest_education categories.</w:t>
      </w:r>
    </w:p>
    <w:p>
      <w:pPr>
        <w:numPr>
          <w:ilvl w:val="0"/>
          <w:numId w:val="43"/>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Screenshot of visualisation:</w:t>
      </w:r>
    </w:p>
    <w:p>
      <w:pPr>
        <w:spacing w:before="120" w:after="200" w:line="240"/>
        <w:ind w:right="0" w:left="0" w:firstLine="0"/>
        <w:jc w:val="left"/>
        <w:rPr>
          <w:rFonts w:ascii="Calibri" w:hAnsi="Calibri" w:cs="Calibri" w:eastAsia="Calibri"/>
          <w:color w:val="auto"/>
          <w:spacing w:val="0"/>
          <w:position w:val="0"/>
          <w:sz w:val="22"/>
          <w:shd w:fill="auto" w:val="clear"/>
        </w:rPr>
      </w:pPr>
      <w:r>
        <w:object w:dxaOrig="7349" w:dyaOrig="3806">
          <v:rect xmlns:o="urn:schemas-microsoft-com:office:office" xmlns:v="urn:schemas-microsoft-com:vml" id="rectole0000000007" style="width:367.450000pt;height:190.3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6"/>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How do dropout rates differ between male and female students?</w:t>
      </w:r>
    </w:p>
    <w:p>
      <w:pPr>
        <w:numPr>
          <w:ilvl w:val="0"/>
          <w:numId w:val="47"/>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Visualization: </w:t>
      </w:r>
      <w:r>
        <w:rPr>
          <w:rFonts w:ascii="Times New Roman" w:hAnsi="Times New Roman" w:cs="Times New Roman" w:eastAsia="Times New Roman"/>
          <w:color w:val="auto"/>
          <w:spacing w:val="0"/>
          <w:position w:val="0"/>
          <w:sz w:val="22"/>
          <w:shd w:fill="auto" w:val="clear"/>
        </w:rPr>
        <w:t xml:space="preserve">Bar chart comparing Dropout Rate by Gender, filterable via the Gender slicer.</w:t>
      </w:r>
    </w:p>
    <w:p>
      <w:pPr>
        <w:numPr>
          <w:ilvl w:val="0"/>
          <w:numId w:val="47"/>
        </w:numPr>
        <w:spacing w:before="0" w:after="0" w:line="240"/>
        <w:ind w:right="0" w:left="144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Screenshot of visualisation:</w:t>
      </w:r>
    </w:p>
    <w:p>
      <w:pPr>
        <w:spacing w:before="120" w:after="200" w:line="240"/>
        <w:ind w:right="0" w:left="0" w:firstLine="0"/>
        <w:jc w:val="left"/>
        <w:rPr>
          <w:rFonts w:ascii="Calibri" w:hAnsi="Calibri" w:cs="Calibri" w:eastAsia="Calibri"/>
          <w:color w:val="auto"/>
          <w:spacing w:val="0"/>
          <w:position w:val="0"/>
          <w:sz w:val="22"/>
          <w:shd w:fill="auto" w:val="clear"/>
        </w:rPr>
      </w:pPr>
      <w:r>
        <w:object w:dxaOrig="7349" w:dyaOrig="5304">
          <v:rect xmlns:o="urn:schemas-microsoft-com:office:office" xmlns:v="urn:schemas-microsoft-com:vml" id="rectole0000000008" style="width:367.450000pt;height:265.2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0">
    <w:lvl w:ilvl="0">
      <w:start w:val="1"/>
      <w:numFmt w:val="bullet"/>
      <w:lvlText w:val="•"/>
    </w:lvl>
  </w:abstractNum>
  <w:abstractNum w:abstractNumId="7">
    <w:lvl w:ilvl="0">
      <w:start w:val="1"/>
      <w:numFmt w:val="decimal"/>
      <w:lvlText w:val="%1."/>
    </w:lvl>
  </w:abstractNum>
  <w:abstractNum w:abstractNumId="6">
    <w:lvl w:ilvl="0">
      <w:start w:val="1"/>
      <w:numFmt w:val="bullet"/>
      <w:lvlText w:val="•"/>
    </w:lvl>
  </w:abstractNum>
  <w:abstractNum w:abstractNumId="13">
    <w:lvl w:ilvl="0">
      <w:start w:val="1"/>
      <w:numFmt w:val="decimal"/>
      <w:lvlText w:val="%1."/>
    </w:lvl>
  </w:abstractNum>
  <w:abstractNum w:abstractNumId="12">
    <w:lvl w:ilvl="0">
      <w:start w:val="1"/>
      <w:numFmt w:val="bullet"/>
      <w:lvlText w:val="•"/>
    </w:lvl>
  </w:abstractNum>
  <w:abstractNum w:abstractNumId="19">
    <w:lvl w:ilvl="0">
      <w:start w:val="1"/>
      <w:numFmt w:val="decimal"/>
      <w:lvlText w:val="%1."/>
    </w:lvl>
  </w:abstractNum>
  <w:abstractNum w:abstractNumId="18">
    <w:lvl w:ilvl="0">
      <w:start w:val="1"/>
      <w:numFmt w:val="bullet"/>
      <w:lvlText w:val="•"/>
    </w:lvl>
  </w:abstractNum>
  <w:abstractNum w:abstractNumId="25">
    <w:lvl w:ilvl="0">
      <w:start w:val="1"/>
      <w:numFmt w:val="decimal"/>
      <w:lvlText w:val="%1."/>
    </w:lvl>
  </w:abstractNum>
  <w:abstractNum w:abstractNumId="24">
    <w:lvl w:ilvl="0">
      <w:start w:val="1"/>
      <w:numFmt w:val="bullet"/>
      <w:lvlText w:val="•"/>
    </w:lvl>
  </w:abstractNum>
  <w:abstractNum w:abstractNumId="31">
    <w:lvl w:ilvl="0">
      <w:start w:val="1"/>
      <w:numFmt w:val="decimal"/>
      <w:lvlText w:val="%1."/>
    </w:lvl>
  </w:abstractNum>
  <w:abstractNum w:abstractNumId="30">
    <w:lvl w:ilvl="0">
      <w:start w:val="1"/>
      <w:numFmt w:val="bullet"/>
      <w:lvlText w:val="•"/>
    </w:lvl>
  </w:abstractNum>
  <w:abstractNum w:abstractNumId="37">
    <w:lvl w:ilvl="0">
      <w:start w:val="1"/>
      <w:numFmt w:val="decimal"/>
      <w:lvlText w:val="%1."/>
    </w:lvl>
  </w:abstractNum>
  <w:abstractNum w:abstractNumId="36">
    <w:lvl w:ilvl="0">
      <w:start w:val="1"/>
      <w:numFmt w:val="bullet"/>
      <w:lvlText w:val="•"/>
    </w:lvl>
  </w:abstractNum>
  <w:abstractNum w:abstractNumId="43">
    <w:lvl w:ilvl="0">
      <w:start w:val="1"/>
      <w:numFmt w:val="decimal"/>
      <w:lvlText w:val="%1."/>
    </w:lvl>
  </w:abstractNum>
  <w:abstractNum w:abstractNumId="42">
    <w:lvl w:ilvl="0">
      <w:start w:val="1"/>
      <w:numFmt w:val="bullet"/>
      <w:lvlText w:val="•"/>
    </w:lvl>
  </w:abstractNum>
  <w:abstractNum w:abstractNumId="49">
    <w:lvl w:ilvl="0">
      <w:start w:val="1"/>
      <w:numFmt w:val="decimal"/>
      <w:lvlText w:val="%1."/>
    </w:lvl>
  </w:abstractNum>
  <w:abstractNum w:abstractNumId="48">
    <w:lvl w:ilvl="0">
      <w:start w:val="1"/>
      <w:numFmt w:val="bullet"/>
      <w:lvlText w:val="•"/>
    </w:lvl>
  </w:abstractNum>
  <w:num w:numId="14">
    <w:abstractNumId w:val="49"/>
  </w:num>
  <w:num w:numId="15">
    <w:abstractNumId w:val="48"/>
  </w:num>
  <w:num w:numId="18">
    <w:abstractNumId w:val="43"/>
  </w:num>
  <w:num w:numId="19">
    <w:abstractNumId w:val="42"/>
  </w:num>
  <w:num w:numId="22">
    <w:abstractNumId w:val="37"/>
  </w:num>
  <w:num w:numId="23">
    <w:abstractNumId w:val="36"/>
  </w:num>
  <w:num w:numId="26">
    <w:abstractNumId w:val="31"/>
  </w:num>
  <w:num w:numId="27">
    <w:abstractNumId w:val="30"/>
  </w:num>
  <w:num w:numId="30">
    <w:abstractNumId w:val="25"/>
  </w:num>
  <w:num w:numId="31">
    <w:abstractNumId w:val="24"/>
  </w:num>
  <w:num w:numId="34">
    <w:abstractNumId w:val="19"/>
  </w:num>
  <w:num w:numId="35">
    <w:abstractNumId w:val="18"/>
  </w:num>
  <w:num w:numId="38">
    <w:abstractNumId w:val="13"/>
  </w:num>
  <w:num w:numId="39">
    <w:abstractNumId w:val="12"/>
  </w:num>
  <w:num w:numId="42">
    <w:abstractNumId w:val="7"/>
  </w:num>
  <w:num w:numId="43">
    <w:abstractNumId w:val="6"/>
  </w:num>
  <w:num w:numId="46">
    <w:abstractNumId w:val="1"/>
  </w:num>
  <w:num w:numId="4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numbering.xml" Id="docRId18"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styles.xml" Id="docRId19"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