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240"/>
        <w:pBdr>
          <w:bottom w:val="single" w:sz="18" w:space="4" w:color="0066CC"/>
        </w:pBdr>
      </w:pPr>
      <w:r>
        <w:rPr>
          <w:rFonts w:ascii="Segoe UI" w:hAnsi="Segoe UI"/>
          <w:b/>
          <w:color w:val="0F172A"/>
          <w:sz w:val="44"/>
        </w:rPr>
        <w:t>🛡️ Novae Rog: Business Plan &amp; System Requirements Specification (SRS)</w:t>
      </w:r>
    </w:p>
    <w:p>
      <w:pPr>
        <w:spacing w:before="0" w:after="160" w:line="276" w:lineRule="auto"/>
      </w:pPr>
      <w:r>
        <w:rPr>
          <w:rFonts w:ascii="Segoe UI" w:hAnsi="Segoe UI"/>
          <w:color w:val="0F172A"/>
          <w:sz w:val="21"/>
        </w:rPr>
        <w:t xml:space="preserve">This document outlines the complete conceptual architecture, technical stack, business model, and official </w:t>
      </w:r>
      <w:r>
        <w:rPr>
          <w:rFonts w:ascii="Segoe UI" w:hAnsi="Segoe UI"/>
          <w:b/>
          <w:color w:val="0F172A"/>
          <w:sz w:val="21"/>
        </w:rPr>
        <w:t>Functional and Non-Functional Requirements</w:t>
      </w:r>
      <w:r>
        <w:rPr>
          <w:rFonts w:ascii="Segoe UI" w:hAnsi="Segoe UI"/>
          <w:color w:val="0F172A"/>
          <w:sz w:val="21"/>
        </w:rPr>
        <w:t xml:space="preserve"> for </w:t>
      </w:r>
      <w:r>
        <w:rPr>
          <w:rFonts w:ascii="Segoe UI" w:hAnsi="Segoe UI"/>
          <w:b/>
          <w:color w:val="0F172A"/>
          <w:sz w:val="21"/>
        </w:rPr>
        <w:t>Novae Rog</w:t>
      </w:r>
      <w:r>
        <w:rPr>
          <w:rFonts w:ascii="Segoe UI" w:hAnsi="Segoe UI"/>
          <w:color w:val="0F172A"/>
          <w:sz w:val="21"/>
        </w:rPr>
        <w:t xml:space="preserve"> (Stripe + Lloyd's of London for the AI Agent Economy).</w:t>
      </w:r>
    </w:p>
    <w:p>
      <w:pPr>
        <w:spacing w:before="0" w:after="160" w:line="276" w:lineRule="auto"/>
      </w:pPr>
      <w:r>
        <w:rPr>
          <w:rFonts w:ascii="Segoe UI" w:hAnsi="Segoe UI"/>
          <w:color w:val="0F172A"/>
          <w:sz w:val="21"/>
        </w:rPr>
        <w:t>This specification is modeled directly after the systems analysis and design standards defined in your college courses (Dennis, Wixom, &amp; Tegarden framework).</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1. Business Plan &amp; Market Opportunity</w:t>
      </w:r>
    </w:p>
    <w:p>
      <w:pPr>
        <w:keepNext/>
        <w:spacing w:before="240" w:after="120"/>
      </w:pPr>
      <w:r>
        <w:rPr>
          <w:rFonts w:ascii="Segoe UI" w:hAnsi="Segoe UI"/>
          <w:b/>
          <w:color w:val="475569"/>
          <w:sz w:val="26"/>
        </w:rPr>
        <w:t>The Vision</w:t>
      </w:r>
    </w:p>
    <w:p>
      <w:pPr>
        <w:spacing w:before="0" w:after="160" w:line="276" w:lineRule="auto"/>
      </w:pPr>
      <w:r>
        <w:rPr>
          <w:rFonts w:ascii="Segoe UI" w:hAnsi="Segoe UI"/>
          <w:b/>
          <w:color w:val="0F172A"/>
          <w:sz w:val="21"/>
        </w:rPr>
        <w:t>Novae Rog</w:t>
      </w:r>
      <w:r>
        <w:rPr>
          <w:rFonts w:ascii="Segoe UI" w:hAnsi="Segoe UI"/>
          <w:color w:val="0F172A"/>
          <w:sz w:val="21"/>
        </w:rPr>
        <w:t xml:space="preserve"> is the world’s first autonomous, cross-chain risk underwriting and agentic payment protocol. By utilizing hosted AI underwriters to continuously price smart contract risks, it enables autonomous agents and Web3 merchants to execute high-value transactions with built-in financial safety, settled natively on Bitcoin's L2 infrastructure.</w:t>
      </w:r>
    </w:p>
    <w:p>
      <w:pPr>
        <w:keepNext/>
        <w:spacing w:before="240" w:after="120"/>
      </w:pPr>
      <w:r>
        <w:rPr>
          <w:rFonts w:ascii="Segoe UI" w:hAnsi="Segoe UI"/>
          <w:b/>
          <w:color w:val="475569"/>
          <w:sz w:val="26"/>
        </w:rPr>
        <w:t>The Market Gap</w:t>
      </w:r>
    </w:p>
    <w:p>
      <w:pPr>
        <w:spacing w:before="0" w:after="160" w:line="276" w:lineRule="auto"/>
      </w:pPr>
      <w:r>
        <w:rPr>
          <w:rFonts w:ascii="Segoe UI" w:hAnsi="Segoe UI"/>
          <w:color w:val="0F172A"/>
          <w:sz w:val="21"/>
        </w:rPr>
        <w:t xml:space="preserve">In traditional finance, payment processors like Stripe offer chargebacks and merchant protection, while Lloyd's of London pools capital to back massive bespoke risks. In the emerging </w:t>
      </w:r>
      <w:r>
        <w:rPr>
          <w:rFonts w:ascii="Segoe UI" w:hAnsi="Segoe UI"/>
          <w:b/>
          <w:color w:val="0F172A"/>
          <w:sz w:val="21"/>
        </w:rPr>
        <w:t>Agentic Web3 Economy</w:t>
      </w:r>
      <w:r>
        <w:rPr>
          <w:rFonts w:ascii="Segoe UI" w:hAnsi="Segoe UI"/>
          <w:color w:val="0F172A"/>
          <w:sz w:val="21"/>
        </w:rPr>
        <w:t>, autonomous AI agents will manage billions in capital but are completely exposed to:</w:t>
      </w:r>
    </w:p>
    <w:p>
      <w:pPr>
        <w:pStyle w:val="ListBullet"/>
        <w:spacing w:before="0" w:after="80" w:line="276" w:lineRule="auto"/>
      </w:pPr>
      <w:r>
        <w:rPr>
          <w:rFonts w:ascii="Segoe UI" w:hAnsi="Segoe UI"/>
          <w:b/>
          <w:color w:val="334155"/>
          <w:sz w:val="21"/>
        </w:rPr>
        <w:t>Irreversible Transaction Losses</w:t>
      </w:r>
      <w:r>
        <w:rPr>
          <w:rFonts w:ascii="Segoe UI" w:hAnsi="Segoe UI"/>
          <w:color w:val="334155"/>
          <w:sz w:val="21"/>
        </w:rPr>
        <w:t>: A single exploit or failed state transition drains the wallet permanently.</w:t>
      </w:r>
    </w:p>
    <w:p>
      <w:pPr>
        <w:pStyle w:val="ListBullet"/>
        <w:spacing w:before="0" w:after="80" w:line="276" w:lineRule="auto"/>
      </w:pPr>
      <w:r>
        <w:rPr>
          <w:rFonts w:ascii="Segoe UI" w:hAnsi="Segoe UI"/>
          <w:b/>
          <w:color w:val="334155"/>
          <w:sz w:val="21"/>
        </w:rPr>
        <w:t>Frictionful Payments</w:t>
      </w:r>
      <w:r>
        <w:rPr>
          <w:rFonts w:ascii="Segoe UI" w:hAnsi="Segoe UI"/>
          <w:color w:val="334155"/>
          <w:sz w:val="21"/>
        </w:rPr>
        <w:t>: Traditional Web3 requires active human signatures (MetaMask prompts), preventing true machine-to-machine automation.</w:t>
      </w:r>
    </w:p>
    <w:p>
      <w:pPr>
        <w:pStyle w:val="ListBullet"/>
        <w:spacing w:before="0" w:after="80" w:line="276" w:lineRule="auto"/>
      </w:pPr>
      <w:r>
        <w:rPr>
          <w:rFonts w:ascii="Segoe UI" w:hAnsi="Segoe UI"/>
          <w:b/>
          <w:color w:val="334155"/>
          <w:sz w:val="21"/>
        </w:rPr>
        <w:t>Lack of Real-time Underwriting</w:t>
      </w:r>
      <w:r>
        <w:rPr>
          <w:rFonts w:ascii="Segoe UI" w:hAnsi="Segoe UI"/>
          <w:color w:val="334155"/>
          <w:sz w:val="21"/>
        </w:rPr>
        <w:t>: Existing DeFi insurance requires slow, manual DAO votes to pay out claims.</w:t>
      </w:r>
    </w:p>
    <w:p>
      <w:pPr>
        <w:keepNext/>
        <w:spacing w:before="240" w:after="120"/>
      </w:pPr>
      <w:r>
        <w:rPr>
          <w:rFonts w:ascii="Segoe UI" w:hAnsi="Segoe UI"/>
          <w:b/>
          <w:color w:val="475569"/>
          <w:sz w:val="26"/>
        </w:rPr>
        <w:t>Revenue Model</w:t>
      </w:r>
    </w:p>
    <w:p>
      <w:pPr>
        <w:spacing w:before="0" w:after="160" w:line="276" w:lineRule="auto"/>
      </w:pPr>
      <w:r>
        <w:rPr>
          <w:rFonts w:ascii="Segoe UI" w:hAnsi="Segoe UI"/>
          <w:color w:val="0F172A"/>
          <w:sz w:val="21"/>
        </w:rPr>
        <w:t xml:space="preserve">1.  </w:t>
      </w:r>
      <w:r>
        <w:rPr>
          <w:rFonts w:ascii="Segoe UI" w:hAnsi="Segoe UI"/>
          <w:b/>
          <w:color w:val="0F172A"/>
          <w:sz w:val="21"/>
        </w:rPr>
        <w:t>Underwriting Premiums</w:t>
      </w:r>
      <w:r>
        <w:rPr>
          <w:rFonts w:ascii="Segoe UI" w:hAnsi="Segoe UI"/>
          <w:color w:val="0F172A"/>
          <w:sz w:val="21"/>
        </w:rPr>
        <w:t xml:space="preserve">: AI agents pay a micro-insurance fee (premium) processed natively via the </w:t>
      </w:r>
      <w:r>
        <w:rPr>
          <w:rFonts w:ascii="Segoe UI" w:hAnsi="Segoe UI"/>
          <w:b/>
          <w:color w:val="0F172A"/>
          <w:sz w:val="21"/>
        </w:rPr>
        <w:t>x402 protocol</w:t>
      </w:r>
      <w:r>
        <w:rPr>
          <w:rFonts w:ascii="Segoe UI" w:hAnsi="Segoe UI"/>
          <w:color w:val="0F172A"/>
          <w:sz w:val="21"/>
        </w:rPr>
        <w:t xml:space="preserve"> per covered transaction.</w:t>
      </w:r>
    </w:p>
    <w:p>
      <w:pPr>
        <w:spacing w:before="0" w:after="160" w:line="276" w:lineRule="auto"/>
      </w:pPr>
      <w:r>
        <w:rPr>
          <w:rFonts w:ascii="Segoe UI" w:hAnsi="Segoe UI"/>
          <w:color w:val="0F172A"/>
          <w:sz w:val="21"/>
        </w:rPr>
        <w:t xml:space="preserve">2.  </w:t>
      </w:r>
      <w:r>
        <w:rPr>
          <w:rFonts w:ascii="Segoe UI" w:hAnsi="Segoe UI"/>
          <w:b/>
          <w:color w:val="0F172A"/>
          <w:sz w:val="21"/>
        </w:rPr>
        <w:t>Syndicate Performance Fees</w:t>
      </w:r>
      <w:r>
        <w:rPr>
          <w:rFonts w:ascii="Segoe UI" w:hAnsi="Segoe UI"/>
          <w:color w:val="0F172A"/>
          <w:sz w:val="21"/>
        </w:rPr>
        <w:t>: The protocol takes a 10% fee on all successful premiums earned by Liquidity Providers (LPs) who stake in the Syndicate vaults.</w:t>
      </w:r>
    </w:p>
    <w:p>
      <w:pPr>
        <w:spacing w:before="0" w:after="160" w:line="276" w:lineRule="auto"/>
      </w:pPr>
      <w:r>
        <w:rPr>
          <w:rFonts w:ascii="Segoe UI" w:hAnsi="Segoe UI"/>
          <w:color w:val="0F172A"/>
          <w:sz w:val="21"/>
        </w:rPr>
        <w:t xml:space="preserve">3.  </w:t>
      </w:r>
      <w:r>
        <w:rPr>
          <w:rFonts w:ascii="Segoe UI" w:hAnsi="Segoe UI"/>
          <w:b/>
          <w:color w:val="0F172A"/>
          <w:sz w:val="21"/>
        </w:rPr>
        <w:t>Cross-Chain Settlement Fees</w:t>
      </w:r>
      <w:r>
        <w:rPr>
          <w:rFonts w:ascii="Segoe UI" w:hAnsi="Segoe UI"/>
          <w:color w:val="0F172A"/>
          <w:sz w:val="21"/>
        </w:rPr>
        <w:t>: A minor fee charged on cross-chain payout transactions to cover gas and message-passing overhead.</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2. System Architecture &amp; Technical Stack</w:t>
      </w:r>
    </w:p>
    <w:tbl>
      <w:tblPr>
        <w:tblW w:type="auto" w:w="0"/>
        <w:tblLayout w:type="fixed"/>
        <w:tblLook w:firstColumn="1" w:firstRow="1" w:lastColumn="0" w:lastRow="0" w:noHBand="0" w:noVBand="1" w:val="04A0"/>
      </w:tblPr>
      <w:tblGrid>
        <w:gridCol w:w="9360"/>
      </w:tblGrid>
      <w:tr>
        <w:tc>
          <w:tcPr>
            <w:tcW w:type="dxa" w:w="9360"/>
            <w:shd w:fill="F8F9FA"/>
            <w:tcBorders>
              <w:top w:val="single" w:sz="4" w:space="0" w:color="E2E8F0"/>
              <w:left w:val="single" w:sz="12" w:space="0" w:color="CBD5E1"/>
              <w:bottom w:val="single" w:sz="4" w:space="0" w:color="E2E8F0"/>
              <w:right w:val="single" w:sz="4" w:space="0" w:color="E2E8F0"/>
            </w:tcBorders>
          </w:tcPr>
          <w:p>
            <w:pPr>
              <w:spacing w:before="80" w:after="80" w:line="276" w:lineRule="auto"/>
            </w:pPr>
            <w:r>
              <w:rPr>
                <w:rFonts w:ascii="Consolas" w:hAnsi="Consolas"/>
                <w:color w:val="334155"/>
                <w:sz w:val="19"/>
              </w:rPr>
              <w:t xml:space="preserve">   [ Sandboxes (EVM/Solana) ]                 [ Giant Bitcoin Castle (GOAT) ]</w:t>
              <w:br/>
              <w:t>┌───────────────────────────────┐          ┌───────────────────────────────────┐</w:t>
              <w:br/>
              <w:t>│  🤖 Transactional Agent        │ &lt;────────│─── (7. Execute Claim Payout)      │</w:t>
              <w:br/>
              <w:t>│  🔴 Target Contract           │          │   📦 Syndicate Vault              │</w:t>
              <w:br/>
              <w:t>└───────┬──────────────▲────────┘          │   - LP Pool (BTC, WBTC, Stablecoins)  │</w:t>
              <w:br/>
              <w:t xml:space="preserve">        │              │                   └─────────────────▲─────────────────┘</w:t>
              <w:br/>
              <w:t xml:space="preserve">        │ (1. Request  │ (2. Return                          │</w:t>
              <w:br/>
              <w:t xml:space="preserve">        │  Quote)      │  Quote)                             │</w:t>
              <w:br/>
              <w:t xml:space="preserve">        ▼              │                                     │</w:t>
              <w:br/>
              <w:t>┌──────────────────────┴────────┐                            │</w:t>
              <w:br/>
              <w:t>│  🦉 ClawUp Underwriter Agent  │ ───────────────────────────┼─────────────────┘</w:t>
              <w:br/>
              <w:t>│  - OpenClaw Framework         │ (4. Register Active Cover) │</w:t>
              <w:br/>
              <w:t>│  - Real-time Risk Engine      │                            │</w:t>
              <w:br/>
              <w:t>└───────┬───────────────────────┘                            │</w:t>
              <w:br/>
              <w:t xml:space="preserve">        │ (3. Pay x402 Premium)                              │</w:t>
              <w:br/>
              <w:t xml:space="preserve">        │                                                    │</w:t>
              <w:br/>
              <w:t xml:space="preserve">        │ (5. Detect Outage / Fail Event)                    │</w:t>
              <w:br/>
              <w:t xml:space="preserve">        ▼                                                    │</w:t>
              <w:br/>
              <w:t>┌───────────────────────────────┐ (6. Payout Message)      ┌─┴─────────────────────┐</w:t>
              <w:br/>
              <w:t>│  📬 Cross-Chain Messenger     │ ───────────────────────&gt; │ 📋 Claim Guardrail    │</w:t>
              <w:br/>
              <w:t>│  - Chainlink CCIP / LayerZero │                          │ - Auto (&lt; $50M)       │</w:t>
              <w:br/>
              <w:t>└───────────────────────────────┘                          │ - Multi-Sig (&gt;= $50M) │</w:t>
              <w:br/>
              <w:t xml:space="preserve">                                                           └───────────────────────┘</w:t>
            </w:r>
          </w:p>
        </w:tc>
      </w:tr>
    </w:tbl>
    <w:p>
      <w:pPr>
        <w:spacing w:before="0" w:after="120"/>
      </w:pPr>
    </w:p>
    <w:p>
      <w:pPr>
        <w:keepNext/>
        <w:spacing w:before="240" w:after="120"/>
      </w:pPr>
      <w:r>
        <w:rPr>
          <w:rFonts w:ascii="Segoe UI" w:hAnsi="Segoe UI"/>
          <w:b/>
          <w:color w:val="475569"/>
          <w:sz w:val="26"/>
        </w:rPr>
        <w:t>The Tech Stack</w:t>
      </w:r>
    </w:p>
    <w:p>
      <w:pPr>
        <w:pStyle w:val="ListBullet"/>
        <w:spacing w:before="0" w:after="80" w:line="276" w:lineRule="auto"/>
      </w:pPr>
      <w:r>
        <w:rPr>
          <w:rFonts w:ascii="Segoe UI" w:hAnsi="Segoe UI"/>
          <w:b/>
          <w:color w:val="334155"/>
          <w:sz w:val="21"/>
        </w:rPr>
        <w:t>Agent Core</w:t>
      </w:r>
      <w:r>
        <w:rPr>
          <w:rFonts w:ascii="Segoe UI" w:hAnsi="Segoe UI"/>
          <w:color w:val="334155"/>
          <w:sz w:val="21"/>
        </w:rPr>
        <w:t xml:space="preserve">: </w:t>
      </w:r>
      <w:r>
        <w:rPr>
          <w:rFonts w:ascii="Segoe UI" w:hAnsi="Segoe UI"/>
          <w:b/>
          <w:color w:val="334155"/>
          <w:sz w:val="21"/>
        </w:rPr>
        <w:t>OpenClaw Framework</w:t>
      </w:r>
      <w:r>
        <w:rPr>
          <w:rFonts w:ascii="Segoe UI" w:hAnsi="Segoe UI"/>
          <w:color w:val="334155"/>
          <w:sz w:val="21"/>
        </w:rPr>
        <w:t xml:space="preserve"> hosted on </w:t>
      </w:r>
      <w:r>
        <w:rPr>
          <w:rFonts w:ascii="Segoe UI" w:hAnsi="Segoe UI"/>
          <w:b/>
          <w:color w:val="334155"/>
          <w:sz w:val="21"/>
        </w:rPr>
        <w:t>ClawUp.org</w:t>
      </w:r>
      <w:r>
        <w:rPr>
          <w:rFonts w:ascii="Segoe UI" w:hAnsi="Segoe UI"/>
          <w:color w:val="334155"/>
          <w:sz w:val="21"/>
        </w:rPr>
        <w:t xml:space="preserve"> (for secure, managed environment, custom skill files, and automated messaging bindings).</w:t>
      </w:r>
    </w:p>
    <w:p>
      <w:pPr>
        <w:pStyle w:val="ListBullet"/>
        <w:spacing w:before="0" w:after="80" w:line="276" w:lineRule="auto"/>
      </w:pPr>
      <w:r>
        <w:rPr>
          <w:rFonts w:ascii="Segoe UI" w:hAnsi="Segoe UI"/>
          <w:b/>
          <w:color w:val="334155"/>
          <w:sz w:val="21"/>
        </w:rPr>
        <w:t>Payments Protocol</w:t>
      </w:r>
      <w:r>
        <w:rPr>
          <w:rFonts w:ascii="Segoe UI" w:hAnsi="Segoe UI"/>
          <w:color w:val="334155"/>
          <w:sz w:val="21"/>
        </w:rPr>
        <w:t xml:space="preserve">: </w:t>
      </w:r>
      <w:r>
        <w:rPr>
          <w:rFonts w:ascii="Segoe UI" w:hAnsi="Segoe UI"/>
          <w:b/>
          <w:color w:val="334155"/>
          <w:sz w:val="21"/>
        </w:rPr>
        <w:t>x402</w:t>
      </w:r>
      <w:r>
        <w:rPr>
          <w:rFonts w:ascii="Segoe UI" w:hAnsi="Segoe UI"/>
          <w:color w:val="334155"/>
          <w:sz w:val="21"/>
        </w:rPr>
        <w:t xml:space="preserve"> (for programmatic, agent-native micropayments utilizing HTTP </w:t>
      </w:r>
      <w:r>
        <w:rPr>
          <w:rFonts w:ascii="Consolas" w:hAnsi="Consolas"/>
          <w:color w:val="C7254E"/>
          <w:sz w:val="20"/>
        </w:rPr>
        <w:t>402 Payment Required</w:t>
      </w:r>
      <w:r>
        <w:rPr>
          <w:rFonts w:ascii="Segoe UI" w:hAnsi="Segoe UI"/>
          <w:color w:val="334155"/>
          <w:sz w:val="21"/>
        </w:rPr>
        <w:t xml:space="preserve"> states).</w:t>
      </w:r>
    </w:p>
    <w:p>
      <w:pPr>
        <w:pStyle w:val="ListBullet"/>
        <w:spacing w:before="0" w:after="80" w:line="276" w:lineRule="auto"/>
      </w:pPr>
      <w:r>
        <w:rPr>
          <w:rFonts w:ascii="Segoe UI" w:hAnsi="Segoe UI"/>
          <w:b/>
          <w:color w:val="334155"/>
          <w:sz w:val="21"/>
        </w:rPr>
        <w:t>Blockchain Infrastructure</w:t>
      </w:r>
      <w:r>
        <w:rPr>
          <w:rFonts w:ascii="Segoe UI" w:hAnsi="Segoe UI"/>
          <w:color w:val="334155"/>
          <w:sz w:val="21"/>
        </w:rPr>
        <w:t xml:space="preserve">: </w:t>
      </w:r>
      <w:r>
        <w:rPr>
          <w:rFonts w:ascii="Segoe UI" w:hAnsi="Segoe UI"/>
          <w:b/>
          <w:color w:val="334155"/>
          <w:sz w:val="21"/>
        </w:rPr>
        <w:t>GOAT Network EVM</w:t>
      </w:r>
      <w:r>
        <w:rPr>
          <w:rFonts w:ascii="Segoe UI" w:hAnsi="Segoe UI"/>
          <w:color w:val="334155"/>
          <w:sz w:val="21"/>
        </w:rPr>
        <w:t xml:space="preserve"> (utilizing BitVM2 for Bitcoin-grade mathematical finality to secure capital pools).</w:t>
      </w:r>
    </w:p>
    <w:p>
      <w:pPr>
        <w:pStyle w:val="ListBullet"/>
        <w:spacing w:before="0" w:after="80" w:line="276" w:lineRule="auto"/>
      </w:pPr>
      <w:r>
        <w:rPr>
          <w:rFonts w:ascii="Segoe UI" w:hAnsi="Segoe UI"/>
          <w:b/>
          <w:color w:val="334155"/>
          <w:sz w:val="21"/>
        </w:rPr>
        <w:t>Cross-Chain Messaging</w:t>
      </w:r>
      <w:r>
        <w:rPr>
          <w:rFonts w:ascii="Segoe UI" w:hAnsi="Segoe UI"/>
          <w:color w:val="334155"/>
          <w:sz w:val="21"/>
        </w:rPr>
        <w:t xml:space="preserve">: </w:t>
      </w:r>
      <w:r>
        <w:rPr>
          <w:rFonts w:ascii="Segoe UI" w:hAnsi="Segoe UI"/>
          <w:b/>
          <w:color w:val="334155"/>
          <w:sz w:val="21"/>
        </w:rPr>
        <w:t>Chainlink CCIP</w:t>
      </w:r>
      <w:r>
        <w:rPr>
          <w:rFonts w:ascii="Segoe UI" w:hAnsi="Segoe UI"/>
          <w:color w:val="334155"/>
          <w:sz w:val="21"/>
        </w:rPr>
        <w:t xml:space="preserve"> / </w:t>
      </w:r>
      <w:r>
        <w:rPr>
          <w:rFonts w:ascii="Segoe UI" w:hAnsi="Segoe UI"/>
          <w:b/>
          <w:color w:val="334155"/>
          <w:sz w:val="21"/>
        </w:rPr>
        <w:t>LayerZero</w:t>
      </w:r>
      <w:r>
        <w:rPr>
          <w:rFonts w:ascii="Segoe UI" w:hAnsi="Segoe UI"/>
          <w:color w:val="334155"/>
          <w:sz w:val="21"/>
        </w:rPr>
        <w:t xml:space="preserve"> (to pass secure messages and payout claims between the Bitcoin Castle and target networks).</w:t>
      </w:r>
    </w:p>
    <w:p>
      <w:pPr>
        <w:pStyle w:val="ListBullet"/>
        <w:spacing w:before="0" w:after="80" w:line="276" w:lineRule="auto"/>
      </w:pPr>
      <w:r>
        <w:rPr>
          <w:rFonts w:ascii="Segoe UI" w:hAnsi="Segoe UI"/>
          <w:b/>
          <w:color w:val="334155"/>
          <w:sz w:val="21"/>
        </w:rPr>
        <w:t>Smart Contracts</w:t>
      </w:r>
      <w:r>
        <w:rPr>
          <w:rFonts w:ascii="Segoe UI" w:hAnsi="Segoe UI"/>
          <w:color w:val="334155"/>
          <w:sz w:val="21"/>
        </w:rPr>
        <w:t xml:space="preserve">: </w:t>
      </w:r>
      <w:r>
        <w:rPr>
          <w:rFonts w:ascii="Segoe UI" w:hAnsi="Segoe UI"/>
          <w:b/>
          <w:color w:val="334155"/>
          <w:sz w:val="21"/>
        </w:rPr>
        <w:t>Solidity 0.8.20+</w:t>
      </w:r>
      <w:r>
        <w:rPr>
          <w:rFonts w:ascii="Segoe UI" w:hAnsi="Segoe UI"/>
          <w:color w:val="334155"/>
          <w:sz w:val="21"/>
        </w:rPr>
        <w:t xml:space="preserve"> compiled and tested via </w:t>
      </w:r>
      <w:r>
        <w:rPr>
          <w:rFonts w:ascii="Segoe UI" w:hAnsi="Segoe UI"/>
          <w:b/>
          <w:color w:val="334155"/>
          <w:sz w:val="21"/>
        </w:rPr>
        <w:t>Foundry</w:t>
      </w:r>
      <w:r>
        <w:rPr>
          <w:rFonts w:ascii="Segoe UI" w:hAnsi="Segoe UI"/>
          <w:color w:val="334155"/>
          <w:sz w:val="21"/>
        </w:rPr>
        <w:t>.</w:t>
      </w:r>
    </w:p>
    <w:p>
      <w:pPr>
        <w:pStyle w:val="ListBullet"/>
        <w:spacing w:before="0" w:after="80" w:line="276" w:lineRule="auto"/>
      </w:pPr>
      <w:r>
        <w:rPr>
          <w:rFonts w:ascii="Segoe UI" w:hAnsi="Segoe UI"/>
          <w:b/>
          <w:color w:val="334155"/>
          <w:sz w:val="21"/>
        </w:rPr>
        <w:t>Backend &amp; Indexer</w:t>
      </w:r>
      <w:r>
        <w:rPr>
          <w:rFonts w:ascii="Segoe UI" w:hAnsi="Segoe UI"/>
          <w:color w:val="334155"/>
          <w:sz w:val="21"/>
        </w:rPr>
        <w:t xml:space="preserve">: </w:t>
      </w:r>
      <w:r>
        <w:rPr>
          <w:rFonts w:ascii="Segoe UI" w:hAnsi="Segoe UI"/>
          <w:b/>
          <w:color w:val="334155"/>
          <w:sz w:val="21"/>
        </w:rPr>
        <w:t>Express with TypeScript</w:t>
      </w:r>
      <w:r>
        <w:rPr>
          <w:rFonts w:ascii="Segoe UI" w:hAnsi="Segoe UI"/>
          <w:color w:val="334155"/>
          <w:sz w:val="21"/>
        </w:rPr>
        <w:t xml:space="preserve"> and </w:t>
      </w:r>
      <w:r>
        <w:rPr>
          <w:rFonts w:ascii="Segoe UI" w:hAnsi="Segoe UI"/>
          <w:b/>
          <w:color w:val="334155"/>
          <w:sz w:val="21"/>
        </w:rPr>
        <w:t>Prisma/PostgreSQL</w:t>
      </w:r>
      <w:r>
        <w:rPr>
          <w:rFonts w:ascii="Segoe UI" w:hAnsi="Segoe UI"/>
          <w:color w:val="334155"/>
          <w:sz w:val="21"/>
        </w:rPr>
        <w:t xml:space="preserve"> (for off-chain risk databases and agent logging).</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3. Functional Requirements</w:t>
      </w:r>
    </w:p>
    <w:p>
      <w:pPr>
        <w:spacing w:before="0" w:after="160" w:line="276" w:lineRule="auto"/>
      </w:pPr>
      <w:r>
        <w:rPr>
          <w:rFonts w:ascii="Segoe UI" w:hAnsi="Segoe UI"/>
          <w:color w:val="0F172A"/>
          <w:sz w:val="21"/>
        </w:rPr>
        <w:t>Functional requirements describe what processes the system must perform and what information the system must contain to achieve the business goals.</w:t>
      </w:r>
    </w:p>
    <w:p>
      <w:pPr>
        <w:keepNext/>
        <w:spacing w:before="240" w:after="120"/>
      </w:pPr>
      <w:r>
        <w:rPr>
          <w:rFonts w:ascii="Segoe UI" w:hAnsi="Segoe UI"/>
          <w:b/>
          <w:color w:val="475569"/>
          <w:sz w:val="26"/>
        </w:rPr>
        <w:t>FR-1: Capital Pooling (Syndicate Vault)</w:t>
      </w:r>
    </w:p>
    <w:p>
      <w:pPr>
        <w:pStyle w:val="ListBullet"/>
        <w:spacing w:before="0" w:after="80" w:line="276" w:lineRule="auto"/>
      </w:pPr>
      <w:r>
        <w:rPr>
          <w:rFonts w:ascii="Segoe UI" w:hAnsi="Segoe UI"/>
          <w:b/>
          <w:color w:val="334155"/>
          <w:sz w:val="21"/>
        </w:rPr>
        <w:t>FR-1.1</w:t>
      </w:r>
      <w:r>
        <w:rPr>
          <w:rFonts w:ascii="Segoe UI" w:hAnsi="Segoe UI"/>
          <w:color w:val="334155"/>
          <w:sz w:val="21"/>
        </w:rPr>
        <w:t>: The system must allow Liquidity Providers (LPs) to deposit native BTC, wrapped BTC (e.g., WBTC, solBTC), and stablecoins (USDT/USDC) into designated risk syndicates.</w:t>
      </w:r>
    </w:p>
    <w:p>
      <w:pPr>
        <w:pStyle w:val="ListBullet"/>
        <w:spacing w:before="0" w:after="80" w:line="276" w:lineRule="auto"/>
      </w:pPr>
      <w:r>
        <w:rPr>
          <w:rFonts w:ascii="Segoe UI" w:hAnsi="Segoe UI"/>
          <w:b/>
          <w:color w:val="334155"/>
          <w:sz w:val="21"/>
        </w:rPr>
        <w:t>FR-1.2</w:t>
      </w:r>
      <w:r>
        <w:rPr>
          <w:rFonts w:ascii="Segoe UI" w:hAnsi="Segoe UI"/>
          <w:color w:val="334155"/>
          <w:sz w:val="21"/>
        </w:rPr>
        <w:t>: The system must record and track individual LP deposit balances, lock-up periods, and proportional ownership of the syndicate pool.</w:t>
      </w:r>
    </w:p>
    <w:p>
      <w:pPr>
        <w:pStyle w:val="ListBullet"/>
        <w:spacing w:before="0" w:after="80" w:line="276" w:lineRule="auto"/>
      </w:pPr>
      <w:r>
        <w:rPr>
          <w:rFonts w:ascii="Segoe UI" w:hAnsi="Segoe UI"/>
          <w:b/>
          <w:color w:val="334155"/>
          <w:sz w:val="21"/>
        </w:rPr>
        <w:t>FR-1.3</w:t>
      </w:r>
      <w:r>
        <w:rPr>
          <w:rFonts w:ascii="Segoe UI" w:hAnsi="Segoe UI"/>
          <w:color w:val="334155"/>
          <w:sz w:val="21"/>
        </w:rPr>
        <w:t>: The system must support manual withdrawal requests for LPs, subject to predefined lock-up cooldowns.</w:t>
      </w:r>
    </w:p>
    <w:p>
      <w:pPr>
        <w:pStyle w:val="ListBullet"/>
        <w:spacing w:before="0" w:after="80" w:line="276" w:lineRule="auto"/>
      </w:pPr>
      <w:r>
        <w:rPr>
          <w:rFonts w:ascii="Segoe UI" w:hAnsi="Segoe UI"/>
          <w:b/>
          <w:color w:val="334155"/>
          <w:sz w:val="21"/>
        </w:rPr>
        <w:t>FR-1.4 (Collateral Reservation - Gap A Solution)</w:t>
      </w:r>
      <w:r>
        <w:rPr>
          <w:rFonts w:ascii="Segoe UI" w:hAnsi="Segoe UI"/>
          <w:color w:val="334155"/>
          <w:sz w:val="21"/>
        </w:rPr>
        <w:t>: The Syndicate Vault must enforce strict capital locking rules to prevent "bank runs" during exploits:</w:t>
      </w:r>
    </w:p>
    <w:p>
      <w:pPr>
        <w:pStyle w:val="ListBullet"/>
        <w:spacing w:before="0" w:after="80" w:line="276" w:lineRule="auto"/>
        <w:ind w:left="720"/>
      </w:pPr>
      <w:r>
        <w:rPr>
          <w:rFonts w:ascii="Segoe UI" w:hAnsi="Segoe UI"/>
          <w:b/>
          <w:color w:val="334155"/>
          <w:sz w:val="21"/>
        </w:rPr>
        <w:t>FR-1.4.1</w:t>
      </w:r>
      <w:r>
        <w:rPr>
          <w:rFonts w:ascii="Segoe UI" w:hAnsi="Segoe UI"/>
          <w:color w:val="334155"/>
          <w:sz w:val="21"/>
        </w:rPr>
        <w:t xml:space="preserve">: The vault smart contract must calculate </w:t>
      </w:r>
      <w:r>
        <w:rPr>
          <w:rFonts w:ascii="Consolas" w:hAnsi="Consolas"/>
          <w:color w:val="C7254E"/>
          <w:sz w:val="20"/>
        </w:rPr>
        <w:t>Free Capital = Total Vault Balance - Total Reserved Coverage</w:t>
      </w:r>
      <w:r>
        <w:rPr>
          <w:rFonts w:ascii="Segoe UI" w:hAnsi="Segoe UI"/>
          <w:color w:val="334155"/>
          <w:sz w:val="21"/>
        </w:rPr>
        <w:t xml:space="preserve">, where </w:t>
      </w:r>
      <w:r>
        <w:rPr>
          <w:rFonts w:ascii="Consolas" w:hAnsi="Consolas"/>
          <w:color w:val="C7254E"/>
          <w:sz w:val="20"/>
        </w:rPr>
        <w:t>Total Reserved Coverage</w:t>
      </w:r>
      <w:r>
        <w:rPr>
          <w:rFonts w:ascii="Segoe UI" w:hAnsi="Segoe UI"/>
          <w:color w:val="334155"/>
          <w:sz w:val="21"/>
        </w:rPr>
        <w:t xml:space="preserve"> represents the sum of capital committed to back active, unexpired policies.</w:t>
      </w:r>
    </w:p>
    <w:p>
      <w:pPr>
        <w:pStyle w:val="ListBullet"/>
        <w:spacing w:before="0" w:after="80" w:line="276" w:lineRule="auto"/>
        <w:ind w:left="720"/>
      </w:pPr>
      <w:r>
        <w:rPr>
          <w:rFonts w:ascii="Segoe UI" w:hAnsi="Segoe UI"/>
          <w:b/>
          <w:color w:val="334155"/>
          <w:sz w:val="21"/>
        </w:rPr>
        <w:t>FR-1.4.2</w:t>
      </w:r>
      <w:r>
        <w:rPr>
          <w:rFonts w:ascii="Segoe UI" w:hAnsi="Segoe UI"/>
          <w:color w:val="334155"/>
          <w:sz w:val="21"/>
        </w:rPr>
        <w:t>: The contract must programmatically restrict LP withdrawals; any withdrawal request that would cause the vault's Free Capital to drop below 0 must be reverted.</w:t>
      </w:r>
    </w:p>
    <w:p>
      <w:pPr>
        <w:pStyle w:val="ListBullet"/>
        <w:spacing w:before="0" w:after="80" w:line="276" w:lineRule="auto"/>
        <w:ind w:left="720"/>
      </w:pPr>
      <w:r>
        <w:rPr>
          <w:rFonts w:ascii="Segoe UI" w:hAnsi="Segoe UI"/>
          <w:b/>
          <w:color w:val="334155"/>
          <w:sz w:val="21"/>
        </w:rPr>
        <w:t>FR-1.4.3</w:t>
      </w:r>
      <w:r>
        <w:rPr>
          <w:rFonts w:ascii="Segoe UI" w:hAnsi="Segoe UI"/>
          <w:color w:val="334155"/>
          <w:sz w:val="21"/>
        </w:rPr>
        <w:t xml:space="preserve">: Capital allocated to a specific policy must remain locked as </w:t>
      </w:r>
      <w:r>
        <w:rPr>
          <w:rFonts w:ascii="Consolas" w:hAnsi="Consolas"/>
          <w:color w:val="C7254E"/>
          <w:sz w:val="20"/>
        </w:rPr>
        <w:t>Reserved Coverage</w:t>
      </w:r>
      <w:r>
        <w:rPr>
          <w:rFonts w:ascii="Segoe UI" w:hAnsi="Segoe UI"/>
          <w:color w:val="334155"/>
          <w:sz w:val="21"/>
        </w:rPr>
        <w:t xml:space="preserve"> for the policy duration (e.g., 24 hours). If no claim is filed within this window, the capital must automatically revert to the </w:t>
      </w:r>
      <w:r>
        <w:rPr>
          <w:rFonts w:ascii="Consolas" w:hAnsi="Consolas"/>
          <w:color w:val="C7254E"/>
          <w:sz w:val="20"/>
        </w:rPr>
        <w:t>Free Capital</w:t>
      </w:r>
      <w:r>
        <w:rPr>
          <w:rFonts w:ascii="Segoe UI" w:hAnsi="Segoe UI"/>
          <w:color w:val="334155"/>
          <w:sz w:val="21"/>
        </w:rPr>
        <w:t xml:space="preserve"> pool.</w:t>
      </w:r>
    </w:p>
    <w:p>
      <w:pPr>
        <w:keepNext/>
        <w:spacing w:before="240" w:after="120"/>
      </w:pPr>
      <w:r>
        <w:rPr>
          <w:rFonts w:ascii="Segoe UI" w:hAnsi="Segoe UI"/>
          <w:b/>
          <w:color w:val="475569"/>
          <w:sz w:val="26"/>
        </w:rPr>
        <w:t>FR-2: AI-Driven Risk Assessment &amp; Underwriting</w:t>
      </w:r>
    </w:p>
    <w:p>
      <w:pPr>
        <w:pStyle w:val="ListBullet"/>
        <w:spacing w:before="0" w:after="80" w:line="276" w:lineRule="auto"/>
      </w:pPr>
      <w:r>
        <w:rPr>
          <w:rFonts w:ascii="Segoe UI" w:hAnsi="Segoe UI"/>
          <w:b/>
          <w:color w:val="334155"/>
          <w:sz w:val="21"/>
        </w:rPr>
        <w:t>FR-2.1</w:t>
      </w:r>
      <w:r>
        <w:rPr>
          <w:rFonts w:ascii="Segoe UI" w:hAnsi="Segoe UI"/>
          <w:color w:val="334155"/>
          <w:sz w:val="21"/>
        </w:rPr>
        <w:t>: The ClawUp-hosted OpenClaw Agent must support a querying interface where clients (AI agents or DApps) request an underwriting quote for a specific transaction payload or contract address.</w:t>
      </w:r>
    </w:p>
    <w:p>
      <w:pPr>
        <w:pStyle w:val="ListBullet"/>
        <w:spacing w:before="0" w:after="80" w:line="276" w:lineRule="auto"/>
      </w:pPr>
      <w:r>
        <w:rPr>
          <w:rFonts w:ascii="Segoe UI" w:hAnsi="Segoe UI"/>
          <w:b/>
          <w:color w:val="334155"/>
          <w:sz w:val="21"/>
        </w:rPr>
        <w:t>FR-2.2</w:t>
      </w:r>
      <w:r>
        <w:rPr>
          <w:rFonts w:ascii="Segoe UI" w:hAnsi="Segoe UI"/>
          <w:color w:val="334155"/>
          <w:sz w:val="21"/>
        </w:rPr>
        <w:t xml:space="preserve">: The Underwriter Agent must generate a robust multi-wallet </w:t>
      </w:r>
      <w:r>
        <w:rPr>
          <w:rFonts w:ascii="Segoe UI" w:hAnsi="Segoe UI"/>
          <w:b/>
          <w:color w:val="334155"/>
          <w:sz w:val="21"/>
        </w:rPr>
        <w:t>Trust Score</w:t>
      </w:r>
      <w:r>
        <w:rPr>
          <w:rFonts w:ascii="Segoe UI" w:hAnsi="Segoe UI"/>
          <w:color w:val="334155"/>
          <w:sz w:val="21"/>
        </w:rPr>
        <w:t xml:space="preserve"> by performing </w:t>
      </w:r>
      <w:r>
        <w:rPr>
          <w:rFonts w:ascii="Segoe UI" w:hAnsi="Segoe UI"/>
          <w:b/>
          <w:color w:val="334155"/>
          <w:sz w:val="21"/>
        </w:rPr>
        <w:t>Cross-Chain Related Wallet Clustering</w:t>
      </w:r>
      <w:r>
        <w:rPr>
          <w:rFonts w:ascii="Segoe UI" w:hAnsi="Segoe UI"/>
          <w:color w:val="334155"/>
          <w:sz w:val="21"/>
        </w:rPr>
        <w:t>:</w:t>
      </w:r>
    </w:p>
    <w:p>
      <w:pPr>
        <w:pStyle w:val="ListBullet"/>
        <w:spacing w:before="0" w:after="80" w:line="276" w:lineRule="auto"/>
        <w:ind w:left="720"/>
      </w:pPr>
      <w:r>
        <w:rPr>
          <w:rFonts w:ascii="Segoe UI" w:hAnsi="Segoe UI"/>
          <w:b/>
          <w:color w:val="334155"/>
          <w:sz w:val="21"/>
        </w:rPr>
        <w:t>FR-2.2.1</w:t>
      </w:r>
      <w:r>
        <w:rPr>
          <w:rFonts w:ascii="Segoe UI" w:hAnsi="Segoe UI"/>
          <w:color w:val="334155"/>
          <w:sz w:val="21"/>
        </w:rPr>
        <w:t>: The Agent must analyze public ledger history across multiple blockchains (including Ethereum, L2 networks like Base/Arbitrum, Solana, and Bitcoin) to trace shared funding sources, such as deposits originating from the same central exchange deposit address or a shared cross-chain bridge transit address.</w:t>
      </w:r>
    </w:p>
    <w:p>
      <w:pPr>
        <w:pStyle w:val="ListBullet"/>
        <w:spacing w:before="0" w:after="80" w:line="276" w:lineRule="auto"/>
        <w:ind w:left="720"/>
      </w:pPr>
      <w:r>
        <w:rPr>
          <w:rFonts w:ascii="Segoe UI" w:hAnsi="Segoe UI"/>
          <w:b/>
          <w:color w:val="334155"/>
          <w:sz w:val="21"/>
        </w:rPr>
        <w:t>FR-2.2.2</w:t>
      </w:r>
      <w:r>
        <w:rPr>
          <w:rFonts w:ascii="Segoe UI" w:hAnsi="Segoe UI"/>
          <w:color w:val="334155"/>
          <w:sz w:val="21"/>
        </w:rPr>
        <w:t>: The Agent must scan multi-chain co-interaction graphs, identifying wallet addresses that are commonly registered under the same decentralized identity registries (e.g., ENS or SNS), share identical cryptographic signature payloads, or exhibit highly correlated cross-chain behavioral timing patterns to cluster wallets belonging to the same owner.</w:t>
      </w:r>
    </w:p>
    <w:p>
      <w:pPr>
        <w:pStyle w:val="ListBullet"/>
        <w:spacing w:before="0" w:after="80" w:line="276" w:lineRule="auto"/>
        <w:ind w:left="720"/>
      </w:pPr>
      <w:r>
        <w:rPr>
          <w:rFonts w:ascii="Segoe UI" w:hAnsi="Segoe UI"/>
          <w:b/>
          <w:color w:val="334155"/>
          <w:sz w:val="21"/>
        </w:rPr>
        <w:t>FR-2.2.3</w:t>
      </w:r>
      <w:r>
        <w:rPr>
          <w:rFonts w:ascii="Segoe UI" w:hAnsi="Segoe UI"/>
          <w:color w:val="334155"/>
          <w:sz w:val="21"/>
        </w:rPr>
        <w:t xml:space="preserve">: The Trust Score must degrade programmatically if any wallet in the identified multi-chain cluster has a history of transaction failures, smart contract interactions with known exploits, active blacklists, or malicious activities on </w:t>
      </w:r>
      <w:r>
        <w:rPr>
          <w:rFonts w:ascii="Segoe UI" w:hAnsi="Segoe UI"/>
          <w:color w:val="334155"/>
          <w:sz w:val="21"/>
        </w:rPr>
        <w:t>*</w:t>
      </w:r>
      <w:r>
        <w:rPr>
          <w:rFonts w:ascii="Segoe UI" w:hAnsi="Segoe UI"/>
          <w:color w:val="334155"/>
          <w:sz w:val="21"/>
        </w:rPr>
        <w:t>any</w:t>
      </w:r>
      <w:r>
        <w:rPr>
          <w:rFonts w:ascii="Segoe UI" w:hAnsi="Segoe UI"/>
          <w:color w:val="334155"/>
          <w:sz w:val="21"/>
        </w:rPr>
        <w:t>*</w:t>
      </w:r>
      <w:r>
        <w:rPr>
          <w:rFonts w:ascii="Segoe UI" w:hAnsi="Segoe UI"/>
          <w:color w:val="334155"/>
          <w:sz w:val="21"/>
        </w:rPr>
        <w:t xml:space="preserve"> covered blockchain network, dynamically adjusting the risk profile.</w:t>
      </w:r>
    </w:p>
    <w:p>
      <w:pPr>
        <w:pStyle w:val="ListBullet"/>
        <w:spacing w:before="0" w:after="80" w:line="276" w:lineRule="auto"/>
      </w:pPr>
      <w:r>
        <w:rPr>
          <w:rFonts w:ascii="Segoe UI" w:hAnsi="Segoe UI"/>
          <w:b/>
          <w:color w:val="334155"/>
          <w:sz w:val="21"/>
        </w:rPr>
        <w:t>FR-2.3</w:t>
      </w:r>
      <w:r>
        <w:rPr>
          <w:rFonts w:ascii="Segoe UI" w:hAnsi="Segoe UI"/>
          <w:color w:val="334155"/>
          <w:sz w:val="21"/>
        </w:rPr>
        <w:t xml:space="preserve">: The Underwriter Agent must calculate the premium and shield the treasury from volatility using a </w:t>
      </w:r>
      <w:r>
        <w:rPr>
          <w:rFonts w:ascii="Segoe UI" w:hAnsi="Segoe UI"/>
          <w:b/>
          <w:color w:val="334155"/>
          <w:sz w:val="21"/>
        </w:rPr>
        <w:t>Premium Gas Buffer (Gap C Solution)</w:t>
      </w:r>
      <w:r>
        <w:rPr>
          <w:rFonts w:ascii="Segoe UI" w:hAnsi="Segoe UI"/>
          <w:color w:val="334155"/>
          <w:sz w:val="21"/>
        </w:rPr>
        <w:t>:</w:t>
      </w:r>
    </w:p>
    <w:p>
      <w:pPr>
        <w:pStyle w:val="ListBullet"/>
        <w:spacing w:before="0" w:after="80" w:line="276" w:lineRule="auto"/>
        <w:ind w:left="720"/>
      </w:pPr>
      <w:r>
        <w:rPr>
          <w:rFonts w:ascii="Segoe UI" w:hAnsi="Segoe UI"/>
          <w:b/>
          <w:color w:val="334155"/>
          <w:sz w:val="21"/>
        </w:rPr>
        <w:t>FR-2.3.1</w:t>
      </w:r>
      <w:r>
        <w:rPr>
          <w:rFonts w:ascii="Segoe UI" w:hAnsi="Segoe UI"/>
          <w:color w:val="334155"/>
          <w:sz w:val="21"/>
        </w:rPr>
        <w:t>: The premium must include a dynamic gas surcharge that pre-pays all cross-chain messaging costs (e.g., Chainlink CCIP router fees or LayerZero relayer gas).</w:t>
      </w:r>
    </w:p>
    <w:p>
      <w:pPr>
        <w:pStyle w:val="ListBullet"/>
        <w:spacing w:before="0" w:after="80" w:line="276" w:lineRule="auto"/>
        <w:ind w:left="720"/>
      </w:pPr>
      <w:r>
        <w:rPr>
          <w:rFonts w:ascii="Segoe UI" w:hAnsi="Segoe UI"/>
          <w:b/>
          <w:color w:val="334155"/>
          <w:sz w:val="21"/>
        </w:rPr>
        <w:t>FR-2.3.2</w:t>
      </w:r>
      <w:r>
        <w:rPr>
          <w:rFonts w:ascii="Segoe UI" w:hAnsi="Segoe UI"/>
          <w:color w:val="334155"/>
          <w:sz w:val="21"/>
        </w:rPr>
        <w:t>: A dynamic pricing oracle must update the estimated message-passing gas costs every 10 minutes to guarantee the client pays 100% of the cross-chain overhead, insulating the protocol treasury from gas spikes.</w:t>
      </w:r>
    </w:p>
    <w:p>
      <w:pPr>
        <w:keepNext/>
        <w:spacing w:before="240" w:after="120"/>
      </w:pPr>
      <w:r>
        <w:rPr>
          <w:rFonts w:ascii="Segoe UI" w:hAnsi="Segoe UI"/>
          <w:b/>
          <w:color w:val="475569"/>
          <w:sz w:val="26"/>
        </w:rPr>
        <w:t>FR-3: x402 Micropayment Processing</w:t>
      </w:r>
    </w:p>
    <w:p>
      <w:pPr>
        <w:pStyle w:val="ListBullet"/>
        <w:spacing w:before="0" w:after="80" w:line="276" w:lineRule="auto"/>
      </w:pPr>
      <w:r>
        <w:rPr>
          <w:rFonts w:ascii="Segoe UI" w:hAnsi="Segoe UI"/>
          <w:b/>
          <w:color w:val="334155"/>
          <w:sz w:val="21"/>
        </w:rPr>
        <w:t>FR-3.1</w:t>
      </w:r>
      <w:r>
        <w:rPr>
          <w:rFonts w:ascii="Segoe UI" w:hAnsi="Segoe UI"/>
          <w:color w:val="334155"/>
          <w:sz w:val="21"/>
        </w:rPr>
        <w:t>: The system must generate an order intent when an underwriting quote is accepted by a client.</w:t>
      </w:r>
    </w:p>
    <w:p>
      <w:pPr>
        <w:pStyle w:val="ListBullet"/>
        <w:spacing w:before="0" w:after="80" w:line="276" w:lineRule="auto"/>
      </w:pPr>
      <w:r>
        <w:rPr>
          <w:rFonts w:ascii="Segoe UI" w:hAnsi="Segoe UI"/>
          <w:b/>
          <w:color w:val="334155"/>
          <w:sz w:val="21"/>
        </w:rPr>
        <w:t>FR-3.2</w:t>
      </w:r>
      <w:r>
        <w:rPr>
          <w:rFonts w:ascii="Segoe UI" w:hAnsi="Segoe UI"/>
          <w:color w:val="334155"/>
          <w:sz w:val="21"/>
        </w:rPr>
        <w:t>: The system must verify the on-chain receipt of the micro-payment premium via the x402 protocol before activating transaction cover.</w:t>
      </w:r>
    </w:p>
    <w:p>
      <w:pPr>
        <w:pStyle w:val="ListBullet"/>
        <w:spacing w:before="0" w:after="80" w:line="276" w:lineRule="auto"/>
      </w:pPr>
      <w:r>
        <w:rPr>
          <w:rFonts w:ascii="Segoe UI" w:hAnsi="Segoe UI"/>
          <w:b/>
          <w:color w:val="334155"/>
          <w:sz w:val="21"/>
        </w:rPr>
        <w:t>FR-3.3</w:t>
      </w:r>
      <w:r>
        <w:rPr>
          <w:rFonts w:ascii="Segoe UI" w:hAnsi="Segoe UI"/>
          <w:color w:val="334155"/>
          <w:sz w:val="21"/>
        </w:rPr>
        <w:t>: The system must store the active coverage status, transaction hash, and covered value in the protocol database.</w:t>
      </w:r>
    </w:p>
    <w:p>
      <w:pPr>
        <w:keepNext/>
        <w:spacing w:before="240" w:after="120"/>
      </w:pPr>
      <w:r>
        <w:rPr>
          <w:rFonts w:ascii="Segoe UI" w:hAnsi="Segoe UI"/>
          <w:b/>
          <w:color w:val="475569"/>
          <w:sz w:val="26"/>
        </w:rPr>
        <w:t>FR-4: Claims Verification &amp; Payout Guardrails</w:t>
      </w:r>
    </w:p>
    <w:p>
      <w:pPr>
        <w:pStyle w:val="ListBullet"/>
        <w:spacing w:before="0" w:after="80" w:line="276" w:lineRule="auto"/>
      </w:pPr>
      <w:r>
        <w:rPr>
          <w:rFonts w:ascii="Segoe UI" w:hAnsi="Segoe UI"/>
          <w:b/>
          <w:color w:val="334155"/>
          <w:sz w:val="21"/>
        </w:rPr>
        <w:t>FR-4.1</w:t>
      </w:r>
      <w:r>
        <w:rPr>
          <w:rFonts w:ascii="Segoe UI" w:hAnsi="Segoe UI"/>
          <w:color w:val="334155"/>
          <w:sz w:val="21"/>
        </w:rPr>
        <w:t>: In the event of a covered transaction failure, the client DApp must submit a programmatic claim request containing the transaction hash.</w:t>
      </w:r>
    </w:p>
    <w:p>
      <w:pPr>
        <w:pStyle w:val="ListBullet"/>
        <w:spacing w:before="0" w:after="80" w:line="276" w:lineRule="auto"/>
      </w:pPr>
      <w:r>
        <w:rPr>
          <w:rFonts w:ascii="Segoe UI" w:hAnsi="Segoe UI"/>
          <w:b/>
          <w:color w:val="334155"/>
          <w:sz w:val="21"/>
        </w:rPr>
        <w:t>FR-4.2</w:t>
      </w:r>
      <w:r>
        <w:rPr>
          <w:rFonts w:ascii="Segoe UI" w:hAnsi="Segoe UI"/>
          <w:color w:val="334155"/>
          <w:sz w:val="21"/>
        </w:rPr>
        <w:t>: The OpenClaw Underwriter Agent must autonomously query the target network explorer via WebSockets/RPC to verify the transaction failure or exploit status.</w:t>
      </w:r>
    </w:p>
    <w:p>
      <w:pPr>
        <w:pStyle w:val="ListBullet"/>
        <w:spacing w:before="0" w:after="80" w:line="276" w:lineRule="auto"/>
      </w:pPr>
      <w:r>
        <w:rPr>
          <w:rFonts w:ascii="Segoe UI" w:hAnsi="Segoe UI"/>
          <w:b/>
          <w:color w:val="334155"/>
          <w:sz w:val="21"/>
        </w:rPr>
        <w:t>FR-4.3</w:t>
      </w:r>
      <w:r>
        <w:rPr>
          <w:rFonts w:ascii="Segoe UI" w:hAnsi="Segoe UI"/>
          <w:color w:val="334155"/>
          <w:sz w:val="21"/>
        </w:rPr>
        <w:t xml:space="preserve">: For claim payout values </w:t>
      </w:r>
      <w:r>
        <w:rPr>
          <w:rFonts w:ascii="Segoe UI" w:hAnsi="Segoe UI"/>
          <w:b/>
          <w:color w:val="334155"/>
          <w:sz w:val="21"/>
        </w:rPr>
        <w:t>below $50,000,000</w:t>
      </w:r>
      <w:r>
        <w:rPr>
          <w:rFonts w:ascii="Segoe UI" w:hAnsi="Segoe UI"/>
          <w:color w:val="334155"/>
          <w:sz w:val="21"/>
        </w:rPr>
        <w:t>, the system must automatically execute a programmatic payout from the Syndicate Vault to the claimant's target address via Chainlink CCIP/LayerZero.</w:t>
      </w:r>
    </w:p>
    <w:p>
      <w:pPr>
        <w:pStyle w:val="ListBullet"/>
        <w:spacing w:before="0" w:after="80" w:line="276" w:lineRule="auto"/>
      </w:pPr>
      <w:r>
        <w:rPr>
          <w:rFonts w:ascii="Segoe UI" w:hAnsi="Segoe UI"/>
          <w:b/>
          <w:color w:val="334155"/>
          <w:sz w:val="21"/>
        </w:rPr>
        <w:t>FR-4.4</w:t>
      </w:r>
      <w:r>
        <w:rPr>
          <w:rFonts w:ascii="Segoe UI" w:hAnsi="Segoe UI"/>
          <w:color w:val="334155"/>
          <w:sz w:val="21"/>
        </w:rPr>
        <w:t xml:space="preserve">: For claim payout values </w:t>
      </w:r>
      <w:r>
        <w:rPr>
          <w:rFonts w:ascii="Segoe UI" w:hAnsi="Segoe UI"/>
          <w:b/>
          <w:color w:val="334155"/>
          <w:sz w:val="21"/>
        </w:rPr>
        <w:t>equal to or exceeding $50,000,000</w:t>
      </w:r>
      <w:r>
        <w:rPr>
          <w:rFonts w:ascii="Segoe UI" w:hAnsi="Segoe UI"/>
          <w:color w:val="334155"/>
          <w:sz w:val="21"/>
        </w:rPr>
        <w:t xml:space="preserve">, the system must halt automatic settlement, notify the governance dashboard, and require a human auditor to review logs and sign a </w:t>
      </w:r>
      <w:r>
        <w:rPr>
          <w:rFonts w:ascii="Segoe UI" w:hAnsi="Segoe UI"/>
          <w:b/>
          <w:color w:val="334155"/>
          <w:sz w:val="21"/>
        </w:rPr>
        <w:t>2-of-3 Gnosis Safe Multi-Sig transaction</w:t>
      </w:r>
      <w:r>
        <w:rPr>
          <w:rFonts w:ascii="Segoe UI" w:hAnsi="Segoe UI"/>
          <w:color w:val="334155"/>
          <w:sz w:val="21"/>
        </w:rPr>
        <w:t xml:space="preserve"> to authorize the payout.</w:t>
      </w:r>
    </w:p>
    <w:p>
      <w:pPr>
        <w:pStyle w:val="ListBullet"/>
        <w:spacing w:before="0" w:after="80" w:line="276" w:lineRule="auto"/>
      </w:pPr>
      <w:r>
        <w:rPr>
          <w:rFonts w:ascii="Segoe UI" w:hAnsi="Segoe UI"/>
          <w:b/>
          <w:color w:val="334155"/>
          <w:sz w:val="21"/>
        </w:rPr>
        <w:t>FR-4.5 (Replay &amp; Double-Claim Mitigation - Gap B Solution)</w:t>
      </w:r>
      <w:r>
        <w:rPr>
          <w:rFonts w:ascii="Segoe UI" w:hAnsi="Segoe UI"/>
          <w:color w:val="334155"/>
          <w:sz w:val="21"/>
        </w:rPr>
        <w:t>: The smart contracts must implement cryptographically unique identifiers to prevent double-claiming:</w:t>
      </w:r>
    </w:p>
    <w:p>
      <w:pPr>
        <w:pStyle w:val="ListBullet"/>
        <w:spacing w:before="0" w:after="80" w:line="276" w:lineRule="auto"/>
        <w:ind w:left="720"/>
      </w:pPr>
      <w:r>
        <w:rPr>
          <w:rFonts w:ascii="Segoe UI" w:hAnsi="Segoe UI"/>
          <w:b/>
          <w:color w:val="334155"/>
          <w:sz w:val="21"/>
        </w:rPr>
        <w:t>FR-4.5.1</w:t>
      </w:r>
      <w:r>
        <w:rPr>
          <w:rFonts w:ascii="Segoe UI" w:hAnsi="Segoe UI"/>
          <w:color w:val="334155"/>
          <w:sz w:val="21"/>
        </w:rPr>
        <w:t xml:space="preserve">: The Syndicate Vault must store a mapping of </w:t>
      </w:r>
      <w:r>
        <w:rPr>
          <w:rFonts w:ascii="Consolas" w:hAnsi="Consolas"/>
          <w:color w:val="C7254E"/>
          <w:sz w:val="20"/>
        </w:rPr>
        <w:t>mapping(bytes32 =&gt; bool) public processedClaims</w:t>
      </w:r>
      <w:r>
        <w:rPr>
          <w:rFonts w:ascii="Segoe UI" w:hAnsi="Segoe UI"/>
          <w:color w:val="334155"/>
          <w:sz w:val="21"/>
        </w:rPr>
        <w:t xml:space="preserve"> to register paid claims.</w:t>
      </w:r>
    </w:p>
    <w:p>
      <w:pPr>
        <w:pStyle w:val="ListBullet"/>
        <w:spacing w:before="0" w:after="80" w:line="276" w:lineRule="auto"/>
        <w:ind w:left="720"/>
      </w:pPr>
      <w:r>
        <w:rPr>
          <w:rFonts w:ascii="Segoe UI" w:hAnsi="Segoe UI"/>
          <w:b/>
          <w:color w:val="334155"/>
          <w:sz w:val="21"/>
        </w:rPr>
        <w:t>FR-4.5.2</w:t>
      </w:r>
      <w:r>
        <w:rPr>
          <w:rFonts w:ascii="Segoe UI" w:hAnsi="Segoe UI"/>
          <w:color w:val="334155"/>
          <w:sz w:val="21"/>
        </w:rPr>
        <w:t xml:space="preserve">: The unique key for each claim must combine the target chain ID and the transaction hash: </w:t>
      </w:r>
      <w:r>
        <w:rPr>
          <w:rFonts w:ascii="Consolas" w:hAnsi="Consolas"/>
          <w:color w:val="C7254E"/>
          <w:sz w:val="20"/>
        </w:rPr>
        <w:t>keccak256(abi.encodePacked(chainId, txHash))</w:t>
      </w:r>
      <w:r>
        <w:rPr>
          <w:rFonts w:ascii="Segoe UI" w:hAnsi="Segoe UI"/>
          <w:color w:val="334155"/>
          <w:sz w:val="21"/>
        </w:rPr>
        <w:t>.</w:t>
      </w:r>
    </w:p>
    <w:p>
      <w:pPr>
        <w:pStyle w:val="ListBullet"/>
        <w:spacing w:before="0" w:after="80" w:line="276" w:lineRule="auto"/>
        <w:ind w:left="720"/>
      </w:pPr>
      <w:r>
        <w:rPr>
          <w:rFonts w:ascii="Segoe UI" w:hAnsi="Segoe UI"/>
          <w:b/>
          <w:color w:val="334155"/>
          <w:sz w:val="21"/>
        </w:rPr>
        <w:t>FR-4.5.3</w:t>
      </w:r>
      <w:r>
        <w:rPr>
          <w:rFonts w:ascii="Segoe UI" w:hAnsi="Segoe UI"/>
          <w:color w:val="334155"/>
          <w:sz w:val="21"/>
        </w:rPr>
        <w:t xml:space="preserve">: Before any claim payout is sent or authorized, the contract must assert </w:t>
      </w:r>
      <w:r>
        <w:rPr>
          <w:rFonts w:ascii="Consolas" w:hAnsi="Consolas"/>
          <w:color w:val="C7254E"/>
          <w:sz w:val="20"/>
        </w:rPr>
        <w:t>processedClaims[claimKey] == false</w:t>
      </w:r>
      <w:r>
        <w:rPr>
          <w:rFonts w:ascii="Segoe UI" w:hAnsi="Segoe UI"/>
          <w:color w:val="334155"/>
          <w:sz w:val="21"/>
        </w:rPr>
        <w:t xml:space="preserve"> and immediately set </w:t>
      </w:r>
      <w:r>
        <w:rPr>
          <w:rFonts w:ascii="Consolas" w:hAnsi="Consolas"/>
          <w:color w:val="C7254E"/>
          <w:sz w:val="20"/>
        </w:rPr>
        <w:t>processedClaims[claimKey] = true</w:t>
      </w:r>
      <w:r>
        <w:rPr>
          <w:rFonts w:ascii="Segoe UI" w:hAnsi="Segoe UI"/>
          <w:color w:val="334155"/>
          <w:sz w:val="21"/>
        </w:rPr>
        <w:t xml:space="preserve"> upon transaction success, programmatically preventing cross-chain or multi-transaction replay attacks.</w:t>
      </w:r>
    </w:p>
    <w:p>
      <w:pPr>
        <w:spacing w:before="240" w:after="240"/>
        <w:pBdr>
          <w:bottom w:val="single" w:sz="8" w:space="4" w:color="E2E8F0"/>
        </w:pBdr>
      </w:pPr>
    </w:p>
    <w:p>
      <w:pPr>
        <w:keepNext/>
        <w:spacing w:before="320" w:after="160"/>
        <w:pBdr>
          <w:bottom w:val="single" w:sz="6" w:space="4" w:color="CBD5E1"/>
        </w:pBdr>
      </w:pPr>
      <w:r>
        <w:rPr>
          <w:rFonts w:ascii="Segoe UI" w:hAnsi="Segoe UI"/>
          <w:b/>
          <w:color w:val="1E293B"/>
          <w:sz w:val="32"/>
        </w:rPr>
        <w:t>⚙️ 4. Non-Functional Requirements</w:t>
      </w:r>
    </w:p>
    <w:p>
      <w:pPr>
        <w:spacing w:before="0" w:after="160" w:line="276" w:lineRule="auto"/>
      </w:pPr>
      <w:r>
        <w:rPr>
          <w:rFonts w:ascii="Segoe UI" w:hAnsi="Segoe UI"/>
          <w:color w:val="0F172A"/>
          <w:sz w:val="21"/>
        </w:rPr>
        <w:t>Non-functional requirements refer to the behavioral properties, qualities, and technical constraints the system must satisfy.</w:t>
      </w:r>
    </w:p>
    <w:p>
      <w:pPr>
        <w:keepNext/>
        <w:spacing w:before="240" w:after="120"/>
      </w:pPr>
      <w:r>
        <w:rPr>
          <w:rFonts w:ascii="Segoe UI" w:hAnsi="Segoe UI"/>
          <w:b/>
          <w:color w:val="475569"/>
          <w:sz w:val="26"/>
        </w:rPr>
        <w:t>4.1. Operational Requirements</w:t>
      </w:r>
    </w:p>
    <w:p>
      <w:pPr>
        <w:pStyle w:val="ListBullet"/>
        <w:spacing w:before="0" w:after="80" w:line="276" w:lineRule="auto"/>
      </w:pPr>
      <w:r>
        <w:rPr>
          <w:rFonts w:ascii="Segoe UI" w:hAnsi="Segoe UI"/>
          <w:b/>
          <w:color w:val="334155"/>
          <w:sz w:val="21"/>
        </w:rPr>
        <w:t>Technical Environment</w:t>
      </w:r>
      <w:r>
        <w:rPr>
          <w:rFonts w:ascii="Segoe UI" w:hAnsi="Segoe UI"/>
          <w:color w:val="334155"/>
          <w:sz w:val="21"/>
        </w:rPr>
        <w:t>:</w:t>
      </w:r>
    </w:p>
    <w:p>
      <w:pPr>
        <w:pStyle w:val="ListBullet"/>
        <w:spacing w:before="0" w:after="80" w:line="276" w:lineRule="auto"/>
        <w:ind w:left="720"/>
      </w:pPr>
      <w:r>
        <w:rPr>
          <w:rFonts w:ascii="Segoe UI" w:hAnsi="Segoe UI"/>
          <w:color w:val="334155"/>
          <w:sz w:val="21"/>
        </w:rPr>
        <w:t xml:space="preserve">The core underwriting agent must run within the managed, cloud-hosted environment of </w:t>
      </w:r>
      <w:r>
        <w:rPr>
          <w:rFonts w:ascii="Segoe UI" w:hAnsi="Segoe UI"/>
          <w:b/>
          <w:color w:val="334155"/>
          <w:sz w:val="21"/>
        </w:rPr>
        <w:t>ClawUp.org</w:t>
      </w:r>
      <w:r>
        <w:rPr>
          <w:rFonts w:ascii="Segoe UI" w:hAnsi="Segoe UI"/>
          <w:color w:val="334155"/>
          <w:sz w:val="21"/>
        </w:rPr>
        <w:t>, utilizing OpenClaw runtimes.</w:t>
      </w:r>
    </w:p>
    <w:p>
      <w:pPr>
        <w:pStyle w:val="ListBullet"/>
        <w:spacing w:before="0" w:after="80" w:line="276" w:lineRule="auto"/>
        <w:ind w:left="720"/>
      </w:pPr>
      <w:r>
        <w:rPr>
          <w:rFonts w:ascii="Segoe UI" w:hAnsi="Segoe UI"/>
          <w:color w:val="334155"/>
          <w:sz w:val="21"/>
        </w:rPr>
        <w:t xml:space="preserve">Smart contracts must run on the </w:t>
      </w:r>
      <w:r>
        <w:rPr>
          <w:rFonts w:ascii="Segoe UI" w:hAnsi="Segoe UI"/>
          <w:b/>
          <w:color w:val="334155"/>
          <w:sz w:val="21"/>
        </w:rPr>
        <w:t>GOAT Network EVM Testnet3</w:t>
      </w:r>
      <w:r>
        <w:rPr>
          <w:rFonts w:ascii="Segoe UI" w:hAnsi="Segoe UI"/>
          <w:color w:val="334155"/>
          <w:sz w:val="21"/>
        </w:rPr>
        <w:t xml:space="preserve"> (and eventually Mainnet) and interact with target EVM chains (Base, Arbitrum, Ethereum) and Solana.</w:t>
      </w:r>
    </w:p>
    <w:p>
      <w:pPr>
        <w:pStyle w:val="ListBullet"/>
        <w:spacing w:before="0" w:after="80" w:line="276" w:lineRule="auto"/>
        <w:ind w:left="720"/>
      </w:pPr>
      <w:r>
        <w:rPr>
          <w:rFonts w:ascii="Segoe UI" w:hAnsi="Segoe UI"/>
          <w:color w:val="334155"/>
          <w:sz w:val="21"/>
        </w:rPr>
        <w:t>The client integrations must support standard Web browsers and mobile Web3 environments (such as Rabby and MetaMask mobile).</w:t>
      </w:r>
    </w:p>
    <w:p>
      <w:pPr>
        <w:pStyle w:val="ListBullet"/>
        <w:spacing w:before="0" w:after="80" w:line="276" w:lineRule="auto"/>
      </w:pPr>
      <w:r>
        <w:rPr>
          <w:rFonts w:ascii="Segoe UI" w:hAnsi="Segoe UI"/>
          <w:b/>
          <w:color w:val="334155"/>
          <w:sz w:val="21"/>
        </w:rPr>
        <w:t>System Integration</w:t>
      </w:r>
      <w:r>
        <w:rPr>
          <w:rFonts w:ascii="Segoe UI" w:hAnsi="Segoe UI"/>
          <w:color w:val="334155"/>
          <w:sz w:val="21"/>
        </w:rPr>
        <w:t>:</w:t>
      </w:r>
    </w:p>
    <w:p>
      <w:pPr>
        <w:pStyle w:val="ListBullet"/>
        <w:spacing w:before="0" w:after="80" w:line="276" w:lineRule="auto"/>
        <w:ind w:left="720"/>
      </w:pPr>
      <w:r>
        <w:rPr>
          <w:rFonts w:ascii="Segoe UI" w:hAnsi="Segoe UI"/>
          <w:color w:val="334155"/>
          <w:sz w:val="21"/>
        </w:rPr>
        <w:t xml:space="preserve">The protocol must seamlessly interface with the </w:t>
      </w:r>
      <w:r>
        <w:rPr>
          <w:rFonts w:ascii="Segoe UI" w:hAnsi="Segoe UI"/>
          <w:b/>
          <w:color w:val="334155"/>
          <w:sz w:val="21"/>
        </w:rPr>
        <w:t>GOAT x402 API Gateway</w:t>
      </w:r>
      <w:r>
        <w:rPr>
          <w:rFonts w:ascii="Segoe UI" w:hAnsi="Segoe UI"/>
          <w:color w:val="334155"/>
          <w:sz w:val="21"/>
        </w:rPr>
        <w:t xml:space="preserve"> (</w:t>
      </w:r>
      <w:r>
        <w:rPr>
          <w:rFonts w:ascii="Consolas" w:hAnsi="Consolas"/>
          <w:color w:val="C7254E"/>
          <w:sz w:val="20"/>
        </w:rPr>
        <w:t>https://x402-api.goat.network</w:t>
      </w:r>
      <w:r>
        <w:rPr>
          <w:rFonts w:ascii="Segoe UI" w:hAnsi="Segoe UI"/>
          <w:color w:val="334155"/>
          <w:sz w:val="21"/>
        </w:rPr>
        <w:t>) for order creation and validation.</w:t>
      </w:r>
    </w:p>
    <w:p>
      <w:pPr>
        <w:pStyle w:val="ListBullet"/>
        <w:spacing w:before="0" w:after="80" w:line="276" w:lineRule="auto"/>
        <w:ind w:left="720"/>
      </w:pPr>
      <w:r>
        <w:rPr>
          <w:rFonts w:ascii="Segoe UI" w:hAnsi="Segoe UI"/>
          <w:color w:val="334155"/>
          <w:sz w:val="21"/>
        </w:rPr>
        <w:t>The system must integrate Chainlink CCIP router contracts on all target chains to enable secure cross-chain state updates.</w:t>
      </w:r>
    </w:p>
    <w:p>
      <w:pPr>
        <w:pStyle w:val="ListBullet"/>
        <w:spacing w:before="0" w:after="80" w:line="276" w:lineRule="auto"/>
      </w:pPr>
      <w:r>
        <w:rPr>
          <w:rFonts w:ascii="Segoe UI" w:hAnsi="Segoe UI"/>
          <w:b/>
          <w:color w:val="334155"/>
          <w:sz w:val="21"/>
        </w:rPr>
        <w:t>Portability</w:t>
      </w:r>
      <w:r>
        <w:rPr>
          <w:rFonts w:ascii="Segoe UI" w:hAnsi="Segoe UI"/>
          <w:color w:val="334155"/>
          <w:sz w:val="21"/>
        </w:rPr>
        <w:t>:</w:t>
      </w:r>
    </w:p>
    <w:p>
      <w:pPr>
        <w:pStyle w:val="ListBullet"/>
        <w:spacing w:before="0" w:after="80" w:line="276" w:lineRule="auto"/>
        <w:ind w:left="720"/>
      </w:pPr>
      <w:r>
        <w:rPr>
          <w:rFonts w:ascii="Segoe UI" w:hAnsi="Segoe UI"/>
          <w:color w:val="334155"/>
          <w:sz w:val="21"/>
        </w:rPr>
        <w:t>The front-end administrative dashboard and LP interface must be responsive, running seamlessly on desktop and mobile browsers.</w:t>
      </w:r>
    </w:p>
    <w:p>
      <w:pPr>
        <w:pStyle w:val="ListBullet"/>
        <w:spacing w:before="0" w:after="80" w:line="276" w:lineRule="auto"/>
      </w:pPr>
      <w:r>
        <w:rPr>
          <w:rFonts w:ascii="Segoe UI" w:hAnsi="Segoe UI"/>
          <w:b/>
          <w:color w:val="334155"/>
          <w:sz w:val="21"/>
        </w:rPr>
        <w:t>Maintainability</w:t>
      </w:r>
      <w:r>
        <w:rPr>
          <w:rFonts w:ascii="Segoe UI" w:hAnsi="Segoe UI"/>
          <w:color w:val="334155"/>
          <w:sz w:val="21"/>
        </w:rPr>
        <w:t>:</w:t>
      </w:r>
    </w:p>
    <w:p>
      <w:pPr>
        <w:pStyle w:val="ListBullet"/>
        <w:spacing w:before="0" w:after="80" w:line="276" w:lineRule="auto"/>
        <w:ind w:left="720"/>
      </w:pPr>
      <w:r>
        <w:rPr>
          <w:rFonts w:ascii="Segoe UI" w:hAnsi="Segoe UI"/>
          <w:color w:val="334155"/>
          <w:sz w:val="21"/>
        </w:rPr>
        <w:t>The smart contracts must be written in modular Solidity with standard upgradeability patterns (Proxy contracts) to allow updates as new cross-chain frameworks emerge.</w:t>
      </w:r>
    </w:p>
    <w:p>
      <w:pPr>
        <w:pStyle w:val="ListBullet"/>
        <w:spacing w:before="0" w:after="80" w:line="276" w:lineRule="auto"/>
        <w:ind w:left="720"/>
      </w:pPr>
      <w:r>
        <w:rPr>
          <w:rFonts w:ascii="Segoe UI" w:hAnsi="Segoe UI"/>
          <w:color w:val="334155"/>
          <w:sz w:val="21"/>
        </w:rPr>
        <w:t>The OpenClaw agent's "skills" must be documented in standard Markdown/YAML format to allow rapid modification of LLM parameters during runtime.</w:t>
      </w:r>
    </w:p>
    <w:p>
      <w:pPr>
        <w:keepNext/>
        <w:spacing w:before="240" w:after="120"/>
      </w:pPr>
      <w:r>
        <w:rPr>
          <w:rFonts w:ascii="Segoe UI" w:hAnsi="Segoe UI"/>
          <w:b/>
          <w:color w:val="475569"/>
          <w:sz w:val="26"/>
        </w:rPr>
        <w:t>4.2. Performance Requirements</w:t>
      </w:r>
    </w:p>
    <w:p>
      <w:pPr>
        <w:pStyle w:val="ListBullet"/>
        <w:spacing w:before="0" w:after="80" w:line="276" w:lineRule="auto"/>
      </w:pPr>
      <w:r>
        <w:rPr>
          <w:rFonts w:ascii="Segoe UI" w:hAnsi="Segoe UI"/>
          <w:b/>
          <w:color w:val="334155"/>
          <w:sz w:val="21"/>
        </w:rPr>
        <w:t>Speed</w:t>
      </w:r>
      <w:r>
        <w:rPr>
          <w:rFonts w:ascii="Segoe UI" w:hAnsi="Segoe UI"/>
          <w:color w:val="334155"/>
          <w:sz w:val="21"/>
        </w:rPr>
        <w:t>:</w:t>
      </w:r>
    </w:p>
    <w:p>
      <w:pPr>
        <w:pStyle w:val="ListBullet"/>
        <w:spacing w:before="0" w:after="80" w:line="276" w:lineRule="auto"/>
        <w:ind w:left="720"/>
      </w:pPr>
      <w:r>
        <w:rPr>
          <w:rFonts w:ascii="Segoe UI" w:hAnsi="Segoe UI"/>
          <w:color w:val="334155"/>
          <w:sz w:val="21"/>
        </w:rPr>
        <w:t xml:space="preserve">The Underwriter Agent must generate and return an underwriting quote within </w:t>
      </w:r>
      <w:r>
        <w:rPr>
          <w:rFonts w:ascii="Segoe UI" w:hAnsi="Segoe UI"/>
          <w:b/>
          <w:color w:val="334155"/>
          <w:sz w:val="21"/>
        </w:rPr>
        <w:t>2.5 seconds</w:t>
      </w:r>
      <w:r>
        <w:rPr>
          <w:rFonts w:ascii="Segoe UI" w:hAnsi="Segoe UI"/>
          <w:color w:val="334155"/>
          <w:sz w:val="21"/>
        </w:rPr>
        <w:t xml:space="preserve"> of receiving a client query.</w:t>
      </w:r>
    </w:p>
    <w:p>
      <w:pPr>
        <w:pStyle w:val="ListBullet"/>
        <w:spacing w:before="0" w:after="80" w:line="276" w:lineRule="auto"/>
        <w:ind w:left="720"/>
      </w:pPr>
      <w:r>
        <w:rPr>
          <w:rFonts w:ascii="Segoe UI" w:hAnsi="Segoe UI"/>
          <w:color w:val="334155"/>
          <w:sz w:val="21"/>
        </w:rPr>
        <w:t xml:space="preserve">Programmatic claims verification (for payouts under $50M) must execute within </w:t>
      </w:r>
      <w:r>
        <w:rPr>
          <w:rFonts w:ascii="Segoe UI" w:hAnsi="Segoe UI"/>
          <w:b/>
          <w:color w:val="334155"/>
          <w:sz w:val="21"/>
        </w:rPr>
        <w:t>15 seconds</w:t>
      </w:r>
      <w:r>
        <w:rPr>
          <w:rFonts w:ascii="Segoe UI" w:hAnsi="Segoe UI"/>
          <w:color w:val="334155"/>
          <w:sz w:val="21"/>
        </w:rPr>
        <w:t xml:space="preserve"> of transaction failure detection on target explorers.</w:t>
      </w:r>
    </w:p>
    <w:p>
      <w:pPr>
        <w:pStyle w:val="ListBullet"/>
        <w:spacing w:before="0" w:after="80" w:line="276" w:lineRule="auto"/>
      </w:pPr>
      <w:r>
        <w:rPr>
          <w:rFonts w:ascii="Segoe UI" w:hAnsi="Segoe UI"/>
          <w:b/>
          <w:color w:val="334155"/>
          <w:sz w:val="21"/>
        </w:rPr>
        <w:t>Capacity</w:t>
      </w:r>
      <w:r>
        <w:rPr>
          <w:rFonts w:ascii="Segoe UI" w:hAnsi="Segoe UI"/>
          <w:color w:val="334155"/>
          <w:sz w:val="21"/>
        </w:rPr>
        <w:t>:</w:t>
      </w:r>
    </w:p>
    <w:p>
      <w:pPr>
        <w:pStyle w:val="ListBullet"/>
        <w:spacing w:before="0" w:after="80" w:line="276" w:lineRule="auto"/>
        <w:ind w:left="720"/>
      </w:pPr>
      <w:r>
        <w:rPr>
          <w:rFonts w:ascii="Segoe UI" w:hAnsi="Segoe UI"/>
          <w:color w:val="334155"/>
          <w:sz w:val="21"/>
        </w:rPr>
        <w:t xml:space="preserve">The Express backend and indexer must support up to </w:t>
      </w:r>
      <w:r>
        <w:rPr>
          <w:rFonts w:ascii="Segoe UI" w:hAnsi="Segoe UI"/>
          <w:b/>
          <w:color w:val="334155"/>
          <w:sz w:val="21"/>
        </w:rPr>
        <w:t>5,000 simultaneous users/agents</w:t>
      </w:r>
      <w:r>
        <w:rPr>
          <w:rFonts w:ascii="Segoe UI" w:hAnsi="Segoe UI"/>
          <w:color w:val="334155"/>
          <w:sz w:val="21"/>
        </w:rPr>
        <w:t xml:space="preserve"> at peak times.</w:t>
      </w:r>
    </w:p>
    <w:p>
      <w:pPr>
        <w:pStyle w:val="ListBullet"/>
        <w:spacing w:before="0" w:after="80" w:line="276" w:lineRule="auto"/>
        <w:ind w:left="720"/>
      </w:pPr>
      <w:r>
        <w:rPr>
          <w:rFonts w:ascii="Segoe UI" w:hAnsi="Segoe UI"/>
          <w:color w:val="334155"/>
          <w:sz w:val="21"/>
        </w:rPr>
        <w:t xml:space="preserve">The database must be optimized to store and index up to </w:t>
      </w:r>
      <w:r>
        <w:rPr>
          <w:rFonts w:ascii="Segoe UI" w:hAnsi="Segoe UI"/>
          <w:b/>
          <w:color w:val="334155"/>
          <w:sz w:val="21"/>
        </w:rPr>
        <w:t>10,000 active policies</w:t>
      </w:r>
      <w:r>
        <w:rPr>
          <w:rFonts w:ascii="Segoe UI" w:hAnsi="Segoe UI"/>
          <w:color w:val="334155"/>
          <w:sz w:val="21"/>
        </w:rPr>
        <w:t xml:space="preserve"> simultaneously without query degradation.</w:t>
      </w:r>
    </w:p>
    <w:p>
      <w:pPr>
        <w:pStyle w:val="ListBullet"/>
        <w:spacing w:before="0" w:after="80" w:line="276" w:lineRule="auto"/>
      </w:pPr>
      <w:r>
        <w:rPr>
          <w:rFonts w:ascii="Segoe UI" w:hAnsi="Segoe UI"/>
          <w:b/>
          <w:color w:val="334155"/>
          <w:sz w:val="21"/>
        </w:rPr>
        <w:t>Availability &amp; Reliability</w:t>
      </w:r>
      <w:r>
        <w:rPr>
          <w:rFonts w:ascii="Segoe UI" w:hAnsi="Segoe UI"/>
          <w:color w:val="334155"/>
          <w:sz w:val="21"/>
        </w:rPr>
        <w:t>:</w:t>
      </w:r>
    </w:p>
    <w:p>
      <w:pPr>
        <w:pStyle w:val="ListBullet"/>
        <w:spacing w:before="0" w:after="80" w:line="276" w:lineRule="auto"/>
        <w:ind w:left="720"/>
      </w:pPr>
      <w:r>
        <w:rPr>
          <w:rFonts w:ascii="Segoe UI" w:hAnsi="Segoe UI"/>
          <w:color w:val="334155"/>
          <w:sz w:val="21"/>
        </w:rPr>
        <w:t xml:space="preserve">The ClawUp-hosted underwriter agent must maintain </w:t>
      </w:r>
      <w:r>
        <w:rPr>
          <w:rFonts w:ascii="Segoe UI" w:hAnsi="Segoe UI"/>
          <w:b/>
          <w:color w:val="334155"/>
          <w:sz w:val="21"/>
        </w:rPr>
        <w:t>99.9% uptime</w:t>
      </w:r>
      <w:r>
        <w:rPr>
          <w:rFonts w:ascii="Segoe UI" w:hAnsi="Segoe UI"/>
          <w:color w:val="334155"/>
          <w:sz w:val="21"/>
        </w:rPr>
        <w:t xml:space="preserve"> to ensure global, 24/7 transaction protection.</w:t>
      </w:r>
    </w:p>
    <w:p>
      <w:pPr>
        <w:pStyle w:val="ListBullet"/>
        <w:spacing w:before="0" w:after="80" w:line="276" w:lineRule="auto"/>
        <w:ind w:left="720"/>
      </w:pPr>
      <w:r>
        <w:rPr>
          <w:rFonts w:ascii="Segoe UI" w:hAnsi="Segoe UI"/>
          <w:color w:val="334155"/>
          <w:sz w:val="21"/>
        </w:rPr>
        <w:t>The Express database must execute automated hourly backups to secure cloud storage (AWS S3) to ensure a Recovery Point Objective (RPO) of less than 1 hour.</w:t>
      </w:r>
    </w:p>
    <w:p>
      <w:pPr>
        <w:keepNext/>
        <w:spacing w:before="240" w:after="120"/>
      </w:pPr>
      <w:r>
        <w:rPr>
          <w:rFonts w:ascii="Segoe UI" w:hAnsi="Segoe UI"/>
          <w:b/>
          <w:color w:val="475569"/>
          <w:sz w:val="26"/>
        </w:rPr>
        <w:t>4.3. Security Requirements</w:t>
      </w:r>
    </w:p>
    <w:p>
      <w:pPr>
        <w:pStyle w:val="ListBullet"/>
        <w:spacing w:before="0" w:after="80" w:line="276" w:lineRule="auto"/>
      </w:pPr>
      <w:r>
        <w:rPr>
          <w:rFonts w:ascii="Segoe UI" w:hAnsi="Segoe UI"/>
          <w:b/>
          <w:color w:val="334155"/>
          <w:sz w:val="21"/>
        </w:rPr>
        <w:t>System Value Estimates</w:t>
      </w:r>
      <w:r>
        <w:rPr>
          <w:rFonts w:ascii="Segoe UI" w:hAnsi="Segoe UI"/>
          <w:color w:val="334155"/>
          <w:sz w:val="21"/>
        </w:rPr>
        <w:t>:</w:t>
      </w:r>
    </w:p>
    <w:p>
      <w:pPr>
        <w:pStyle w:val="ListBullet"/>
        <w:spacing w:before="0" w:after="80" w:line="276" w:lineRule="auto"/>
        <w:ind w:left="720"/>
      </w:pPr>
      <w:r>
        <w:rPr>
          <w:rFonts w:ascii="Segoe UI" w:hAnsi="Segoe UI"/>
          <w:color w:val="334155"/>
          <w:sz w:val="21"/>
        </w:rPr>
        <w:t>Because the Syndicate Vault handles high-value BTC and stablecoin collateral, a system outage or compromise represents a severe financial risk. Capital pools are capped dynamically based on active audit reviews to mitigate marginal utility losses.</w:t>
      </w:r>
    </w:p>
    <w:p>
      <w:pPr>
        <w:pStyle w:val="ListBullet"/>
        <w:spacing w:before="0" w:after="80" w:line="276" w:lineRule="auto"/>
      </w:pPr>
      <w:r>
        <w:rPr>
          <w:rFonts w:ascii="Segoe UI" w:hAnsi="Segoe UI"/>
          <w:b/>
          <w:color w:val="334155"/>
          <w:sz w:val="21"/>
        </w:rPr>
        <w:t>Access Control</w:t>
      </w:r>
      <w:r>
        <w:rPr>
          <w:rFonts w:ascii="Segoe UI" w:hAnsi="Segoe UI"/>
          <w:color w:val="334155"/>
          <w:sz w:val="21"/>
        </w:rPr>
        <w:t>:</w:t>
      </w:r>
    </w:p>
    <w:p>
      <w:pPr>
        <w:pStyle w:val="ListBullet"/>
        <w:spacing w:before="0" w:after="80" w:line="276" w:lineRule="auto"/>
        <w:ind w:left="720"/>
      </w:pPr>
      <w:r>
        <w:rPr>
          <w:rFonts w:ascii="Segoe UI" w:hAnsi="Segoe UI"/>
          <w:color w:val="334155"/>
          <w:sz w:val="21"/>
        </w:rPr>
        <w:t xml:space="preserve">Role-Based Access Control (RBAC) must restrict vault administrative functions (like setting risk caps or adding new supported chains) strictly to the protocol deployer address using </w:t>
      </w:r>
      <w:r>
        <w:rPr>
          <w:rFonts w:ascii="Consolas" w:hAnsi="Consolas"/>
          <w:color w:val="C7254E"/>
          <w:sz w:val="20"/>
        </w:rPr>
        <w:t>onlyOwner</w:t>
      </w:r>
      <w:r>
        <w:rPr>
          <w:rFonts w:ascii="Segoe UI" w:hAnsi="Segoe UI"/>
          <w:color w:val="334155"/>
          <w:sz w:val="21"/>
        </w:rPr>
        <w:t xml:space="preserve"> modifiers.</w:t>
      </w:r>
    </w:p>
    <w:p>
      <w:pPr>
        <w:pStyle w:val="ListBullet"/>
        <w:spacing w:before="0" w:after="80" w:line="276" w:lineRule="auto"/>
        <w:ind w:left="720"/>
      </w:pPr>
      <w:r>
        <w:rPr>
          <w:rFonts w:ascii="Segoe UI" w:hAnsi="Segoe UI"/>
          <w:color w:val="334155"/>
          <w:sz w:val="21"/>
        </w:rPr>
        <w:t>LPs must only have authorization to withdraw their own staked assets.</w:t>
      </w:r>
    </w:p>
    <w:p>
      <w:pPr>
        <w:pStyle w:val="ListBullet"/>
        <w:spacing w:before="0" w:after="80" w:line="276" w:lineRule="auto"/>
      </w:pPr>
      <w:r>
        <w:rPr>
          <w:rFonts w:ascii="Segoe UI" w:hAnsi="Segoe UI"/>
          <w:b/>
          <w:color w:val="334155"/>
          <w:sz w:val="21"/>
        </w:rPr>
        <w:t>Encryption &amp; Authentication</w:t>
      </w:r>
      <w:r>
        <w:rPr>
          <w:rFonts w:ascii="Segoe UI" w:hAnsi="Segoe UI"/>
          <w:color w:val="334155"/>
          <w:sz w:val="21"/>
        </w:rPr>
        <w:t>:</w:t>
      </w:r>
    </w:p>
    <w:p>
      <w:pPr>
        <w:pStyle w:val="ListBullet"/>
        <w:spacing w:before="0" w:after="80" w:line="276" w:lineRule="auto"/>
        <w:ind w:left="720"/>
      </w:pPr>
      <w:r>
        <w:rPr>
          <w:rFonts w:ascii="Segoe UI" w:hAnsi="Segoe UI"/>
          <w:color w:val="334155"/>
          <w:sz w:val="21"/>
        </w:rPr>
        <w:t xml:space="preserve">The OpenClaw agent's hot wallet private keys must be fully encrypted using </w:t>
      </w:r>
      <w:r>
        <w:rPr>
          <w:rFonts w:ascii="Segoe UI" w:hAnsi="Segoe UI"/>
          <w:b/>
          <w:color w:val="334155"/>
          <w:sz w:val="21"/>
        </w:rPr>
        <w:t>ClawUp’s native environment variable vault</w:t>
      </w:r>
      <w:r>
        <w:rPr>
          <w:rFonts w:ascii="Segoe UI" w:hAnsi="Segoe UI"/>
          <w:color w:val="334155"/>
          <w:sz w:val="21"/>
        </w:rPr>
        <w:t xml:space="preserve"> (never exposed in source code or local files).</w:t>
      </w:r>
    </w:p>
    <w:p>
      <w:pPr>
        <w:pStyle w:val="ListBullet"/>
        <w:spacing w:before="0" w:after="80" w:line="276" w:lineRule="auto"/>
        <w:ind w:left="720"/>
      </w:pPr>
      <w:r>
        <w:rPr>
          <w:rFonts w:ascii="Segoe UI" w:hAnsi="Segoe UI"/>
          <w:color w:val="334155"/>
          <w:sz w:val="21"/>
        </w:rPr>
        <w:t>Cross-chain claim commands must be cryptographically signed by the Underwriter Agent and verified by the destination smart contract before executing any vault transfers.</w:t>
      </w:r>
    </w:p>
    <w:p>
      <w:pPr>
        <w:pStyle w:val="ListBullet"/>
        <w:spacing w:before="0" w:after="80" w:line="276" w:lineRule="auto"/>
        <w:ind w:left="720"/>
      </w:pPr>
      <w:r>
        <w:rPr>
          <w:rFonts w:ascii="Segoe UI" w:hAnsi="Segoe UI"/>
          <w:color w:val="334155"/>
          <w:sz w:val="21"/>
        </w:rPr>
        <w:t>All high-value payouts (&gt;= $50M) require a 2-of-3 multi-sig scheme containing the deployer key, a cold team key, and a certified human auditor key.</w:t>
      </w:r>
    </w:p>
    <w:p>
      <w:pPr>
        <w:pStyle w:val="ListBullet"/>
        <w:spacing w:before="0" w:after="80" w:line="276" w:lineRule="auto"/>
      </w:pPr>
      <w:r>
        <w:rPr>
          <w:rFonts w:ascii="Segoe UI" w:hAnsi="Segoe UI"/>
          <w:b/>
          <w:color w:val="334155"/>
          <w:sz w:val="21"/>
        </w:rPr>
        <w:t>Virus / Malware Control</w:t>
      </w:r>
      <w:r>
        <w:rPr>
          <w:rFonts w:ascii="Segoe UI" w:hAnsi="Segoe UI"/>
          <w:color w:val="334155"/>
          <w:sz w:val="21"/>
        </w:rPr>
        <w:t>:</w:t>
      </w:r>
    </w:p>
    <w:p>
      <w:pPr>
        <w:pStyle w:val="ListBullet"/>
        <w:spacing w:before="0" w:after="80" w:line="276" w:lineRule="auto"/>
        <w:ind w:left="720"/>
      </w:pPr>
      <w:r>
        <w:rPr>
          <w:rFonts w:ascii="Segoe UI" w:hAnsi="Segoe UI"/>
          <w:color w:val="334155"/>
          <w:sz w:val="21"/>
        </w:rPr>
        <w:t>All transaction payloads and external calldata sent to the underwriter agent's RPC node must be sanitized to prevent code injection, buffer overflows, or malicious smart contract interactions.</w:t>
      </w:r>
    </w:p>
    <w:p>
      <w:pPr>
        <w:keepNext/>
        <w:spacing w:before="240" w:after="120"/>
      </w:pPr>
      <w:r>
        <w:rPr>
          <w:rFonts w:ascii="Segoe UI" w:hAnsi="Segoe UI"/>
          <w:b/>
          <w:color w:val="475569"/>
          <w:sz w:val="26"/>
        </w:rPr>
        <w:t>4.4. Cultural &amp; Political Requirements</w:t>
      </w:r>
    </w:p>
    <w:p>
      <w:pPr>
        <w:pStyle w:val="ListBullet"/>
        <w:spacing w:before="0" w:after="80" w:line="276" w:lineRule="auto"/>
      </w:pPr>
      <w:r>
        <w:rPr>
          <w:rFonts w:ascii="Segoe UI" w:hAnsi="Segoe UI"/>
          <w:b/>
          <w:color w:val="334155"/>
          <w:sz w:val="21"/>
        </w:rPr>
        <w:t>Customization</w:t>
      </w:r>
      <w:r>
        <w:rPr>
          <w:rFonts w:ascii="Segoe UI" w:hAnsi="Segoe UI"/>
          <w:color w:val="334155"/>
          <w:sz w:val="21"/>
        </w:rPr>
        <w:t>:</w:t>
      </w:r>
    </w:p>
    <w:p>
      <w:pPr>
        <w:pStyle w:val="ListBullet"/>
        <w:spacing w:before="0" w:after="80" w:line="276" w:lineRule="auto"/>
        <w:ind w:left="720"/>
      </w:pPr>
      <w:r>
        <w:rPr>
          <w:rFonts w:ascii="Segoe UI" w:hAnsi="Segoe UI"/>
          <w:color w:val="334155"/>
          <w:sz w:val="21"/>
        </w:rPr>
        <w:t>The system must support local customization of risk parameters per target sandbox. For instance, risk multipliers for Solana (high speed, lower fee) will differ dynamically from Ethereum mainnet (high gas, lower speed).</w:t>
      </w:r>
    </w:p>
    <w:p>
      <w:pPr>
        <w:pStyle w:val="ListBullet"/>
        <w:spacing w:before="0" w:after="80" w:line="276" w:lineRule="auto"/>
      </w:pPr>
      <w:r>
        <w:rPr>
          <w:rFonts w:ascii="Segoe UI" w:hAnsi="Segoe UI"/>
          <w:b/>
          <w:color w:val="334155"/>
          <w:sz w:val="21"/>
        </w:rPr>
        <w:t>Legal &amp; Compliance</w:t>
      </w:r>
      <w:r>
        <w:rPr>
          <w:rFonts w:ascii="Segoe UI" w:hAnsi="Segoe UI"/>
          <w:color w:val="334155"/>
          <w:sz w:val="21"/>
        </w:rPr>
        <w:t>:</w:t>
      </w:r>
    </w:p>
    <w:p>
      <w:pPr>
        <w:pStyle w:val="ListBullet"/>
        <w:spacing w:before="0" w:after="80" w:line="276" w:lineRule="auto"/>
        <w:ind w:left="720"/>
      </w:pPr>
      <w:r>
        <w:rPr>
          <w:rFonts w:ascii="Segoe UI" w:hAnsi="Segoe UI"/>
          <w:color w:val="334155"/>
          <w:sz w:val="21"/>
        </w:rPr>
        <w:t>The protocol must enforce jurisdictional IP-blocking inside the DApp interface to comply with international regulatory standards on synthetic risk underwriting.</w:t>
      </w:r>
    </w:p>
    <w:p>
      <w:pPr>
        <w:pStyle w:val="ListBullet"/>
        <w:spacing w:before="0" w:after="80" w:line="276" w:lineRule="auto"/>
        <w:ind w:left="720"/>
      </w:pPr>
      <w:r>
        <w:rPr>
          <w:rFonts w:ascii="Segoe UI" w:hAnsi="Segoe UI"/>
          <w:color w:val="334155"/>
          <w:sz w:val="21"/>
        </w:rPr>
        <w:t>The software license must protect the proprietary LLM risk evaluation parameters while keeping the core solidity pools open-source.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