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40" w:line="293" w:lineRule="auto"/>
        <w:jc w:val="right"/>
        <w:bidi w:val="1"/>
      </w:pPr>
      <w:r>
        <w:rPr>
          <w:rFonts w:ascii="Arial" w:hAnsi="Arial" w:cs="Arial"/>
          <w:b/>
          <w:color w:val="1F5FF2"/>
          <w:sz w:val="18"/>
        </w:rPr>
        <w:t>SYSTEM MODULE SPECIFICATION</w:t>
      </w:r>
    </w:p>
    <w:p>
      <w:pPr>
        <w:spacing w:before="0" w:after="80" w:line="293" w:lineRule="auto"/>
        <w:jc w:val="right"/>
        <w:bidi w:val="1"/>
      </w:pPr>
      <w:r>
        <w:rPr>
          <w:rFonts w:ascii="Arial" w:hAnsi="Arial" w:cs="Arial"/>
          <w:b/>
          <w:color w:val="1F5FF2"/>
          <w:sz w:val="68"/>
        </w:rPr>
        <w:t>M06</w:t>
      </w:r>
    </w:p>
    <w:p>
      <w:pPr>
        <w:spacing w:before="0" w:after="200" w:line="293" w:lineRule="auto"/>
        <w:jc w:val="right"/>
        <w:bidi w:val="1"/>
      </w:pPr>
      <w:r>
        <w:rPr>
          <w:rFonts w:ascii="Arial" w:hAnsi="Arial" w:cs="Arial"/>
          <w:b/>
          <w:color w:val="14213D"/>
          <w:sz w:val="54"/>
        </w:rPr>
        <w:t>التحويل بين المخازن</w:t>
      </w:r>
    </w:p>
    <w:p>
      <w:pPr>
        <w:spacing w:before="0" w:after="560" w:line="293" w:lineRule="auto"/>
        <w:jc w:val="right"/>
        <w:bidi w:val="1"/>
      </w:pPr>
      <w:r>
        <w:rPr>
          <w:rFonts w:ascii="Arial" w:hAnsi="Arial" w:cs="Arial"/>
          <w:b w:val="0"/>
          <w:color w:val="5C6473"/>
          <w:sz w:val="28"/>
        </w:rPr>
        <w:t>Warehouse Transfers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4FF"/>
            <w:tcBorders>
              <w:top w:val="single" w:sz="4" w:color="1F5FF2"/>
              <w:left w:val="single" w:sz="4" w:color="1F5FF2"/>
              <w:bottom w:val="single" w:sz="4" w:color="1F5FF2"/>
              <w:right w:val="single" w:sz="4" w:color="1F5FF2"/>
              <w:insideH w:val="single" w:sz="4" w:color="1F5FF2"/>
              <w:insideV w:val="single" w:sz="4" w:color="1F5FF2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5FF2"/>
                <w:sz w:val="20"/>
              </w:rPr>
              <w:t xml:space="preserve">الغرض — </w:t>
            </w:r>
            <w:r>
              <w:rPr>
                <w:rFonts w:ascii="Arial" w:hAnsi="Arial" w:cs="Arial"/>
                <w:b w:val="0"/>
                <w:color w:val="14213D"/>
                <w:sz w:val="20"/>
              </w:rPr>
              <w:t>مرجع موحّد لطلبات التحويل والموافقة والحجز والتجهيز والإرسال ومخزون قيد النقل والاستلام وفروقات الناقل.</w:t>
            </w:r>
          </w:p>
        </w:tc>
      </w:tr>
    </w:tbl>
    <w:p>
      <w:pPr>
        <w:spacing w:before="0" w:after="4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spacing w:before="360" w:after="120" w:line="293" w:lineRule="auto"/>
        <w:jc w:val="right"/>
        <w:bidi w:val="1"/>
      </w:pPr>
      <w:r>
        <w:rPr>
          <w:rFonts w:ascii="Arial" w:hAnsi="Arial" w:cs="Arial"/>
          <w:b/>
          <w:color w:val="14213D"/>
          <w:sz w:val="22"/>
        </w:rPr>
        <w:t>المشروع: نظام إدارة المخزون والمبيعات والتوزيع</w:t>
      </w:r>
    </w:p>
    <w:p>
      <w:pPr>
        <w:spacing w:before="0" w:after="120" w:line="293" w:lineRule="auto"/>
        <w:jc w:val="right"/>
        <w:bidi w:val="1"/>
      </w:pPr>
      <w:r>
        <w:rPr>
          <w:rFonts w:ascii="Arial" w:hAnsi="Arial" w:cs="Arial"/>
          <w:b w:val="0"/>
          <w:color w:val="5C6473"/>
          <w:sz w:val="20"/>
        </w:rPr>
        <w:t>الإصدار: 1.0  |  التاريخ: 13 آب 2026</w:t>
      </w:r>
    </w:p>
    <w:p>
      <w:pPr>
        <w:spacing w:before="0" w:after="120" w:line="293" w:lineRule="auto"/>
        <w:jc w:val="right"/>
        <w:bidi w:val="1"/>
      </w:pPr>
      <w:r>
        <w:rPr>
          <w:rFonts w:ascii="Arial" w:hAnsi="Arial" w:cs="Arial"/>
          <w:b w:val="0"/>
          <w:color w:val="5C6473"/>
          <w:sz w:val="20"/>
        </w:rPr>
        <w:t>المخرجات: Word + BPMN Draw.io — دون واجهات Figma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1. المفاهيم والنطاق</w:t>
      </w:r>
    </w:p>
    <w:p>
      <w:pPr>
        <w:spacing w:before="0" w:after="1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  <w:t>ينظم M06 انتقال المنتجات بين مخزنين داخل الفرع نفسه أو بين فروع مختلفة. يمنع تغيير الأرصدة مباشرة ويستخدم الحجز ومخزون قيد النقل لضمان تطابق المسؤولية مع الموقع الفعلي للكمية.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المفهوم</w:t>
            </w:r>
          </w:p>
        </w:tc>
        <w:tc>
          <w:tcPr>
            <w:tcW w:type="dxa" w:w="720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التعريف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التحويل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ينشئه المخزن الطالب أو المرسل حسب الصلاحية.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حجز التحويل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كمية معتمدة تخصم من المتاح في المصدر.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التجهيز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اختيار الدفعات والتسلسلات وتجميع الكمية.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الإرسال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خفض فعلي من المصدر ونقل القيمة إلى حساب قيد النقل.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قيد النقل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كمية خرجت من المصدر ولم يثبت استلامها بعد.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الاستلام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إضافة الكمية السليمة إلى الوجهة وإنهاء قيد النقل.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فرق النقل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نقص أو تلف يسجل على الناقل.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المطالبة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قيمة مالية ناتجة من الفرق وفق متوسط التكلفة.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4FF"/>
            <w:tcBorders>
              <w:top w:val="single" w:sz="4" w:color="1F5FF2"/>
              <w:left w:val="single" w:sz="4" w:color="1F5FF2"/>
              <w:bottom w:val="single" w:sz="4" w:color="1F5FF2"/>
              <w:right w:val="single" w:sz="4" w:color="1F5FF2"/>
              <w:insideH w:val="single" w:sz="4" w:color="1F5FF2"/>
              <w:insideV w:val="single" w:sz="4" w:color="1F5FF2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5FF2"/>
                <w:sz w:val="20"/>
              </w:rPr>
              <w:t xml:space="preserve">دورة الكمية — </w:t>
            </w:r>
            <w:r>
              <w:rPr>
                <w:rFonts w:ascii="Arial" w:hAnsi="Arial" w:cs="Arial"/>
                <w:b w:val="0"/>
                <w:color w:val="14213D"/>
                <w:sz w:val="20"/>
              </w:rPr>
              <w:t>عند الاعتماد: Reserved في المصدر. عند الإرسال: In Transit. عند الاستلام: On Hand في الوجهة أو فرق على الناقل.</w:t>
            </w:r>
          </w:p>
        </w:tc>
      </w:tr>
    </w:tbl>
    <w:p>
      <w:pPr>
        <w:spacing w:before="0" w:after="4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2. القرارات المعتمدة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24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المحور</w:t>
            </w:r>
          </w:p>
        </w:tc>
        <w:tc>
          <w:tcPr>
            <w:tcW w:type="dxa" w:w="684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القرار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منشئ الطلب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المخزن الطالب أو المرسل حسب الصلاحية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الموافقة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الشركة لكل التحويلات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الحجز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عند اعتماد إدارة الشركة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اختيار الدفعات/التسلسلات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المخزن المرسل أثناء التجهيز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الإرسال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يخفض المصدر ويزيد قيد النقل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الاستلام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كامل فقط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توقيت إضافة الوجهة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عند تأكيد الاستلام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الفروقات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تثبت مع الاستلام وتسجل على الناقل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بيانات الناقل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الاسم ورقم الهاتف؛ المركبة اختيارية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الإلغاء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قبل الإرسال فقط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المستندات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سند إرسال وسند استلام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2.1 مسؤولية الفرق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تضاف الكمية السليمة فقط إلى المخزن المستلم.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النقص والتلف لا يدخلان رصيد الوجهة.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تقفل كامل كمية قيد النقل بين المستلم والفرق عند إثبات الاستلام.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تحسب قيمة الفرق بمتوسط تكلفة المصدر وقت الإرسال.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ينشأ سجل مطالبة على الناقل ويمكن تسويته لاحقًا في الحسابات.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3. العمليات BPMN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الرمز</w:t>
            </w:r>
          </w:p>
        </w:tc>
        <w:tc>
          <w:tcPr>
            <w:tcW w:type="dxa" w:w="3816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العملية</w:t>
            </w:r>
          </w:p>
        </w:tc>
        <w:tc>
          <w:tcPr>
            <w:tcW w:type="dxa" w:w="4176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الناتج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BPMN-TRF-01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 طلب من المخزن الطالب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DRAFT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BPMN-TRF-02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 طلب من المخزن المرسل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DRAFT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BPMN-TRF-03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إدارة الشركة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حجز الكمية أو رفض الطلب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BPMN-TRF-04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تجهيز التحويل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دفعات وتسلسلات مجهزة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BPMN-TRF-05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إرسال التحويل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خفض المصدر وزيادة قيد النقل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BPMN-TRF-06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إلغاء قبل الإرسال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تحرير الحجز وإلغاء الطلب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BPMN-TRF-07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استلام مطابق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زيادة الوجهة وإغلاق التحويل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BPMN-TRF-08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استلام مع فرق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زيادة السليم ومطالبة على الناقل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BPMN-TRF-09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طباعة سند الإرسال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مستند تسليم للناقل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BPMN-TRF-10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طباعة سند الاستلام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مستند استلام وفروقات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BPMN-TRF-11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تسوية مطالبة الناقل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إغلاق أو تحصيل المطالبة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BPMN-TRF-12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متابعة التحويل المتأخر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تنبيه وتصعيد إداري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3.1 مسار الحالة الطبيعي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إنشاء الطلب وتحديد المصدر والوجهة والأصناف والكميات.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موافقة إدارة الشركة وحجز الكميات في المصدر.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تجهيز المصدر واختيار Batch/Serial وتسجيل الناقل.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إرسال التحويل وإنشاء حركات TRANSFER_OUT وIN_TRANSIT.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تأكيد المستلم للكميات السليمة وتسجيل أي فرق.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إنشاء TRANSFER_IN وإغلاق قيد النقل وطباعة سند الاستلام.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4. الواجهات Screens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352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الواجهة</w:t>
            </w:r>
          </w:p>
        </w:tc>
        <w:tc>
          <w:tcPr>
            <w:tcW w:type="dxa" w:w="475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Route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SCR-TRF-01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لوحة التحويلات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/transfers/dashboard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SCR-TRF-02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 التحويلات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/transfers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SCR-TRF-03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 طلب تحويل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/transfers/new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SCR-TRF-04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تفاصيل التحويل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/transfers/:id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SCR-TRF-05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صندوق اعتماد التحويلات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/transfers/approvals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SCR-TRF-06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تجهيز التحويل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/transfers/:id/prepare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SCR-TRF-07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تأكيد الإرسال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/transfers/:id/dispatch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SCR-TRF-08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التحويلات الواردة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/transfers/incoming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SCR-TRF-09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استلام التحويل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/transfers/:id/receive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SCR-TRF-10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فروقات النقل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/transfers/differences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SCR-TRF-11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مطالبات الناقلين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/carrier-claims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SCR-TRF-12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التحويلات المتأخرة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/transfers/overdue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SCR-TRF-13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طباعة سند الإرسال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/transfers/:id/dispatch-note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SCR-TRF-14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طباعة سند الاستلام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/transfers/:id/receipt-note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4.1 شاشة الاستلام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عرض المصدر والوجهة والناقل ووقت الإرسال.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عرض المرسل لكل منتج/دفعة/تسلسل.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إدخال المستلم السليم والناقص والتالف بحيث يساوي مجموعها المرسل.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سبب ووصف إلزامي لكل فرق، مع مرفق اختياري.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معاينة قيمة مطالبة الناقل قبل التثبيت.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زر واحد ذري لتثبيت الاستلام والحركات والمطالبة.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5. الأدوار والصلاحيات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الدور</w:t>
            </w:r>
          </w:p>
        </w:tc>
        <w:tc>
          <w:tcPr>
            <w:tcW w:type="dxa" w:w="691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المسؤولية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WAREHOUSE_REQUESTER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 طلب وارد إلى مخزنه.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WAREHOUSE_MANAGER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 طلب صادر وتجهيزه وإرساله أو استلامه.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COMPANY_ADMIN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أو رفض جميع التحويلات.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WAREHOUSE_KEEPER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اختيار الدفعات والتسلسلات وتنفيذ التجهيز.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TRANSFER_RECEIVER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تثبيت الاستلام والفروقات.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ACCOUNTANT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متابعة وتسوية مطالبات الناقل.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AUDITOR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قراءة الدورة والسندات والحركات.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Permission Key</w:t>
            </w:r>
          </w:p>
        </w:tc>
        <w:tc>
          <w:tcPr>
            <w:tcW w:type="dxa" w:w="547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الوصف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transfers.view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عرض التحويلات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transfers.create_inbound_request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من المخزن الطالب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transfers.create_outbound_request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من المخزن المرسل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transfers.submit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إرسال للاعتماد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transfers.approve/reject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اعتماد/رفض الإدارة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transfers.prepare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تجهيز واختيار Batch/Serial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transfers.dispatch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إرسال التحويل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transfers.cancel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إلغاء قبل الإرسال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transfers.receive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إثبات الاستلام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transfers.record_difference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تسجيل النقص والتلف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transfers.print_dispatch_note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طباعة سند الإرسال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transfers.print_receipt_note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طباعة سند الاستلام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carrier_claims.view/manage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مطالبات الناقل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transfers.overdue.view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متابعة المتأخر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6. الحالات Statuses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الحالة</w:t>
            </w:r>
          </w:p>
        </w:tc>
        <w:tc>
          <w:tcPr>
            <w:tcW w:type="dxa" w:w="691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الوصف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DRAFT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مسودة قابلة للتعديل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PENDING_APPROVAL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بانتظار إدارة الشركة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APPROVED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معتمد والكمية محجوزة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PREPARING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المصدر يختار الدفعات والتسلسلات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READY_TO_DISPATCH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مجهز وينتظر الإرسال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IN_TRANSIT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خرج من المصدر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RECEIVED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استلام مطابق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RECEIVED_WITH_DIFFERENCE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استلام مثبت مع نقص/تلف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REJECTED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مرفوض مع السبب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CANCELLED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ملغى قبل الإرسال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6.1 حالات المطالبة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الحالة</w:t>
            </w:r>
          </w:p>
        </w:tc>
        <w:tc>
          <w:tcPr>
            <w:tcW w:type="dxa" w:w="691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المعنى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OPEN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مطالبة منشأة ولم تحسم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UNDER_REVIEW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قيد المراجعة المالية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SETTLED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تم التحصيل أو التسوية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WAIVED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أعفت الإدارة الناقل بسبب موثق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7. قواعد العمل Business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الرمز</w:t>
            </w:r>
          </w:p>
        </w:tc>
        <w:tc>
          <w:tcPr>
            <w:tcW w:type="dxa" w:w="784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القاعدة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BR-TRF-001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المصدر والوجهة مخزنان نشطان ومختلفان.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BR-TRF-002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كل التحويلات تحتاج موافقة إدارة الشركة.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BR-TRF-003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عند الموافقة تحجز الكمية في المصدر.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BR-TRF-004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يعتمد الطلب إذا كانت Available غير كافية.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BR-TRF-005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التجهيز يقتصر على Batch/Serial صالح ومتاح.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BR-TRF-006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تتجاوز الكمية المجهزة الكمية المعتمدة.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BR-TRF-007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الإرسال يحرر الحجز ويخفض On Hand ويزيد In Transit ذريًا.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BR-TRF-008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يضاف شيء للوجهة قبل الاستلام.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BR-TRF-009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الاستلام كامل للمعاملة ولا يوجد استلام مرحلي.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BR-TRF-010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السليم + الناقص + التالف = المرسل لكل سطر.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BR-TRF-011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الفرق يسجل على الناقل بالاسم والهاتف.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BR-TRF-012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قيمة الفرق = الكمية × تكلفة المصدر وقت الإرسال.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BR-TRF-013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الاستلام مع فرق يغلق In Transit كاملًا.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BR-TRF-014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يمكن الإلغاء قبل DISPATCH فقط.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BR-TRF-015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إلغاء طلب معتمد يحرر الحجز.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BR-TRF-016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يجوز تغيير المصدر أو الوجهة بعد الاعتماد.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BR-TRF-017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تعدل دفعات أو تسلسلات بعد الإرسال.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BR-TRF-018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سند الإرسال يطبع بعد DISPATCH.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BR-TRF-019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سند الاستلام يطبع بعد RECEIVED بأنواعه.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BR-TRF-020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كل انتقال حالة وحركة وفرق يسجل في Audit Log.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8. API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1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576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80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الغرض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/api/v1/transfers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قائمة/إنشاء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GET/PATCH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/api/v1/transfers/:id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تفاصيل/تعديل مسودة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/api/v1/transfers/:id/submit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إرسال للاعتماد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/api/v1/transfers/:id/approve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وحجز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/api/v1/transfers/:id/reject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رفض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/api/v1/transfers/:id/prepare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حفظ Batch/Serial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/api/v1/transfers/:id/dispatch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إرسال وقيد نقل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/api/v1/transfers/:id/cancel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إلغاء قبل الإرسال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/api/v1/transfers/incoming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التحويلات الواردة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/api/v1/transfers/:id/receive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استلام مطابق/فرق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/api/v1/transfers/:id/history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سجل الحالة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/api/v1/transfers/:id/dispatch-note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سند الإرسال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/api/v1/transfers/:id/receipt-note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سند الاستلام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/api/v1/transfer-differences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 الفروقات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GET/PATCH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/api/v1/carrier-claims/:id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عرض/تسوية مطالبة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/api/v1/transfers/overdue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المتأخرة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/api/v1/jobs/transfers/overdue-alerts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مهمة التنبيه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9. جداول قاعدة البيانات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96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الجدول</w:t>
            </w:r>
          </w:p>
        </w:tc>
        <w:tc>
          <w:tcPr>
            <w:tcW w:type="dxa" w:w="612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المسؤولية</w:t>
            </w:r>
          </w:p>
        </w:tc>
      </w:tr>
      <w:tr>
        <w:tc>
          <w:tcPr>
            <w:tcW w:type="dxa" w:w="39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warehouse_transfers</w:t>
            </w:r>
          </w:p>
        </w:tc>
        <w:tc>
          <w:tcPr>
            <w:tcW w:type="dxa" w:w="612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رأس التحويل والحالة والمخازن.</w:t>
            </w:r>
          </w:p>
        </w:tc>
      </w:tr>
      <w:tr>
        <w:tc>
          <w:tcPr>
            <w:tcW w:type="dxa" w:w="39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warehouse_transfer_items</w:t>
            </w:r>
          </w:p>
        </w:tc>
        <w:tc>
          <w:tcPr>
            <w:tcW w:type="dxa" w:w="612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الأصناف والكميات المعتمدة.</w:t>
            </w:r>
          </w:p>
        </w:tc>
      </w:tr>
      <w:tr>
        <w:tc>
          <w:tcPr>
            <w:tcW w:type="dxa" w:w="39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warehouse_transfer_allocations</w:t>
            </w:r>
          </w:p>
        </w:tc>
        <w:tc>
          <w:tcPr>
            <w:tcW w:type="dxa" w:w="612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Batch/Serial المجهز والمرسل.</w:t>
            </w:r>
          </w:p>
        </w:tc>
      </w:tr>
      <w:tr>
        <w:tc>
          <w:tcPr>
            <w:tcW w:type="dxa" w:w="39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warehouse_transfer_approvals</w:t>
            </w:r>
          </w:p>
        </w:tc>
        <w:tc>
          <w:tcPr>
            <w:tcW w:type="dxa" w:w="612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قرار إدارة الشركة.</w:t>
            </w:r>
          </w:p>
        </w:tc>
      </w:tr>
      <w:tr>
        <w:tc>
          <w:tcPr>
            <w:tcW w:type="dxa" w:w="39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warehouse_transfer_dispatches</w:t>
            </w:r>
          </w:p>
        </w:tc>
        <w:tc>
          <w:tcPr>
            <w:tcW w:type="dxa" w:w="612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وقت الإرسال والناقل.</w:t>
            </w:r>
          </w:p>
        </w:tc>
      </w:tr>
      <w:tr>
        <w:tc>
          <w:tcPr>
            <w:tcW w:type="dxa" w:w="39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warehouse_transfer_receipts</w:t>
            </w:r>
          </w:p>
        </w:tc>
        <w:tc>
          <w:tcPr>
            <w:tcW w:type="dxa" w:w="612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وقت الاستلام والمستلم.</w:t>
            </w:r>
          </w:p>
        </w:tc>
      </w:tr>
      <w:tr>
        <w:tc>
          <w:tcPr>
            <w:tcW w:type="dxa" w:w="39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warehouse_transfer_receipt_lines</w:t>
            </w:r>
          </w:p>
        </w:tc>
        <w:tc>
          <w:tcPr>
            <w:tcW w:type="dxa" w:w="612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السليم والناقص والتالف.</w:t>
            </w:r>
          </w:p>
        </w:tc>
      </w:tr>
      <w:tr>
        <w:tc>
          <w:tcPr>
            <w:tcW w:type="dxa" w:w="39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inventory_in_transit</w:t>
            </w:r>
          </w:p>
        </w:tc>
        <w:tc>
          <w:tcPr>
            <w:tcW w:type="dxa" w:w="612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الكميات والقيمة قيد النقل.</w:t>
            </w:r>
          </w:p>
        </w:tc>
      </w:tr>
      <w:tr>
        <w:tc>
          <w:tcPr>
            <w:tcW w:type="dxa" w:w="39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transfer_differences</w:t>
            </w:r>
          </w:p>
        </w:tc>
        <w:tc>
          <w:tcPr>
            <w:tcW w:type="dxa" w:w="612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تفاصيل النقص والتلف.</w:t>
            </w:r>
          </w:p>
        </w:tc>
      </w:tr>
      <w:tr>
        <w:tc>
          <w:tcPr>
            <w:tcW w:type="dxa" w:w="39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carrier_claims</w:t>
            </w:r>
          </w:p>
        </w:tc>
        <w:tc>
          <w:tcPr>
            <w:tcW w:type="dxa" w:w="612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قيمة المطالبة وحالتها.</w:t>
            </w:r>
          </w:p>
        </w:tc>
      </w:tr>
      <w:tr>
        <w:tc>
          <w:tcPr>
            <w:tcW w:type="dxa" w:w="39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inventory_reservations</w:t>
            </w:r>
          </w:p>
        </w:tc>
        <w:tc>
          <w:tcPr>
            <w:tcW w:type="dxa" w:w="612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حجز المصدر بعد الاعتماد.</w:t>
            </w:r>
          </w:p>
        </w:tc>
      </w:tr>
      <w:tr>
        <w:tc>
          <w:tcPr>
            <w:tcW w:type="dxa" w:w="39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inventory_movements</w:t>
            </w:r>
          </w:p>
        </w:tc>
        <w:tc>
          <w:tcPr>
            <w:tcW w:type="dxa" w:w="612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TRANSFER_OUT وTRANSFER_IN.</w:t>
            </w:r>
          </w:p>
        </w:tc>
      </w:tr>
      <w:tr>
        <w:tc>
          <w:tcPr>
            <w:tcW w:type="dxa" w:w="39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transfer_status_history</w:t>
            </w:r>
          </w:p>
        </w:tc>
        <w:tc>
          <w:tcPr>
            <w:tcW w:type="dxa" w:w="612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تاريخ الانتقالات.</w:t>
            </w:r>
          </w:p>
        </w:tc>
      </w:tr>
      <w:tr>
        <w:tc>
          <w:tcPr>
            <w:tcW w:type="dxa" w:w="39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activity_logs</w:t>
            </w:r>
          </w:p>
        </w:tc>
        <w:tc>
          <w:tcPr>
            <w:tcW w:type="dxa" w:w="612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سجل التدقيق.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9.1 القيود والفهارس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Check source_warehouse_id &lt;&gt; destination_warehouse_id.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Unique idempotency key لكل approve/dispatch/receive.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Check received_good + shortage + damaged = dispatched.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Unique serial allocation يمنع وجود Serial في تحويلين نشطين.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Index على status وsource/destination وdispatch_date.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Transaction واحدة لكل اعتماد أو إرسال أو استلام.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10. الأثر المحاسبي والمخزني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المرحلة</w:t>
            </w:r>
          </w:p>
        </w:tc>
        <w:tc>
          <w:tcPr>
            <w:tcW w:type="dxa" w:w="720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الأثر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الاعتماد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حجز تشغيلي فقط؛ لا قيد محاسبي.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الإرسال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خفض مخزون المصدر وزيادة مخزون قيد النقل بالقيمة نفسها.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استلام مطابق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خفض قيد النقل وزيادة مخزون الوجهة.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استلام مع فرق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زيادة السليم للوجهة، وتحويل قيمة النقص/التلف إلى مطالبة على الناقل.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تسوية المطالبة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تحصيل نقدي أو خصم أو إعفاء معتمد وقيد مناسب.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11. معايير القبول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الرمز</w:t>
            </w:r>
          </w:p>
        </w:tc>
        <w:tc>
          <w:tcPr>
            <w:tcW w:type="dxa" w:w="7776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معيار القبول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AC-TRF-01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يعتمد التحويل إذا كان المتاح غير كافٍ.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AC-TRF-02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يحجز الرصيد عند موافقة الإدارة.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AC-TRF-03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يظهر الرصيد في الوجهة قبل الاستلام.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AC-TRF-04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يختار المصدر الدفعات والتسلسلات أثناء التجهيز.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AC-TRF-05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يمنع الإلغاء بعد الإرسال.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AC-TRF-06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يمنع الاستلام المرحلي.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AC-TRF-07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يساوي مجموع السليم والنقص والتلف الكمية المرسلة.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AC-TRF-08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ينشئ الفرق مطالبة بالقيمة الصحيحة على الناقل.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AC-TRF-09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يغلق قيد النقل كاملًا عند الاستلام مع فرق.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AC-TRF-10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تتطابق سندات الإرسال والاستلام مع الحركات.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12. حزمة التسليم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4FF"/>
            <w:tcBorders>
              <w:top w:val="single" w:sz="4" w:color="1F5FF2"/>
              <w:left w:val="single" w:sz="4" w:color="1F5FF2"/>
              <w:bottom w:val="single" w:sz="4" w:color="1F5FF2"/>
              <w:right w:val="single" w:sz="4" w:color="1F5FF2"/>
              <w:insideH w:val="single" w:sz="4" w:color="1F5FF2"/>
              <w:insideV w:val="single" w:sz="4" w:color="1F5FF2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5FF2"/>
                <w:sz w:val="20"/>
              </w:rPr>
              <w:t xml:space="preserve">التكامل — </w:t>
            </w:r>
            <w:r>
              <w:rPr>
                <w:rFonts w:ascii="Arial" w:hAnsi="Arial" w:cs="Arial"/>
                <w:b w:val="0"/>
                <w:color w:val="14213D"/>
                <w:sz w:val="20"/>
              </w:rPr>
              <w:t>تستخدم الوثيقة وBPMN الرموز نفسها لتنفيذ NestJS وحركات المخزون والقيود والمستندات المطبوعة.</w:t>
            </w:r>
          </w:p>
        </w:tc>
      </w:tr>
    </w:tbl>
    <w:p>
      <w:pPr>
        <w:spacing w:before="0" w:after="4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M06_Warehouse_Transfers_Specification_AR.docx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M06_Warehouse_Transfers_BPMN.drawio — اثنا عشر مخططًا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5C6473"/>
        <w:sz w:val="16"/>
      </w:rPr>
      <w:t>وثيقة تحليل وتصميم — التحويل بين المخازن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Arial" w:hAnsi="Arial" w:cs="Arial"/>
        <w:b/>
        <w:color w:val="5C6473"/>
        <w:sz w:val="16"/>
      </w:rPr>
      <w:t>INVENTORY SYSTEM  •  M06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21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5FF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421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