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356B"/>
          <w:sz w:val="44"/>
        </w:rPr>
        <w:t>TOUCHLESS ORDER CREATION</w:t>
      </w:r>
    </w:p>
    <w:p>
      <w:pPr>
        <w:jc w:val="center"/>
      </w:pPr>
      <w:r>
        <w:rPr>
          <w:b/>
          <w:color w:val="006DC6"/>
          <w:sz w:val="32"/>
        </w:rPr>
        <w:t>User Acceptance Testing Pack</w:t>
      </w:r>
    </w:p>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D6E8F7"/>
          </w:tcPr>
          <w:p>
            <w:r>
              <w:rPr>
                <w:b w:val="0"/>
                <w:color w:val="404040"/>
                <w:sz w:val="20"/>
              </w:rPr>
              <w:t>Document Type</w:t>
            </w:r>
          </w:p>
        </w:tc>
        <w:tc>
          <w:tcPr>
            <w:tcW w:type="dxa" w:w="5953"/>
          </w:tcPr>
          <w:p>
            <w:r>
              <w:rPr>
                <w:b w:val="0"/>
                <w:color w:val="404040"/>
                <w:sz w:val="20"/>
              </w:rPr>
              <w:t>User Acceptance Testing Pack</w:t>
            </w:r>
          </w:p>
        </w:tc>
      </w:tr>
      <w:tr>
        <w:tc>
          <w:tcPr>
            <w:tcW w:type="dxa" w:w="3118"/>
            <w:shd w:val="clear" w:color="auto" w:fill="D6E8F7"/>
          </w:tcPr>
          <w:p>
            <w:r>
              <w:rPr>
                <w:b w:val="0"/>
                <w:color w:val="404040"/>
                <w:sz w:val="20"/>
              </w:rPr>
              <w:t>Project</w:t>
            </w:r>
          </w:p>
        </w:tc>
        <w:tc>
          <w:tcPr>
            <w:tcW w:type="dxa" w:w="5953"/>
          </w:tcPr>
          <w:p>
            <w:r>
              <w:rPr>
                <w:b w:val="0"/>
                <w:color w:val="404040"/>
                <w:sz w:val="20"/>
              </w:rPr>
              <w:t>Touchless Order Creation — AI Extraction &amp; Mapping Agent</w:t>
            </w:r>
          </w:p>
        </w:tc>
      </w:tr>
      <w:tr>
        <w:tc>
          <w:tcPr>
            <w:tcW w:type="dxa" w:w="3118"/>
            <w:shd w:val="clear" w:color="auto" w:fill="D6E8F7"/>
          </w:tcPr>
          <w:p>
            <w:r>
              <w:rPr>
                <w:b w:val="0"/>
                <w:color w:val="404040"/>
                <w:sz w:val="20"/>
              </w:rPr>
              <w:t>Version</w:t>
            </w:r>
          </w:p>
        </w:tc>
        <w:tc>
          <w:tcPr>
            <w:tcW w:type="dxa" w:w="5953"/>
          </w:tcPr>
          <w:p>
            <w:r>
              <w:rPr>
                <w:b w:val="0"/>
                <w:color w:val="404040"/>
                <w:sz w:val="20"/>
              </w:rPr>
              <w:t>1.0  |  Initial Release</w:t>
            </w:r>
          </w:p>
        </w:tc>
      </w:tr>
      <w:tr>
        <w:tc>
          <w:tcPr>
            <w:tcW w:type="dxa" w:w="3118"/>
            <w:shd w:val="clear" w:color="auto" w:fill="D6E8F7"/>
          </w:tcPr>
          <w:p>
            <w:r>
              <w:rPr>
                <w:b w:val="0"/>
                <w:color w:val="404040"/>
                <w:sz w:val="20"/>
              </w:rPr>
              <w:t>Classification</w:t>
            </w:r>
          </w:p>
        </w:tc>
        <w:tc>
          <w:tcPr>
            <w:tcW w:type="dxa" w:w="5953"/>
          </w:tcPr>
          <w:p>
            <w:r>
              <w:rPr>
                <w:b w:val="0"/>
                <w:color w:val="404040"/>
                <w:sz w:val="20"/>
              </w:rPr>
              <w:t>Confidential — For Client Use Only</w:t>
            </w:r>
          </w:p>
        </w:tc>
      </w:tr>
      <w:tr>
        <w:tc>
          <w:tcPr>
            <w:tcW w:type="dxa" w:w="3118"/>
            <w:shd w:val="clear" w:color="auto" w:fill="D6E8F7"/>
          </w:tcPr>
          <w:p>
            <w:r>
              <w:rPr>
                <w:b w:val="0"/>
                <w:color w:val="404040"/>
                <w:sz w:val="20"/>
              </w:rPr>
              <w:t>Prepared For</w:t>
            </w:r>
          </w:p>
        </w:tc>
        <w:tc>
          <w:tcPr>
            <w:tcW w:type="dxa" w:w="5953"/>
          </w:tcPr>
          <w:p>
            <w:r>
              <w:rPr>
                <w:b w:val="0"/>
                <w:color w:val="404040"/>
                <w:sz w:val="20"/>
              </w:rPr>
              <w:t>Envalior Client Workshop — Joint Sign-Off</w:t>
            </w:r>
          </w:p>
        </w:tc>
      </w:tr>
      <w:tr>
        <w:tc>
          <w:tcPr>
            <w:tcW w:type="dxa" w:w="3118"/>
            <w:shd w:val="clear" w:color="auto" w:fill="D6E8F7"/>
          </w:tcPr>
          <w:p>
            <w:r>
              <w:rPr>
                <w:b w:val="0"/>
                <w:color w:val="404040"/>
                <w:sz w:val="20"/>
              </w:rPr>
              <w:t>Date</w:t>
            </w:r>
          </w:p>
        </w:tc>
        <w:tc>
          <w:tcPr>
            <w:tcW w:type="dxa" w:w="5953"/>
          </w:tcPr>
          <w:p>
            <w:r>
              <w:rPr>
                <w:b w:val="0"/>
                <w:color w:val="404040"/>
                <w:sz w:val="20"/>
              </w:rPr>
              <w:t>June 2026</w:t>
            </w:r>
          </w:p>
        </w:tc>
      </w:tr>
    </w:tbl>
    <w:p>
      <w:r>
        <w:br w:type="page"/>
      </w:r>
    </w:p>
    <w:p>
      <w:pPr>
        <w:pStyle w:val="Heading1"/>
        <w:jc w:val="left"/>
      </w:pPr>
      <w:r>
        <w:rPr>
          <w:b/>
          <w:color w:val="00356B"/>
        </w:rPr>
        <w:t>1.  Purpose &amp; Scope</w:t>
      </w:r>
    </w:p>
    <w:p>
      <w:pPr>
        <w:spacing w:before="0" w:after="80"/>
      </w:pPr>
      <w:r>
        <w:rPr>
          <w:b w:val="0"/>
          <w:i w:val="0"/>
          <w:sz w:val="20"/>
        </w:rPr>
        <w:t>This UAT Pack is the formal acceptance testing document for the Touchless Order Creation AI Agent. It enables the client team to verify that the system correctly processes inbound Purchase Orders (POs) received by email, extracts all required fields, performs intelligent mapping, and either creates a Sales Order in SAP automatically or routes an exception to the Customer Service (CS) team for manual action.</w:t>
      </w:r>
    </w:p>
    <w:p/>
    <w:p>
      <w:pPr>
        <w:pStyle w:val="Heading2"/>
        <w:jc w:val="left"/>
      </w:pPr>
      <w:r>
        <w:rPr>
          <w:b/>
          <w:color w:val="00356B"/>
        </w:rPr>
        <w:t>In Scope</w:t>
      </w:r>
    </w:p>
    <w:p>
      <w:pPr>
        <w:pStyle w:val="ListBullet"/>
        <w:spacing w:after="40"/>
      </w:pPr>
      <w:r>
        <w:rPr>
          <w:sz w:val="20"/>
        </w:rPr>
        <w:t>Automated email polling and PDF attachment ingestion via Microsoft Graph API</w:t>
      </w:r>
    </w:p>
    <w:p>
      <w:pPr>
        <w:pStyle w:val="ListBullet"/>
        <w:spacing w:after="40"/>
      </w:pPr>
      <w:r>
        <w:rPr>
          <w:sz w:val="20"/>
        </w:rPr>
        <w:t>PO data extraction using OCR (PaddleOCR) and AI (Claude 4 Sonnet / Qwen 2.5 fallback)</w:t>
      </w:r>
    </w:p>
    <w:p>
      <w:pPr>
        <w:pStyle w:val="ListBullet"/>
        <w:spacing w:after="40"/>
      </w:pPr>
      <w:r>
        <w:rPr>
          <w:sz w:val="20"/>
        </w:rPr>
        <w:t>Fresh master data download from Celonis at the start of each processing run (Test MP + Sheet 3)</w:t>
      </w:r>
    </w:p>
    <w:p>
      <w:pPr>
        <w:pStyle w:val="ListBullet"/>
        <w:spacing w:after="40"/>
      </w:pPr>
      <w:r>
        <w:rPr>
          <w:sz w:val="20"/>
        </w:rPr>
        <w:t>Decision Tree-based Order Type determination (TA / KB / OR) from transaction history</w:t>
      </w:r>
    </w:p>
    <w:p>
      <w:pPr>
        <w:pStyle w:val="ListBullet"/>
        <w:spacing w:after="40"/>
      </w:pPr>
      <w:r>
        <w:rPr>
          <w:sz w:val="20"/>
        </w:rPr>
        <w:t>Fuzzy matching of Sold-To and Ship-To parties against SAP master data</w:t>
      </w:r>
    </w:p>
    <w:p>
      <w:pPr>
        <w:pStyle w:val="ListBullet"/>
        <w:spacing w:after="40"/>
      </w:pPr>
      <w:r>
        <w:rPr>
          <w:sz w:val="20"/>
        </w:rPr>
        <w:t>Customer Material Number → Internal SAP Material Number cross-reference</w:t>
      </w:r>
    </w:p>
    <w:p>
      <w:pPr>
        <w:pStyle w:val="ListBullet"/>
        <w:spacing w:after="40"/>
      </w:pPr>
      <w:r>
        <w:rPr>
          <w:sz w:val="20"/>
        </w:rPr>
        <w:t>SAP-ready Sales Order JSON generation and push to Celonis</w:t>
      </w:r>
    </w:p>
    <w:p>
      <w:pPr>
        <w:pStyle w:val="ListBullet"/>
        <w:spacing w:after="40"/>
      </w:pPr>
      <w:r>
        <w:rPr>
          <w:sz w:val="20"/>
        </w:rPr>
        <w:t>Stage 1 Exception routing (mapping/OCR failure — before Celonis push)</w:t>
      </w:r>
    </w:p>
    <w:p>
      <w:pPr>
        <w:pStyle w:val="ListBullet"/>
        <w:spacing w:after="40"/>
      </w:pPr>
      <w:r>
        <w:rPr>
          <w:sz w:val="20"/>
        </w:rPr>
        <w:t>Stage 2 Exception routing (SAP Action Flow failure — after Celonis push)</w:t>
      </w:r>
    </w:p>
    <w:p>
      <w:pPr>
        <w:pStyle w:val="ListBullet"/>
        <w:spacing w:after="40"/>
      </w:pPr>
      <w:r>
        <w:rPr>
          <w:sz w:val="20"/>
        </w:rPr>
        <w:t>Robona RPA audit linkage for successfully created Sales Orders</w:t>
      </w:r>
    </w:p>
    <w:p/>
    <w:p>
      <w:pPr>
        <w:pStyle w:val="Heading2"/>
        <w:jc w:val="left"/>
      </w:pPr>
      <w:r>
        <w:rPr>
          <w:b/>
          <w:color w:val="00356B"/>
        </w:rPr>
        <w:t>Out of Scope</w:t>
      </w:r>
    </w:p>
    <w:p>
      <w:pPr>
        <w:pStyle w:val="ListBullet"/>
        <w:spacing w:after="40"/>
      </w:pPr>
      <w:r>
        <w:rPr>
          <w:sz w:val="20"/>
        </w:rPr>
        <w:t>SAP Sales Order creation mechanics (handled by Celonis Action Flow)</w:t>
      </w:r>
    </w:p>
    <w:p>
      <w:pPr>
        <w:pStyle w:val="ListBullet"/>
        <w:spacing w:after="40"/>
      </w:pPr>
      <w:r>
        <w:rPr>
          <w:sz w:val="20"/>
        </w:rPr>
        <w:t>Celonis configuration and maintenance</w:t>
      </w:r>
    </w:p>
    <w:p>
      <w:pPr>
        <w:pStyle w:val="ListBullet"/>
        <w:spacing w:after="40"/>
      </w:pPr>
      <w:r>
        <w:rPr>
          <w:sz w:val="20"/>
        </w:rPr>
        <w:t>ERP financial settlement or invoicing</w:t>
      </w:r>
    </w:p>
    <w:p>
      <w:pPr>
        <w:pStyle w:val="ListBullet"/>
        <w:spacing w:after="40"/>
      </w:pPr>
      <w:r>
        <w:rPr>
          <w:sz w:val="20"/>
        </w:rPr>
        <w:t>EDI integration (separate channel)</w:t>
      </w:r>
    </w:p>
    <w:p>
      <w:r>
        <w:br w:type="page"/>
      </w:r>
    </w:p>
    <w:p>
      <w:pPr>
        <w:pStyle w:val="Heading1"/>
        <w:jc w:val="left"/>
      </w:pPr>
      <w:r>
        <w:rPr>
          <w:b/>
          <w:color w:val="00356B"/>
        </w:rPr>
        <w:t>2.  Pipeline Overview (How the System Works)</w:t>
      </w:r>
    </w:p>
    <w:p>
      <w:pPr>
        <w:spacing w:before="0" w:after="80"/>
      </w:pPr>
      <w:r>
        <w:rPr>
          <w:b w:val="0"/>
          <w:i w:val="0"/>
          <w:sz w:val="20"/>
        </w:rPr>
        <w:t>Every processing run executes the following steps in sequence. Understanding this flow is essential for UAT — each test scenario maps to one or more steps below.</w:t>
      </w:r>
    </w:p>
    <w:p/>
    <w:tbl>
      <w:tblPr>
        <w:tblStyle w:val="TableGrid"/>
        <w:tblW w:type="auto" w:w="0"/>
        <w:tblLook w:firstColumn="1" w:firstRow="1" w:lastColumn="0" w:lastRow="0" w:noHBand="0" w:noVBand="1" w:val="04A0"/>
      </w:tblPr>
      <w:tblGrid>
        <w:gridCol w:w="3135"/>
        <w:gridCol w:w="3135"/>
        <w:gridCol w:w="3135"/>
      </w:tblGrid>
      <w:tr>
        <w:tc>
          <w:tcPr>
            <w:tcW w:type="dxa" w:w="1134"/>
            <w:shd w:val="clear" w:color="auto" w:fill="00356B"/>
          </w:tcPr>
          <w:p>
            <w:pPr>
              <w:jc w:val="center"/>
            </w:pPr>
            <w:r/>
            <w:r>
              <w:rPr>
                <w:b/>
                <w:color w:val="FFFFFF"/>
                <w:sz w:val="18"/>
              </w:rPr>
              <w:t>Step</w:t>
            </w:r>
          </w:p>
        </w:tc>
        <w:tc>
          <w:tcPr>
            <w:tcW w:type="dxa" w:w="2551"/>
            <w:shd w:val="clear" w:color="auto" w:fill="00356B"/>
          </w:tcPr>
          <w:p>
            <w:pPr>
              <w:jc w:val="center"/>
            </w:pPr>
            <w:r/>
            <w:r>
              <w:rPr>
                <w:b/>
                <w:color w:val="FFFFFF"/>
                <w:sz w:val="18"/>
              </w:rPr>
              <w:t>Name</w:t>
            </w:r>
          </w:p>
        </w:tc>
        <w:tc>
          <w:tcPr>
            <w:tcW w:type="dxa" w:w="5386"/>
            <w:shd w:val="clear" w:color="auto" w:fill="00356B"/>
          </w:tcPr>
          <w:p>
            <w:pPr>
              <w:jc w:val="center"/>
            </w:pPr>
            <w:r/>
            <w:r>
              <w:rPr>
                <w:b/>
                <w:color w:val="FFFFFF"/>
                <w:sz w:val="18"/>
              </w:rPr>
              <w:t>Description</w:t>
            </w:r>
          </w:p>
        </w:tc>
      </w:tr>
      <w:tr>
        <w:tc>
          <w:tcPr>
            <w:tcW w:type="dxa" w:w="1134"/>
            <w:shd w:val="clear" w:color="auto" w:fill="F2F2F2"/>
          </w:tcPr>
          <w:p>
            <w:r>
              <w:rPr>
                <w:b w:val="0"/>
                <w:sz w:val="18"/>
              </w:rPr>
              <w:t>Step -1</w:t>
            </w:r>
          </w:p>
        </w:tc>
        <w:tc>
          <w:tcPr>
            <w:tcW w:type="dxa" w:w="2551"/>
            <w:shd w:val="clear" w:color="auto" w:fill="F2F2F2"/>
          </w:tcPr>
          <w:p>
            <w:r>
              <w:rPr>
                <w:b w:val="0"/>
                <w:sz w:val="18"/>
              </w:rPr>
              <w:t>Download Fresh Master Data from Celonis</w:t>
            </w:r>
          </w:p>
        </w:tc>
        <w:tc>
          <w:tcPr>
            <w:tcW w:type="dxa" w:w="5386"/>
            <w:shd w:val="clear" w:color="auto" w:fill="F2F2F2"/>
          </w:tcPr>
          <w:p>
            <w:r>
              <w:rPr>
                <w:b w:val="0"/>
                <w:sz w:val="18"/>
              </w:rPr>
              <w:t>The pipeline always begins by fetching the latest customer and order-history data directly from Celonis (Test MP: Customer Master / Sheet 3: Historical Order Mapping). This ensures all mapping uses up-to-date SAP data. The Vendor Knowledge Base (knowledge_base.db) is then rebuilt from this fresh data.</w:t>
            </w:r>
          </w:p>
        </w:tc>
      </w:tr>
      <w:tr>
        <w:tc>
          <w:tcPr>
            <w:tcW w:type="dxa" w:w="1134"/>
            <w:shd w:val="clear" w:color="auto" w:fill="FFFFFF"/>
          </w:tcPr>
          <w:p>
            <w:r>
              <w:rPr>
                <w:b w:val="0"/>
                <w:sz w:val="18"/>
              </w:rPr>
              <w:t>Step 0</w:t>
            </w:r>
          </w:p>
        </w:tc>
        <w:tc>
          <w:tcPr>
            <w:tcW w:type="dxa" w:w="2551"/>
            <w:shd w:val="clear" w:color="auto" w:fill="FFFFFF"/>
          </w:tcPr>
          <w:p>
            <w:r>
              <w:rPr>
                <w:b w:val="0"/>
                <w:sz w:val="18"/>
              </w:rPr>
              <w:t>Poll Outlook for New PO Emails</w:t>
            </w:r>
          </w:p>
        </w:tc>
        <w:tc>
          <w:tcPr>
            <w:tcW w:type="dxa" w:w="5386"/>
            <w:shd w:val="clear" w:color="auto" w:fill="FFFFFF"/>
          </w:tcPr>
          <w:p>
            <w:r>
              <w:rPr>
                <w:b w:val="0"/>
                <w:sz w:val="18"/>
              </w:rPr>
              <w:t>The system polls the shared mailbox (salesorders@envalior.com) via Microsoft Graph API and retrieves unread emails with PDF attachments. Each qualifying email is moved to the "Unprocessed POs" Outlook folder and its PDF is staged for processing.</w:t>
            </w:r>
          </w:p>
        </w:tc>
      </w:tr>
      <w:tr>
        <w:tc>
          <w:tcPr>
            <w:tcW w:type="dxa" w:w="1134"/>
            <w:shd w:val="clear" w:color="auto" w:fill="F2F2F2"/>
          </w:tcPr>
          <w:p>
            <w:r>
              <w:rPr>
                <w:b w:val="0"/>
                <w:sz w:val="18"/>
              </w:rPr>
              <w:t>Step 1</w:t>
            </w:r>
          </w:p>
        </w:tc>
        <w:tc>
          <w:tcPr>
            <w:tcW w:type="dxa" w:w="2551"/>
            <w:shd w:val="clear" w:color="auto" w:fill="F2F2F2"/>
          </w:tcPr>
          <w:p>
            <w:r>
              <w:rPr>
                <w:b w:val="0"/>
                <w:sz w:val="18"/>
              </w:rPr>
              <w:t>OCR Extraction (PaddleOCR)</w:t>
            </w:r>
          </w:p>
        </w:tc>
        <w:tc>
          <w:tcPr>
            <w:tcW w:type="dxa" w:w="5386"/>
            <w:shd w:val="clear" w:color="auto" w:fill="F2F2F2"/>
          </w:tcPr>
          <w:p>
            <w:r>
              <w:rPr>
                <w:b w:val="0"/>
                <w:sz w:val="18"/>
              </w:rPr>
              <w:t>The PDF attachment is passed through PaddleOCR to produce a full plain-text version of the Purchase Order document.</w:t>
            </w:r>
          </w:p>
        </w:tc>
      </w:tr>
      <w:tr>
        <w:tc>
          <w:tcPr>
            <w:tcW w:type="dxa" w:w="1134"/>
            <w:shd w:val="clear" w:color="auto" w:fill="FFFFFF"/>
          </w:tcPr>
          <w:p>
            <w:r>
              <w:rPr>
                <w:b w:val="0"/>
                <w:sz w:val="18"/>
              </w:rPr>
              <w:t>Step 2a</w:t>
            </w:r>
          </w:p>
        </w:tc>
        <w:tc>
          <w:tcPr>
            <w:tcW w:type="dxa" w:w="2551"/>
            <w:shd w:val="clear" w:color="auto" w:fill="FFFFFF"/>
          </w:tcPr>
          <w:p>
            <w:r>
              <w:rPr>
                <w:b w:val="0"/>
                <w:sz w:val="18"/>
              </w:rPr>
              <w:t>AI-Powered Field Extraction (Claude 4 Sonnet / Qwen 2.5 Fallback)</w:t>
            </w:r>
          </w:p>
        </w:tc>
        <w:tc>
          <w:tcPr>
            <w:tcW w:type="dxa" w:w="5386"/>
            <w:shd w:val="clear" w:color="auto" w:fill="FFFFFF"/>
          </w:tcPr>
          <w:p>
            <w:r>
              <w:rPr>
                <w:b w:val="0"/>
                <w:sz w:val="18"/>
              </w:rPr>
              <w:t>The OCR text is sent to the Claude 4 Sonnet model (Anthropic API). Claude extracts key PO fields into a structured JSON: Vendor/Customer name, PO Number, Sold-To address, Ship-To address, and all line items (material code, quantity, unit of measure, requested delivery date). If Claude is unavailable, the locally hosted Qwen 2.5 3B model is used as fallback.</w:t>
            </w:r>
          </w:p>
        </w:tc>
      </w:tr>
      <w:tr>
        <w:tc>
          <w:tcPr>
            <w:tcW w:type="dxa" w:w="1134"/>
            <w:shd w:val="clear" w:color="auto" w:fill="F2F2F2"/>
          </w:tcPr>
          <w:p>
            <w:r>
              <w:rPr>
                <w:b w:val="0"/>
                <w:sz w:val="18"/>
              </w:rPr>
              <w:t>Step 2b</w:t>
            </w:r>
          </w:p>
        </w:tc>
        <w:tc>
          <w:tcPr>
            <w:tcW w:type="dxa" w:w="2551"/>
            <w:shd w:val="clear" w:color="auto" w:fill="F2F2F2"/>
          </w:tcPr>
          <w:p>
            <w:r>
              <w:rPr>
                <w:b w:val="0"/>
                <w:sz w:val="18"/>
              </w:rPr>
              <w:t>Decision Tree — Order Type Mapping</w:t>
            </w:r>
          </w:p>
        </w:tc>
        <w:tc>
          <w:tcPr>
            <w:tcW w:type="dxa" w:w="5386"/>
            <w:shd w:val="clear" w:color="auto" w:fill="F2F2F2"/>
          </w:tcPr>
          <w:p>
            <w:r>
              <w:rPr>
                <w:b w:val="0"/>
                <w:sz w:val="18"/>
              </w:rPr>
              <w:t>The system looks up the customer and material combination in Sheet 3 (historical order history from Celonis). The most frequent Order Type for that combination (TA = Standard, KB = Consignment) is selected. If no history exists, the LLM infers the type from PO keywords, with OR as the final fallback.</w:t>
            </w:r>
          </w:p>
        </w:tc>
      </w:tr>
      <w:tr>
        <w:tc>
          <w:tcPr>
            <w:tcW w:type="dxa" w:w="1134"/>
            <w:shd w:val="clear" w:color="auto" w:fill="FFFFFF"/>
          </w:tcPr>
          <w:p>
            <w:r>
              <w:rPr>
                <w:b w:val="0"/>
                <w:sz w:val="18"/>
              </w:rPr>
              <w:t>Step 3</w:t>
            </w:r>
          </w:p>
        </w:tc>
        <w:tc>
          <w:tcPr>
            <w:tcW w:type="dxa" w:w="2551"/>
            <w:shd w:val="clear" w:color="auto" w:fill="FFFFFF"/>
          </w:tcPr>
          <w:p>
            <w:r>
              <w:rPr>
                <w:b w:val="0"/>
                <w:sz w:val="18"/>
              </w:rPr>
              <w:t>Enrichment &amp; Fuzzy Matching</w:t>
            </w:r>
          </w:p>
        </w:tc>
        <w:tc>
          <w:tcPr>
            <w:tcW w:type="dxa" w:w="5386"/>
            <w:shd w:val="clear" w:color="auto" w:fill="FFFFFF"/>
          </w:tcPr>
          <w:p>
            <w:r>
              <w:rPr>
                <w:b w:val="0"/>
                <w:sz w:val="18"/>
              </w:rPr>
              <w:t>The extracted JSON is enriched: (a) Sold-To ID resolved via fuzzy match against KNA1 in Test MP; (b) Ship-To ID resolved via postcode-aware fuzzy match against KNVP; (c) Customer Material Number cross-referenced to Internal SAP Material via KNMT. SO Grouping Rules (Rule X or O) are applied to split line items.</w:t>
            </w:r>
          </w:p>
        </w:tc>
      </w:tr>
      <w:tr>
        <w:tc>
          <w:tcPr>
            <w:tcW w:type="dxa" w:w="1134"/>
            <w:shd w:val="clear" w:color="auto" w:fill="FCE4E4"/>
          </w:tcPr>
          <w:p>
            <w:r>
              <w:rPr>
                <w:b w:val="0"/>
                <w:sz w:val="18"/>
              </w:rPr>
              <w:t>⚠ Stage 1</w:t>
              <w:br/>
              <w:t>Exception</w:t>
            </w:r>
          </w:p>
        </w:tc>
        <w:tc>
          <w:tcPr>
            <w:tcW w:type="dxa" w:w="2551"/>
            <w:shd w:val="clear" w:color="auto" w:fill="FCE4E4"/>
          </w:tcPr>
          <w:p>
            <w:r>
              <w:rPr>
                <w:b w:val="0"/>
                <w:sz w:val="18"/>
              </w:rPr>
              <w:t>Mapping/OCR Failure — CS Exception Email</w:t>
            </w:r>
          </w:p>
        </w:tc>
        <w:tc>
          <w:tcPr>
            <w:tcW w:type="dxa" w:w="5386"/>
            <w:shd w:val="clear" w:color="auto" w:fill="FCE4E4"/>
          </w:tcPr>
          <w:p>
            <w:r>
              <w:rPr>
                <w:b w:val="0"/>
                <w:sz w:val="18"/>
              </w:rPr>
              <w:t>If any critical field cannot be resolved (unknown customer, missing material, OCR failure), the pipeline triggers a Stage 1 Exception BEFORE pushing to Celonis: (1) The original PO email is moved to "Exception POs" in Outlook. (2) A structured HTML exception email is sent to the regional CS team showing extracted Sold-To/Ship-To details, a color-coded status table, missing materials list, and a recommended action (e.g. "Update Customer Master Data in SAP").</w:t>
            </w:r>
          </w:p>
        </w:tc>
      </w:tr>
      <w:tr>
        <w:tc>
          <w:tcPr>
            <w:tcW w:type="dxa" w:w="1134"/>
            <w:shd w:val="clear" w:color="auto" w:fill="FFFFFF"/>
          </w:tcPr>
          <w:p>
            <w:r>
              <w:rPr>
                <w:b w:val="0"/>
                <w:sz w:val="18"/>
              </w:rPr>
              <w:t>Step 4</w:t>
            </w:r>
          </w:p>
        </w:tc>
        <w:tc>
          <w:tcPr>
            <w:tcW w:type="dxa" w:w="2551"/>
            <w:shd w:val="clear" w:color="auto" w:fill="FFFFFF"/>
          </w:tcPr>
          <w:p>
            <w:r>
              <w:rPr>
                <w:b w:val="0"/>
                <w:sz w:val="18"/>
              </w:rPr>
              <w:t>Push SAP-Ready JSON → Celonis</w:t>
            </w:r>
          </w:p>
        </w:tc>
        <w:tc>
          <w:tcPr>
            <w:tcW w:type="dxa" w:w="5386"/>
            <w:shd w:val="clear" w:color="auto" w:fill="FFFFFF"/>
          </w:tcPr>
          <w:p>
            <w:r>
              <w:rPr>
                <w:b w:val="0"/>
                <w:sz w:val="18"/>
              </w:rPr>
              <w:t>On successful mapping, the enriched Sales Order JSON is pushed to the PO_EXTRACTION_RESULTS table in Celonis. The original PO email is moved to the "Processed POs" Outlook folder.</w:t>
            </w:r>
          </w:p>
        </w:tc>
      </w:tr>
      <w:tr>
        <w:tc>
          <w:tcPr>
            <w:tcW w:type="dxa" w:w="1134"/>
            <w:shd w:val="clear" w:color="auto" w:fill="F2F2F2"/>
          </w:tcPr>
          <w:p>
            <w:r>
              <w:rPr>
                <w:b w:val="0"/>
                <w:sz w:val="18"/>
              </w:rPr>
              <w:t>Step 5</w:t>
            </w:r>
          </w:p>
        </w:tc>
        <w:tc>
          <w:tcPr>
            <w:tcW w:type="dxa" w:w="2551"/>
            <w:shd w:val="clear" w:color="auto" w:fill="F2F2F2"/>
          </w:tcPr>
          <w:p>
            <w:r>
              <w:rPr>
                <w:b w:val="0"/>
                <w:sz w:val="18"/>
              </w:rPr>
              <w:t>Celonis Action Flow → SAP SO Creation</w:t>
            </w:r>
          </w:p>
        </w:tc>
        <w:tc>
          <w:tcPr>
            <w:tcW w:type="dxa" w:w="5386"/>
            <w:shd w:val="clear" w:color="auto" w:fill="F2F2F2"/>
          </w:tcPr>
          <w:p>
            <w:r>
              <w:rPr>
                <w:b w:val="0"/>
                <w:sz w:val="18"/>
              </w:rPr>
              <w:t>The Celonis Action Flow is triggered by the new data in PO_EXTRACTION_RESULTS. It validates the Sales Order against SAP business rules and creates the Sales Order in SAP EPP.</w:t>
            </w:r>
          </w:p>
        </w:tc>
      </w:tr>
      <w:tr>
        <w:tc>
          <w:tcPr>
            <w:tcW w:type="dxa" w:w="1134"/>
            <w:shd w:val="clear" w:color="auto" w:fill="D6F0D6"/>
          </w:tcPr>
          <w:p>
            <w:r>
              <w:rPr>
                <w:b w:val="0"/>
                <w:sz w:val="18"/>
              </w:rPr>
              <w:t>✅ Happy</w:t>
              <w:br/>
              <w:t>Path</w:t>
            </w:r>
          </w:p>
        </w:tc>
        <w:tc>
          <w:tcPr>
            <w:tcW w:type="dxa" w:w="2551"/>
            <w:shd w:val="clear" w:color="auto" w:fill="D6F0D6"/>
          </w:tcPr>
          <w:p>
            <w:r>
              <w:rPr>
                <w:b w:val="0"/>
                <w:sz w:val="18"/>
              </w:rPr>
              <w:t>Robona RPA Audit Notification</w:t>
            </w:r>
          </w:p>
        </w:tc>
        <w:tc>
          <w:tcPr>
            <w:tcW w:type="dxa" w:w="5386"/>
            <w:shd w:val="clear" w:color="auto" w:fill="D6F0D6"/>
          </w:tcPr>
          <w:p>
            <w:r>
              <w:rPr>
                <w:b w:val="0"/>
                <w:sz w:val="18"/>
              </w:rPr>
              <w:t>When Celonis confirms the SO was created successfully in SAP with no blocks, run_celonis_feedback.py sends a structured email to the Robona RPA service mailbox. Subject: "[Original PO Subject] SO# [SAP SO Number]". Robona RPA then retrieves the original email from the Archive folder and links it to the SAP Sales Order for compliance auditing.</w:t>
            </w:r>
          </w:p>
        </w:tc>
      </w:tr>
      <w:tr>
        <w:tc>
          <w:tcPr>
            <w:tcW w:type="dxa" w:w="1134"/>
            <w:shd w:val="clear" w:color="auto" w:fill="FCE4E4"/>
          </w:tcPr>
          <w:p>
            <w:r>
              <w:rPr>
                <w:b w:val="0"/>
                <w:sz w:val="18"/>
              </w:rPr>
              <w:t>⚠ Stage 2</w:t>
              <w:br/>
              <w:t>Exception</w:t>
            </w:r>
          </w:p>
        </w:tc>
        <w:tc>
          <w:tcPr>
            <w:tcW w:type="dxa" w:w="2551"/>
            <w:shd w:val="clear" w:color="auto" w:fill="FCE4E4"/>
          </w:tcPr>
          <w:p>
            <w:r>
              <w:rPr>
                <w:b w:val="0"/>
                <w:sz w:val="18"/>
              </w:rPr>
              <w:t>Action Flow Failure — CS Escalation Email</w:t>
            </w:r>
          </w:p>
        </w:tc>
        <w:tc>
          <w:tcPr>
            <w:tcW w:type="dxa" w:w="5386"/>
            <w:shd w:val="clear" w:color="auto" w:fill="FCE4E4"/>
          </w:tcPr>
          <w:p>
            <w:r>
              <w:rPr>
                <w:b w:val="0"/>
                <w:sz w:val="18"/>
              </w:rPr>
              <w:t>If the Celonis Action Flow fails (e.g. credit block, SAP validation error, API timeout), a Stage 2 Exception email is sent to the CS team. The email is moved to "Exception POs" in Outlook for manual SAP entry or block release.</w:t>
            </w:r>
          </w:p>
        </w:tc>
      </w:tr>
    </w:tbl>
    <w:p>
      <w:r>
        <w:br w:type="page"/>
      </w:r>
    </w:p>
    <w:p>
      <w:pPr>
        <w:pStyle w:val="Heading1"/>
        <w:jc w:val="left"/>
      </w:pPr>
      <w:r>
        <w:rPr>
          <w:b/>
          <w:color w:val="00356B"/>
        </w:rPr>
        <w:t>3.  UAT Pre-Conditions</w:t>
      </w:r>
    </w:p>
    <w:p>
      <w:pPr>
        <w:spacing w:before="0" w:after="80"/>
      </w:pPr>
      <w:r>
        <w:rPr>
          <w:b w:val="0"/>
          <w:i w:val="0"/>
          <w:sz w:val="20"/>
        </w:rPr>
        <w:t>The following must be confirmed before UAT begins:</w:t>
      </w:r>
    </w:p>
    <w:p/>
    <w:tbl>
      <w:tblPr>
        <w:tblStyle w:val="TableGrid"/>
        <w:tblW w:type="auto" w:w="0"/>
        <w:tblLook w:firstColumn="1" w:firstRow="1" w:lastColumn="0" w:lastRow="0" w:noHBand="0" w:noVBand="1" w:val="04A0"/>
      </w:tblPr>
      <w:tblGrid>
        <w:gridCol w:w="3135"/>
        <w:gridCol w:w="3135"/>
        <w:gridCol w:w="3135"/>
      </w:tblGrid>
      <w:tr>
        <w:tc>
          <w:tcPr>
            <w:tcW w:type="dxa" w:w="567"/>
            <w:shd w:val="clear" w:color="auto" w:fill="00356B"/>
          </w:tcPr>
          <w:p>
            <w:pPr>
              <w:jc w:val="center"/>
            </w:pPr>
            <w:r/>
            <w:r>
              <w:rPr>
                <w:b/>
                <w:color w:val="FFFFFF"/>
                <w:sz w:val="18"/>
              </w:rPr>
              <w:t>#</w:t>
            </w:r>
          </w:p>
        </w:tc>
        <w:tc>
          <w:tcPr>
            <w:tcW w:type="dxa" w:w="5669"/>
            <w:shd w:val="clear" w:color="auto" w:fill="00356B"/>
          </w:tcPr>
          <w:p>
            <w:pPr>
              <w:jc w:val="center"/>
            </w:pPr>
            <w:r/>
            <w:r>
              <w:rPr>
                <w:b/>
                <w:color w:val="FFFFFF"/>
                <w:sz w:val="18"/>
              </w:rPr>
              <w:t>Pre-Condition</w:t>
            </w:r>
          </w:p>
        </w:tc>
        <w:tc>
          <w:tcPr>
            <w:tcW w:type="dxa" w:w="1701"/>
            <w:shd w:val="clear" w:color="auto" w:fill="00356B"/>
          </w:tcPr>
          <w:p>
            <w:pPr>
              <w:jc w:val="center"/>
            </w:pPr>
            <w:r/>
            <w:r>
              <w:rPr>
                <w:b/>
                <w:color w:val="FFFFFF"/>
                <w:sz w:val="18"/>
              </w:rPr>
              <w:t>Confirmed?</w:t>
            </w:r>
          </w:p>
        </w:tc>
      </w:tr>
      <w:tr>
        <w:tc>
          <w:tcPr>
            <w:tcW w:type="dxa" w:w="567"/>
            <w:shd w:val="clear" w:color="auto" w:fill="D6E8F7"/>
          </w:tcPr>
          <w:p>
            <w:r>
              <w:rPr>
                <w:sz w:val="18"/>
              </w:rPr>
              <w:t>PC-01</w:t>
            </w:r>
          </w:p>
        </w:tc>
        <w:tc>
          <w:tcPr>
            <w:tcW w:type="dxa" w:w="5669"/>
          </w:tcPr>
          <w:p>
            <w:r>
              <w:rPr>
                <w:sz w:val="18"/>
              </w:rPr>
              <w:t>Access to the Envalior shared mailbox (salesorders@envalior.com) is configured and live.</w:t>
            </w:r>
          </w:p>
        </w:tc>
        <w:tc>
          <w:tcPr>
            <w:tcW w:type="dxa" w:w="1701"/>
          </w:tcPr>
          <w:p>
            <w:r>
              <w:rPr>
                <w:sz w:val="18"/>
              </w:rPr>
              <w:t>☐  Yes</w:t>
              <w:br/>
              <w:t>☐  No</w:t>
            </w:r>
          </w:p>
        </w:tc>
      </w:tr>
      <w:tr>
        <w:tc>
          <w:tcPr>
            <w:tcW w:type="dxa" w:w="567"/>
            <w:shd w:val="clear" w:color="auto" w:fill="D6E8F7"/>
          </w:tcPr>
          <w:p>
            <w:r>
              <w:rPr>
                <w:sz w:val="18"/>
              </w:rPr>
              <w:t>PC-02</w:t>
            </w:r>
          </w:p>
        </w:tc>
        <w:tc>
          <w:tcPr>
            <w:tcW w:type="dxa" w:w="5669"/>
          </w:tcPr>
          <w:p>
            <w:r>
              <w:rPr>
                <w:sz w:val="18"/>
              </w:rPr>
              <w:t>Celonis sandbox environment (envalior-sb.eu-1.celonis.cloud) is accessible and contains live Test MP + Sheet 3 data.</w:t>
            </w:r>
          </w:p>
        </w:tc>
        <w:tc>
          <w:tcPr>
            <w:tcW w:type="dxa" w:w="1701"/>
          </w:tcPr>
          <w:p>
            <w:r>
              <w:rPr>
                <w:sz w:val="18"/>
              </w:rPr>
              <w:t>☐  Yes</w:t>
              <w:br/>
              <w:t>☐  No</w:t>
            </w:r>
          </w:p>
        </w:tc>
      </w:tr>
      <w:tr>
        <w:tc>
          <w:tcPr>
            <w:tcW w:type="dxa" w:w="567"/>
            <w:shd w:val="clear" w:color="auto" w:fill="D6E8F7"/>
          </w:tcPr>
          <w:p>
            <w:r>
              <w:rPr>
                <w:sz w:val="18"/>
              </w:rPr>
              <w:t>PC-03</w:t>
            </w:r>
          </w:p>
        </w:tc>
        <w:tc>
          <w:tcPr>
            <w:tcW w:type="dxa" w:w="5669"/>
          </w:tcPr>
          <w:p>
            <w:r>
              <w:rPr>
                <w:sz w:val="18"/>
              </w:rPr>
              <w:t>At least 3 sample PO PDF files have been prepared: one valid PO, one with an unknown customer, one with a missing material.</w:t>
            </w:r>
          </w:p>
        </w:tc>
        <w:tc>
          <w:tcPr>
            <w:tcW w:type="dxa" w:w="1701"/>
          </w:tcPr>
          <w:p>
            <w:r>
              <w:rPr>
                <w:sz w:val="18"/>
              </w:rPr>
              <w:t>☐  Yes</w:t>
              <w:br/>
              <w:t>☐  No</w:t>
            </w:r>
          </w:p>
        </w:tc>
      </w:tr>
      <w:tr>
        <w:tc>
          <w:tcPr>
            <w:tcW w:type="dxa" w:w="567"/>
            <w:shd w:val="clear" w:color="auto" w:fill="D6E8F7"/>
          </w:tcPr>
          <w:p>
            <w:r>
              <w:rPr>
                <w:sz w:val="18"/>
              </w:rPr>
              <w:t>PC-04</w:t>
            </w:r>
          </w:p>
        </w:tc>
        <w:tc>
          <w:tcPr>
            <w:tcW w:type="dxa" w:w="5669"/>
          </w:tcPr>
          <w:p>
            <w:r>
              <w:rPr>
                <w:sz w:val="18"/>
              </w:rPr>
              <w:t>The pipeline environment variables (.env file) are configured with valid MS Graph, Anthropic, Azure, and Celonis credentials.</w:t>
            </w:r>
          </w:p>
        </w:tc>
        <w:tc>
          <w:tcPr>
            <w:tcW w:type="dxa" w:w="1701"/>
          </w:tcPr>
          <w:p>
            <w:r>
              <w:rPr>
                <w:sz w:val="18"/>
              </w:rPr>
              <w:t>☐  Yes</w:t>
              <w:br/>
              <w:t>☐  No</w:t>
            </w:r>
          </w:p>
        </w:tc>
      </w:tr>
      <w:tr>
        <w:tc>
          <w:tcPr>
            <w:tcW w:type="dxa" w:w="567"/>
            <w:shd w:val="clear" w:color="auto" w:fill="D6E8F7"/>
          </w:tcPr>
          <w:p>
            <w:r>
              <w:rPr>
                <w:sz w:val="18"/>
              </w:rPr>
              <w:t>PC-05</w:t>
            </w:r>
          </w:p>
        </w:tc>
        <w:tc>
          <w:tcPr>
            <w:tcW w:type="dxa" w:w="5669"/>
          </w:tcPr>
          <w:p>
            <w:r>
              <w:rPr>
                <w:sz w:val="18"/>
              </w:rPr>
              <w:t>The Outlook folder structure is in place: "Unprocessed POs", "Processed POs", "Exception POs".</w:t>
            </w:r>
          </w:p>
        </w:tc>
        <w:tc>
          <w:tcPr>
            <w:tcW w:type="dxa" w:w="1701"/>
          </w:tcPr>
          <w:p>
            <w:r>
              <w:rPr>
                <w:sz w:val="18"/>
              </w:rPr>
              <w:t>☐  Yes</w:t>
              <w:br/>
              <w:t>☐  No</w:t>
            </w:r>
          </w:p>
        </w:tc>
      </w:tr>
      <w:tr>
        <w:tc>
          <w:tcPr>
            <w:tcW w:type="dxa" w:w="567"/>
            <w:shd w:val="clear" w:color="auto" w:fill="D6E8F7"/>
          </w:tcPr>
          <w:p>
            <w:r>
              <w:rPr>
                <w:sz w:val="18"/>
              </w:rPr>
              <w:t>PC-06</w:t>
            </w:r>
          </w:p>
        </w:tc>
        <w:tc>
          <w:tcPr>
            <w:tcW w:type="dxa" w:w="5669"/>
          </w:tcPr>
          <w:p>
            <w:r>
              <w:rPr>
                <w:sz w:val="18"/>
              </w:rPr>
              <w:t>The Robona service mailbox address is configured in the .env file (ROBONA_SERVICE_MAILBOX).</w:t>
            </w:r>
          </w:p>
        </w:tc>
        <w:tc>
          <w:tcPr>
            <w:tcW w:type="dxa" w:w="1701"/>
          </w:tcPr>
          <w:p>
            <w:r>
              <w:rPr>
                <w:sz w:val="18"/>
              </w:rPr>
              <w:t>☐  Yes</w:t>
              <w:br/>
              <w:t>☐  No</w:t>
            </w:r>
          </w:p>
        </w:tc>
      </w:tr>
      <w:tr>
        <w:tc>
          <w:tcPr>
            <w:tcW w:type="dxa" w:w="567"/>
            <w:shd w:val="clear" w:color="auto" w:fill="D6E8F7"/>
          </w:tcPr>
          <w:p>
            <w:r>
              <w:rPr>
                <w:sz w:val="18"/>
              </w:rPr>
              <w:t>PC-07</w:t>
            </w:r>
          </w:p>
        </w:tc>
        <w:tc>
          <w:tcPr>
            <w:tcW w:type="dxa" w:w="5669"/>
          </w:tcPr>
          <w:p>
            <w:r>
              <w:rPr>
                <w:sz w:val="18"/>
              </w:rPr>
              <w:t>The CS team email recipient addresses are configured in the .env file for exception routing.</w:t>
            </w:r>
          </w:p>
        </w:tc>
        <w:tc>
          <w:tcPr>
            <w:tcW w:type="dxa" w:w="1701"/>
          </w:tcPr>
          <w:p>
            <w:r>
              <w:rPr>
                <w:sz w:val="18"/>
              </w:rPr>
              <w:t>☐  Yes</w:t>
              <w:br/>
              <w:t>☐  No</w:t>
            </w:r>
          </w:p>
        </w:tc>
      </w:tr>
    </w:tbl>
    <w:p>
      <w:r>
        <w:br w:type="page"/>
      </w:r>
    </w:p>
    <w:p>
      <w:pPr>
        <w:pStyle w:val="Heading1"/>
        <w:jc w:val="left"/>
      </w:pPr>
      <w:r>
        <w:rPr>
          <w:b/>
          <w:color w:val="00356B"/>
        </w:rPr>
        <w:t>4.  Pre-Validation Checklist</w:t>
      </w:r>
    </w:p>
    <w:p>
      <w:pPr>
        <w:spacing w:before="0" w:after="80"/>
      </w:pPr>
      <w:r>
        <w:rPr>
          <w:b w:val="0"/>
          <w:i w:val="0"/>
          <w:sz w:val="20"/>
        </w:rPr>
        <w:t>This checklist confirms that all 13 key business requirements are correctly handled by the system. Our team fills in the "System Answer" column; the client team confirms or notes gaps.</w:t>
      </w:r>
    </w:p>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397"/>
            <w:shd w:val="clear" w:color="auto" w:fill="00356B"/>
          </w:tcPr>
          <w:p>
            <w:pPr>
              <w:jc w:val="center"/>
            </w:pPr>
            <w:r/>
            <w:r>
              <w:rPr>
                <w:b/>
                <w:color w:val="FFFFFF"/>
                <w:sz w:val="18"/>
              </w:rPr>
              <w:t>#</w:t>
            </w:r>
          </w:p>
        </w:tc>
        <w:tc>
          <w:tcPr>
            <w:tcW w:type="dxa" w:w="1984"/>
            <w:shd w:val="clear" w:color="auto" w:fill="00356B"/>
          </w:tcPr>
          <w:p>
            <w:pPr>
              <w:jc w:val="center"/>
            </w:pPr>
            <w:r/>
            <w:r>
              <w:rPr>
                <w:b/>
                <w:color w:val="FFFFFF"/>
                <w:sz w:val="18"/>
              </w:rPr>
              <w:t>Business Question</w:t>
            </w:r>
          </w:p>
        </w:tc>
        <w:tc>
          <w:tcPr>
            <w:tcW w:type="dxa" w:w="4252"/>
            <w:shd w:val="clear" w:color="auto" w:fill="00356B"/>
          </w:tcPr>
          <w:p>
            <w:pPr>
              <w:jc w:val="center"/>
            </w:pPr>
            <w:r/>
            <w:r>
              <w:rPr>
                <w:b/>
                <w:color w:val="FFFFFF"/>
                <w:sz w:val="18"/>
              </w:rPr>
              <w:t>System Answer (Pre-filled)</w:t>
            </w:r>
          </w:p>
        </w:tc>
        <w:tc>
          <w:tcPr>
            <w:tcW w:type="dxa" w:w="1020"/>
            <w:shd w:val="clear" w:color="auto" w:fill="00356B"/>
          </w:tcPr>
          <w:p>
            <w:pPr>
              <w:jc w:val="center"/>
            </w:pPr>
            <w:r/>
            <w:r>
              <w:rPr>
                <w:b/>
                <w:color w:val="FFFFFF"/>
                <w:sz w:val="18"/>
              </w:rPr>
              <w:t>Client Confirms?</w:t>
              <w:br/>
              <w:t>✔ / ✘</w:t>
            </w:r>
          </w:p>
        </w:tc>
        <w:tc>
          <w:tcPr>
            <w:tcW w:type="dxa" w:w="1417"/>
            <w:shd w:val="clear" w:color="auto" w:fill="00356B"/>
          </w:tcPr>
          <w:p>
            <w:pPr>
              <w:jc w:val="center"/>
            </w:pPr>
            <w:r/>
            <w:r>
              <w:rPr>
                <w:b/>
                <w:color w:val="FFFFFF"/>
                <w:sz w:val="18"/>
              </w:rPr>
              <w:t>Client Notes / Gap</w:t>
            </w:r>
          </w:p>
        </w:tc>
      </w:tr>
      <w:tr>
        <w:tc>
          <w:tcPr>
            <w:tcW w:type="dxa" w:w="397"/>
            <w:shd w:val="clear" w:color="auto" w:fill="D6E8F7"/>
          </w:tcPr>
          <w:p>
            <w:r>
              <w:rPr>
                <w:sz w:val="17"/>
              </w:rPr>
              <w:t>01</w:t>
            </w:r>
          </w:p>
        </w:tc>
        <w:tc>
          <w:tcPr>
            <w:tcW w:type="dxa" w:w="1984"/>
            <w:shd w:val="clear" w:color="auto" w:fill="F2F2F2"/>
          </w:tcPr>
          <w:p>
            <w:r>
              <w:rPr>
                <w:sz w:val="17"/>
              </w:rPr>
              <w:t>Sold-To Party</w:t>
              <w:br/>
              <w:t>Where is the Sold-To (SP number) found?</w:t>
            </w:r>
          </w:p>
        </w:tc>
        <w:tc>
          <w:tcPr>
            <w:tcW w:type="dxa" w:w="4252"/>
            <w:shd w:val="clear" w:color="auto" w:fill="F2F2F2"/>
          </w:tcPr>
          <w:p>
            <w:r>
              <w:rPr>
                <w:sz w:val="17"/>
              </w:rPr>
              <w:t>Found in the PO email filename metadata (e.g. "Sold-to 4020000777") OR derived by fuzzy-matching the OCR-extracted Vendor name against the KNA1 Customer Master table (downloaded fresh from Celonis at the start of each run).</w:t>
            </w:r>
          </w:p>
        </w:tc>
        <w:tc>
          <w:tcPr>
            <w:tcW w:type="dxa" w:w="1020"/>
            <w:shd w:val="clear" w:color="auto" w:fill="F2F2F2"/>
          </w:tcPr>
          <w:p>
            <w:r>
              <w:rPr>
                <w:sz w:val="17"/>
              </w:rPr>
              <w:t>☐  Confirmed</w:t>
              <w:br/>
              <w:t>☐  Gap Found</w:t>
            </w:r>
          </w:p>
        </w:tc>
        <w:tc>
          <w:tcPr>
            <w:tcW w:type="dxa" w:w="1417"/>
            <w:shd w:val="clear" w:color="auto" w:fill="F2F2F2"/>
          </w:tcPr>
          <w:p>
            <w:r>
              <w:rPr>
                <w:sz w:val="17"/>
              </w:rPr>
              <w:t>[Notes]</w:t>
            </w:r>
          </w:p>
        </w:tc>
      </w:tr>
      <w:tr>
        <w:tc>
          <w:tcPr>
            <w:tcW w:type="dxa" w:w="397"/>
            <w:shd w:val="clear" w:color="auto" w:fill="D6E8F7"/>
          </w:tcPr>
          <w:p>
            <w:r>
              <w:rPr>
                <w:sz w:val="17"/>
              </w:rPr>
              <w:t>02</w:t>
            </w:r>
          </w:p>
        </w:tc>
        <w:tc>
          <w:tcPr>
            <w:tcW w:type="dxa" w:w="1984"/>
            <w:shd w:val="clear" w:color="auto" w:fill="FFFFFF"/>
          </w:tcPr>
          <w:p>
            <w:r>
              <w:rPr>
                <w:sz w:val="17"/>
              </w:rPr>
              <w:t>Ship-To Party</w:t>
              <w:br/>
              <w:t>What if no delivery address is provided?</w:t>
            </w:r>
          </w:p>
        </w:tc>
        <w:tc>
          <w:tcPr>
            <w:tcW w:type="dxa" w:w="4252"/>
            <w:shd w:val="clear" w:color="auto" w:fill="FFFFFF"/>
          </w:tcPr>
          <w:p>
            <w:r>
              <w:rPr>
                <w:sz w:val="17"/>
              </w:rPr>
              <w:t>Delivery address extracted from the PO and fuzzy-matched against KNVP Ship-To addresses using a postcode-aware + city-bonus disambiguation algorithm. If no confident match is found, the default Ship-To is assigned and the exception is flagged to the CS team with the extracted address shown.</w:t>
            </w:r>
          </w:p>
        </w:tc>
        <w:tc>
          <w:tcPr>
            <w:tcW w:type="dxa" w:w="1020"/>
            <w:shd w:val="clear" w:color="auto" w:fill="FFFFFF"/>
          </w:tcPr>
          <w:p>
            <w:r>
              <w:rPr>
                <w:sz w:val="17"/>
              </w:rPr>
              <w:t>☐  Confirmed</w:t>
              <w:br/>
              <w:t>☐  Gap Found</w:t>
            </w:r>
          </w:p>
        </w:tc>
        <w:tc>
          <w:tcPr>
            <w:tcW w:type="dxa" w:w="1417"/>
            <w:shd w:val="clear" w:color="auto" w:fill="FFFFFF"/>
          </w:tcPr>
          <w:p>
            <w:r>
              <w:rPr>
                <w:sz w:val="17"/>
              </w:rPr>
              <w:t>[Notes]</w:t>
            </w:r>
          </w:p>
        </w:tc>
      </w:tr>
      <w:tr>
        <w:tc>
          <w:tcPr>
            <w:tcW w:type="dxa" w:w="397"/>
            <w:shd w:val="clear" w:color="auto" w:fill="D6E8F7"/>
          </w:tcPr>
          <w:p>
            <w:r>
              <w:rPr>
                <w:sz w:val="17"/>
              </w:rPr>
              <w:t>03</w:t>
            </w:r>
          </w:p>
        </w:tc>
        <w:tc>
          <w:tcPr>
            <w:tcW w:type="dxa" w:w="1984"/>
            <w:shd w:val="clear" w:color="auto" w:fill="F2F2F2"/>
          </w:tcPr>
          <w:p>
            <w:r>
              <w:rPr>
                <w:sz w:val="17"/>
              </w:rPr>
              <w:t>Bill-To Party</w:t>
              <w:br/>
              <w:t>Where is the Bill-To found?</w:t>
            </w:r>
          </w:p>
        </w:tc>
        <w:tc>
          <w:tcPr>
            <w:tcW w:type="dxa" w:w="4252"/>
            <w:shd w:val="clear" w:color="auto" w:fill="F2F2F2"/>
          </w:tcPr>
          <w:p>
            <w:r>
              <w:rPr>
                <w:sz w:val="17"/>
              </w:rPr>
              <w:t>Bill-To is linked to Sold-To in standard SAP configuration. The script does not override it — SAP resolves it automatically on Sales Order creation.</w:t>
            </w:r>
          </w:p>
        </w:tc>
        <w:tc>
          <w:tcPr>
            <w:tcW w:type="dxa" w:w="1020"/>
            <w:shd w:val="clear" w:color="auto" w:fill="F2F2F2"/>
          </w:tcPr>
          <w:p>
            <w:r>
              <w:rPr>
                <w:sz w:val="17"/>
              </w:rPr>
              <w:t>☐  Confirmed</w:t>
              <w:br/>
              <w:t>☐  Gap Found</w:t>
            </w:r>
          </w:p>
        </w:tc>
        <w:tc>
          <w:tcPr>
            <w:tcW w:type="dxa" w:w="1417"/>
            <w:shd w:val="clear" w:color="auto" w:fill="F2F2F2"/>
          </w:tcPr>
          <w:p>
            <w:r>
              <w:rPr>
                <w:sz w:val="17"/>
              </w:rPr>
              <w:t>[Notes]</w:t>
            </w:r>
          </w:p>
        </w:tc>
      </w:tr>
      <w:tr>
        <w:tc>
          <w:tcPr>
            <w:tcW w:type="dxa" w:w="397"/>
            <w:shd w:val="clear" w:color="auto" w:fill="D6E8F7"/>
          </w:tcPr>
          <w:p>
            <w:r>
              <w:rPr>
                <w:sz w:val="17"/>
              </w:rPr>
              <w:t>04</w:t>
            </w:r>
          </w:p>
        </w:tc>
        <w:tc>
          <w:tcPr>
            <w:tcW w:type="dxa" w:w="1984"/>
            <w:shd w:val="clear" w:color="auto" w:fill="FFFFFF"/>
          </w:tcPr>
          <w:p>
            <w:r>
              <w:rPr>
                <w:sz w:val="17"/>
              </w:rPr>
              <w:t>PO Date</w:t>
              <w:br/>
              <w:t>Format? What if no date is found?</w:t>
            </w:r>
          </w:p>
        </w:tc>
        <w:tc>
          <w:tcPr>
            <w:tcW w:type="dxa" w:w="4252"/>
            <w:shd w:val="clear" w:color="auto" w:fill="FFFFFF"/>
          </w:tcPr>
          <w:p>
            <w:r>
              <w:rPr>
                <w:sz w:val="17"/>
              </w:rPr>
              <w:t>PO Date is extracted by the AI (OCR + Claude). If absent, SAP default behaviour (today's date) applies. Format parsing is handled by Celonis/SAP downstream.</w:t>
            </w:r>
          </w:p>
        </w:tc>
        <w:tc>
          <w:tcPr>
            <w:tcW w:type="dxa" w:w="1020"/>
            <w:shd w:val="clear" w:color="auto" w:fill="FFFFFF"/>
          </w:tcPr>
          <w:p>
            <w:r>
              <w:rPr>
                <w:sz w:val="17"/>
              </w:rPr>
              <w:t>☐  Confirmed</w:t>
              <w:br/>
              <w:t>☐  Gap Found</w:t>
            </w:r>
          </w:p>
        </w:tc>
        <w:tc>
          <w:tcPr>
            <w:tcW w:type="dxa" w:w="1417"/>
            <w:shd w:val="clear" w:color="auto" w:fill="FFFFFF"/>
          </w:tcPr>
          <w:p>
            <w:r>
              <w:rPr>
                <w:sz w:val="17"/>
              </w:rPr>
              <w:t>[Notes]</w:t>
            </w:r>
          </w:p>
        </w:tc>
      </w:tr>
      <w:tr>
        <w:tc>
          <w:tcPr>
            <w:tcW w:type="dxa" w:w="397"/>
            <w:shd w:val="clear" w:color="auto" w:fill="D6E8F7"/>
          </w:tcPr>
          <w:p>
            <w:r>
              <w:rPr>
                <w:sz w:val="17"/>
              </w:rPr>
              <w:t>05</w:t>
            </w:r>
          </w:p>
        </w:tc>
        <w:tc>
          <w:tcPr>
            <w:tcW w:type="dxa" w:w="1984"/>
            <w:shd w:val="clear" w:color="auto" w:fill="F2F2F2"/>
          </w:tcPr>
          <w:p>
            <w:r>
              <w:rPr>
                <w:sz w:val="17"/>
              </w:rPr>
              <w:t>Duplicate Orders</w:t>
              <w:br/>
              <w:t>How is a duplicate detected?</w:t>
            </w:r>
          </w:p>
        </w:tc>
        <w:tc>
          <w:tcPr>
            <w:tcW w:type="dxa" w:w="4252"/>
            <w:shd w:val="clear" w:color="auto" w:fill="F2F2F2"/>
          </w:tcPr>
          <w:p>
            <w:r>
              <w:rPr>
                <w:sz w:val="17"/>
              </w:rPr>
              <w:t>Duplicate PO number detection (same PO# for same Sold-To) is handled downstream by Celonis Action Flows and SAP warnings. The mapping script preserves all records for auditability.</w:t>
            </w:r>
          </w:p>
        </w:tc>
        <w:tc>
          <w:tcPr>
            <w:tcW w:type="dxa" w:w="1020"/>
            <w:shd w:val="clear" w:color="auto" w:fill="F2F2F2"/>
          </w:tcPr>
          <w:p>
            <w:r>
              <w:rPr>
                <w:sz w:val="17"/>
              </w:rPr>
              <w:t>☐  Confirmed</w:t>
              <w:br/>
              <w:t>☐  Gap Found</w:t>
            </w:r>
          </w:p>
        </w:tc>
        <w:tc>
          <w:tcPr>
            <w:tcW w:type="dxa" w:w="1417"/>
            <w:shd w:val="clear" w:color="auto" w:fill="F2F2F2"/>
          </w:tcPr>
          <w:p>
            <w:r>
              <w:rPr>
                <w:sz w:val="17"/>
              </w:rPr>
              <w:t>[Notes]</w:t>
            </w:r>
          </w:p>
        </w:tc>
      </w:tr>
      <w:tr>
        <w:tc>
          <w:tcPr>
            <w:tcW w:type="dxa" w:w="397"/>
            <w:shd w:val="clear" w:color="auto" w:fill="D6E8F7"/>
          </w:tcPr>
          <w:p>
            <w:r>
              <w:rPr>
                <w:sz w:val="17"/>
              </w:rPr>
              <w:t>06</w:t>
            </w:r>
          </w:p>
        </w:tc>
        <w:tc>
          <w:tcPr>
            <w:tcW w:type="dxa" w:w="1984"/>
            <w:shd w:val="clear" w:color="auto" w:fill="FFFFFF"/>
          </w:tcPr>
          <w:p>
            <w:r>
              <w:rPr>
                <w:sz w:val="17"/>
              </w:rPr>
              <w:t>Multi-Line POs</w:t>
              <w:br/>
              <w:t>How are line items split into Sales Orders?</w:t>
            </w:r>
          </w:p>
        </w:tc>
        <w:tc>
          <w:tcPr>
            <w:tcW w:type="dxa" w:w="4252"/>
            <w:shd w:val="clear" w:color="auto" w:fill="FFFFFF"/>
          </w:tcPr>
          <w:p>
            <w:r>
              <w:rPr>
                <w:sz w:val="17"/>
              </w:rPr>
              <w:t>Controlled by the SO Grouping Rule in the Excel Mapping file. Rule X = all items in one SO; Rule O = one SO per line item. PO line item numbers are preserved from the document.</w:t>
            </w:r>
          </w:p>
        </w:tc>
        <w:tc>
          <w:tcPr>
            <w:tcW w:type="dxa" w:w="1020"/>
            <w:shd w:val="clear" w:color="auto" w:fill="FFFFFF"/>
          </w:tcPr>
          <w:p>
            <w:r>
              <w:rPr>
                <w:sz w:val="17"/>
              </w:rPr>
              <w:t>☐  Confirmed</w:t>
              <w:br/>
              <w:t>☐  Gap Found</w:t>
            </w:r>
          </w:p>
        </w:tc>
        <w:tc>
          <w:tcPr>
            <w:tcW w:type="dxa" w:w="1417"/>
            <w:shd w:val="clear" w:color="auto" w:fill="FFFFFF"/>
          </w:tcPr>
          <w:p>
            <w:r>
              <w:rPr>
                <w:sz w:val="17"/>
              </w:rPr>
              <w:t>[Notes]</w:t>
            </w:r>
          </w:p>
        </w:tc>
      </w:tr>
      <w:tr>
        <w:tc>
          <w:tcPr>
            <w:tcW w:type="dxa" w:w="397"/>
            <w:shd w:val="clear" w:color="auto" w:fill="D6E8F7"/>
          </w:tcPr>
          <w:p>
            <w:r>
              <w:rPr>
                <w:sz w:val="17"/>
              </w:rPr>
              <w:t>07</w:t>
            </w:r>
          </w:p>
        </w:tc>
        <w:tc>
          <w:tcPr>
            <w:tcW w:type="dxa" w:w="1984"/>
            <w:shd w:val="clear" w:color="auto" w:fill="F2F2F2"/>
          </w:tcPr>
          <w:p>
            <w:r>
              <w:rPr>
                <w:sz w:val="17"/>
              </w:rPr>
              <w:t>Material Identifiers</w:t>
              <w:br/>
              <w:t>Which type does the customer send?</w:t>
            </w:r>
          </w:p>
        </w:tc>
        <w:tc>
          <w:tcPr>
            <w:tcW w:type="dxa" w:w="4252"/>
            <w:shd w:val="clear" w:color="auto" w:fill="F2F2F2"/>
          </w:tcPr>
          <w:p>
            <w:r>
              <w:rPr>
                <w:sz w:val="17"/>
              </w:rPr>
              <w:t>The AI extracts the Customer Material Number (MATNR_KU). The mapping engine cross-references this against the KNMT table (Customer Material Info Record) to resolve the Internal SAP Material Number. Unmatched items are flagged in the Stage 1 exception email.</w:t>
            </w:r>
          </w:p>
        </w:tc>
        <w:tc>
          <w:tcPr>
            <w:tcW w:type="dxa" w:w="1020"/>
            <w:shd w:val="clear" w:color="auto" w:fill="F2F2F2"/>
          </w:tcPr>
          <w:p>
            <w:r>
              <w:rPr>
                <w:sz w:val="17"/>
              </w:rPr>
              <w:t>☐  Confirmed</w:t>
              <w:br/>
              <w:t>☐  Gap Found</w:t>
            </w:r>
          </w:p>
        </w:tc>
        <w:tc>
          <w:tcPr>
            <w:tcW w:type="dxa" w:w="1417"/>
            <w:shd w:val="clear" w:color="auto" w:fill="F2F2F2"/>
          </w:tcPr>
          <w:p>
            <w:r>
              <w:rPr>
                <w:sz w:val="17"/>
              </w:rPr>
              <w:t>[Notes]</w:t>
            </w:r>
          </w:p>
        </w:tc>
      </w:tr>
      <w:tr>
        <w:tc>
          <w:tcPr>
            <w:tcW w:type="dxa" w:w="397"/>
            <w:shd w:val="clear" w:color="auto" w:fill="D6E8F7"/>
          </w:tcPr>
          <w:p>
            <w:r>
              <w:rPr>
                <w:sz w:val="17"/>
              </w:rPr>
              <w:t>08</w:t>
            </w:r>
          </w:p>
        </w:tc>
        <w:tc>
          <w:tcPr>
            <w:tcW w:type="dxa" w:w="1984"/>
            <w:shd w:val="clear" w:color="auto" w:fill="FFFFFF"/>
          </w:tcPr>
          <w:p>
            <w:r>
              <w:rPr>
                <w:sz w:val="17"/>
              </w:rPr>
              <w:t>Order Type</w:t>
              <w:br/>
              <w:t>How are standard vs. consignment orders handled?</w:t>
            </w:r>
          </w:p>
        </w:tc>
        <w:tc>
          <w:tcPr>
            <w:tcW w:type="dxa" w:w="4252"/>
            <w:shd w:val="clear" w:color="auto" w:fill="FFFFFF"/>
          </w:tcPr>
          <w:p>
            <w:r>
              <w:rPr>
                <w:sz w:val="17"/>
              </w:rPr>
              <w:t>Order Type is determined by the Decision Tree: the customer + material combination is looked up in Sheet 3 (historical SAP order data, downloaded fresh from Celonis). The most frequent type (TA = Standard, KB = Consignment) is used. Fallback: LLM keyword inference, then OR.</w:t>
            </w:r>
          </w:p>
        </w:tc>
        <w:tc>
          <w:tcPr>
            <w:tcW w:type="dxa" w:w="1020"/>
            <w:shd w:val="clear" w:color="auto" w:fill="FFFFFF"/>
          </w:tcPr>
          <w:p>
            <w:r>
              <w:rPr>
                <w:sz w:val="17"/>
              </w:rPr>
              <w:t>☐  Confirmed</w:t>
              <w:br/>
              <w:t>☐  Gap Found</w:t>
            </w:r>
          </w:p>
        </w:tc>
        <w:tc>
          <w:tcPr>
            <w:tcW w:type="dxa" w:w="1417"/>
            <w:shd w:val="clear" w:color="auto" w:fill="FFFFFF"/>
          </w:tcPr>
          <w:p>
            <w:r>
              <w:rPr>
                <w:sz w:val="17"/>
              </w:rPr>
              <w:t>[Notes]</w:t>
            </w:r>
          </w:p>
        </w:tc>
      </w:tr>
      <w:tr>
        <w:tc>
          <w:tcPr>
            <w:tcW w:type="dxa" w:w="397"/>
            <w:shd w:val="clear" w:color="auto" w:fill="D6E8F7"/>
          </w:tcPr>
          <w:p>
            <w:r>
              <w:rPr>
                <w:sz w:val="17"/>
              </w:rPr>
              <w:t>09</w:t>
            </w:r>
          </w:p>
        </w:tc>
        <w:tc>
          <w:tcPr>
            <w:tcW w:type="dxa" w:w="1984"/>
            <w:shd w:val="clear" w:color="auto" w:fill="F2F2F2"/>
          </w:tcPr>
          <w:p>
            <w:r>
              <w:rPr>
                <w:sz w:val="17"/>
              </w:rPr>
              <w:t>Delivery Date(s)</w:t>
              <w:br/>
              <w:t>Where are Requested Delivery Dates found?</w:t>
            </w:r>
          </w:p>
        </w:tc>
        <w:tc>
          <w:tcPr>
            <w:tcW w:type="dxa" w:w="4252"/>
            <w:shd w:val="clear" w:color="auto" w:fill="F2F2F2"/>
          </w:tcPr>
          <w:p>
            <w:r>
              <w:rPr>
                <w:sz w:val="17"/>
              </w:rPr>
              <w:t>Extracted by the AI from the PO at both header and line-item levels. Dates are passed as extracted. RV45A-KETDAT handling is managed by Celonis/SAP downstream.</w:t>
            </w:r>
          </w:p>
        </w:tc>
        <w:tc>
          <w:tcPr>
            <w:tcW w:type="dxa" w:w="1020"/>
            <w:shd w:val="clear" w:color="auto" w:fill="F2F2F2"/>
          </w:tcPr>
          <w:p>
            <w:r>
              <w:rPr>
                <w:sz w:val="17"/>
              </w:rPr>
              <w:t>☐  Confirmed</w:t>
              <w:br/>
              <w:t>☐  Gap Found</w:t>
            </w:r>
          </w:p>
        </w:tc>
        <w:tc>
          <w:tcPr>
            <w:tcW w:type="dxa" w:w="1417"/>
            <w:shd w:val="clear" w:color="auto" w:fill="F2F2F2"/>
          </w:tcPr>
          <w:p>
            <w:r>
              <w:rPr>
                <w:sz w:val="17"/>
              </w:rPr>
              <w:t>[Notes]</w:t>
            </w:r>
          </w:p>
        </w:tc>
      </w:tr>
      <w:tr>
        <w:tc>
          <w:tcPr>
            <w:tcW w:type="dxa" w:w="397"/>
            <w:shd w:val="clear" w:color="auto" w:fill="D6E8F7"/>
          </w:tcPr>
          <w:p>
            <w:r>
              <w:rPr>
                <w:sz w:val="17"/>
              </w:rPr>
              <w:t>10</w:t>
            </w:r>
          </w:p>
        </w:tc>
        <w:tc>
          <w:tcPr>
            <w:tcW w:type="dxa" w:w="1984"/>
            <w:shd w:val="clear" w:color="auto" w:fill="FFFFFF"/>
          </w:tcPr>
          <w:p>
            <w:r>
              <w:rPr>
                <w:sz w:val="17"/>
              </w:rPr>
              <w:t>Pricing Date</w:t>
              <w:br/>
              <w:t>Does it differ for OR vs KB/ZKB?</w:t>
            </w:r>
          </w:p>
        </w:tc>
        <w:tc>
          <w:tcPr>
            <w:tcW w:type="dxa" w:w="4252"/>
            <w:shd w:val="clear" w:color="auto" w:fill="FFFFFF"/>
          </w:tcPr>
          <w:p>
            <w:r>
              <w:rPr>
                <w:sz w:val="17"/>
              </w:rPr>
              <w:t>Pricing date is left to SAP standard configuration. The script does not force a value — SAP determines it based on RDD and Order Type, consistent with current EDI behaviour.</w:t>
            </w:r>
          </w:p>
        </w:tc>
        <w:tc>
          <w:tcPr>
            <w:tcW w:type="dxa" w:w="1020"/>
            <w:shd w:val="clear" w:color="auto" w:fill="FFFFFF"/>
          </w:tcPr>
          <w:p>
            <w:r>
              <w:rPr>
                <w:sz w:val="17"/>
              </w:rPr>
              <w:t>☐  Confirmed</w:t>
              <w:br/>
              <w:t>☐  Gap Found</w:t>
            </w:r>
          </w:p>
        </w:tc>
        <w:tc>
          <w:tcPr>
            <w:tcW w:type="dxa" w:w="1417"/>
            <w:shd w:val="clear" w:color="auto" w:fill="FFFFFF"/>
          </w:tcPr>
          <w:p>
            <w:r>
              <w:rPr>
                <w:sz w:val="17"/>
              </w:rPr>
              <w:t>[Notes]</w:t>
            </w:r>
          </w:p>
        </w:tc>
      </w:tr>
      <w:tr>
        <w:tc>
          <w:tcPr>
            <w:tcW w:type="dxa" w:w="397"/>
            <w:shd w:val="clear" w:color="auto" w:fill="D6E8F7"/>
          </w:tcPr>
          <w:p>
            <w:r>
              <w:rPr>
                <w:sz w:val="17"/>
              </w:rPr>
              <w:t>11</w:t>
            </w:r>
          </w:p>
        </w:tc>
        <w:tc>
          <w:tcPr>
            <w:tcW w:type="dxa" w:w="1984"/>
            <w:shd w:val="clear" w:color="auto" w:fill="F2F2F2"/>
          </w:tcPr>
          <w:p>
            <w:r>
              <w:rPr>
                <w:sz w:val="17"/>
              </w:rPr>
              <w:t>Order Quantity</w:t>
              <w:br/>
              <w:t>How is MT to KG conversion handled?</w:t>
            </w:r>
          </w:p>
        </w:tc>
        <w:tc>
          <w:tcPr>
            <w:tcW w:type="dxa" w:w="4252"/>
            <w:shd w:val="clear" w:color="auto" w:fill="F2F2F2"/>
          </w:tcPr>
          <w:p>
            <w:r>
              <w:rPr>
                <w:sz w:val="17"/>
              </w:rPr>
              <w:t>Quantity is extracted per line item. European number formats (e.g. 5.000,00 → 5000.00) are normalised automatically. Unit conversions (MT → KG) are enforced via SAP material master data settings.</w:t>
            </w:r>
          </w:p>
        </w:tc>
        <w:tc>
          <w:tcPr>
            <w:tcW w:type="dxa" w:w="1020"/>
            <w:shd w:val="clear" w:color="auto" w:fill="F2F2F2"/>
          </w:tcPr>
          <w:p>
            <w:r>
              <w:rPr>
                <w:sz w:val="17"/>
              </w:rPr>
              <w:t>☐  Confirmed</w:t>
              <w:br/>
              <w:t>☐  Gap Found</w:t>
            </w:r>
          </w:p>
        </w:tc>
        <w:tc>
          <w:tcPr>
            <w:tcW w:type="dxa" w:w="1417"/>
            <w:shd w:val="clear" w:color="auto" w:fill="F2F2F2"/>
          </w:tcPr>
          <w:p>
            <w:r>
              <w:rPr>
                <w:sz w:val="17"/>
              </w:rPr>
              <w:t>[Notes]</w:t>
            </w:r>
          </w:p>
        </w:tc>
      </w:tr>
      <w:tr>
        <w:tc>
          <w:tcPr>
            <w:tcW w:type="dxa" w:w="397"/>
            <w:shd w:val="clear" w:color="auto" w:fill="D6E8F7"/>
          </w:tcPr>
          <w:p>
            <w:r>
              <w:rPr>
                <w:sz w:val="17"/>
              </w:rPr>
              <w:t>12</w:t>
            </w:r>
          </w:p>
        </w:tc>
        <w:tc>
          <w:tcPr>
            <w:tcW w:type="dxa" w:w="1984"/>
            <w:shd w:val="clear" w:color="auto" w:fill="FFFFFF"/>
          </w:tcPr>
          <w:p>
            <w:r>
              <w:rPr>
                <w:sz w:val="17"/>
              </w:rPr>
              <w:t>Unit of Measure</w:t>
              <w:br/>
              <w:t>What if no UoM is indicated?</w:t>
            </w:r>
          </w:p>
        </w:tc>
        <w:tc>
          <w:tcPr>
            <w:tcW w:type="dxa" w:w="4252"/>
            <w:shd w:val="clear" w:color="auto" w:fill="FFFFFF"/>
          </w:tcPr>
          <w:p>
            <w:r>
              <w:rPr>
                <w:sz w:val="17"/>
              </w:rPr>
              <w:t>UoM is extracted by the AI. Units are then normalised to SAP-standard codes (e.g. KGM/KGS → KG, PCE → PC). Missing UoM values are flagged in the exception email for CSR review.</w:t>
            </w:r>
          </w:p>
        </w:tc>
        <w:tc>
          <w:tcPr>
            <w:tcW w:type="dxa" w:w="1020"/>
            <w:shd w:val="clear" w:color="auto" w:fill="FFFFFF"/>
          </w:tcPr>
          <w:p>
            <w:r>
              <w:rPr>
                <w:sz w:val="17"/>
              </w:rPr>
              <w:t>☐  Confirmed</w:t>
              <w:br/>
              <w:t>☐  Gap Found</w:t>
            </w:r>
          </w:p>
        </w:tc>
        <w:tc>
          <w:tcPr>
            <w:tcW w:type="dxa" w:w="1417"/>
            <w:shd w:val="clear" w:color="auto" w:fill="FFFFFF"/>
          </w:tcPr>
          <w:p>
            <w:r>
              <w:rPr>
                <w:sz w:val="17"/>
              </w:rPr>
              <w:t>[Notes]</w:t>
            </w:r>
          </w:p>
        </w:tc>
      </w:tr>
      <w:tr>
        <w:tc>
          <w:tcPr>
            <w:tcW w:type="dxa" w:w="397"/>
            <w:shd w:val="clear" w:color="auto" w:fill="D6E8F7"/>
          </w:tcPr>
          <w:p>
            <w:r>
              <w:rPr>
                <w:sz w:val="17"/>
              </w:rPr>
              <w:t>13</w:t>
            </w:r>
          </w:p>
        </w:tc>
        <w:tc>
          <w:tcPr>
            <w:tcW w:type="dxa" w:w="1984"/>
            <w:shd w:val="clear" w:color="auto" w:fill="F2F2F2"/>
          </w:tcPr>
          <w:p>
            <w:r>
              <w:rPr>
                <w:sz w:val="17"/>
              </w:rPr>
              <w:t>Auditing &amp; Archiving</w:t>
              <w:br/>
              <w:t>How is the original PO email linked to the SO in SAP?</w:t>
            </w:r>
          </w:p>
        </w:tc>
        <w:tc>
          <w:tcPr>
            <w:tcW w:type="dxa" w:w="4252"/>
            <w:shd w:val="clear" w:color="auto" w:fill="F2F2F2"/>
          </w:tcPr>
          <w:p>
            <w:r>
              <w:rPr>
                <w:sz w:val="17"/>
              </w:rPr>
              <w:t>For every successfully created Sales Order (confirmed by Celonis Action Flow with no SAP blocks), run_celonis_feedback.py sends a structured email notification to the Robona RPA service mailbox containing the SAP Sales Order number and original email message ID. Robona then retrieves the email from the "Processed POs" archive folder in Outlook and links it directly to the SAP Sales Order record for compliance and auditing.</w:t>
            </w:r>
          </w:p>
        </w:tc>
        <w:tc>
          <w:tcPr>
            <w:tcW w:type="dxa" w:w="1020"/>
            <w:shd w:val="clear" w:color="auto" w:fill="F2F2F2"/>
          </w:tcPr>
          <w:p>
            <w:r>
              <w:rPr>
                <w:sz w:val="17"/>
              </w:rPr>
              <w:t>☐  Confirmed</w:t>
              <w:br/>
              <w:t>☐  Gap Found</w:t>
            </w:r>
          </w:p>
        </w:tc>
        <w:tc>
          <w:tcPr>
            <w:tcW w:type="dxa" w:w="1417"/>
            <w:shd w:val="clear" w:color="auto" w:fill="F2F2F2"/>
          </w:tcPr>
          <w:p>
            <w:r>
              <w:rPr>
                <w:sz w:val="17"/>
              </w:rPr>
              <w:t>[Notes]</w:t>
            </w:r>
          </w:p>
        </w:tc>
      </w:tr>
    </w:tbl>
    <w:p>
      <w:r>
        <w:br w:type="page"/>
      </w:r>
    </w:p>
    <w:p>
      <w:pPr>
        <w:pStyle w:val="Heading1"/>
        <w:jc w:val="left"/>
      </w:pPr>
      <w:r>
        <w:rPr>
          <w:b/>
          <w:color w:val="00356B"/>
        </w:rPr>
        <w:t>5.  Acceptance Test Scenarios</w:t>
      </w:r>
    </w:p>
    <w:p>
      <w:pPr>
        <w:spacing w:before="0" w:after="80"/>
      </w:pPr>
      <w:r>
        <w:rPr>
          <w:b w:val="0"/>
          <w:i w:val="0"/>
          <w:sz w:val="20"/>
        </w:rPr>
        <w:t>Both teams execute each scenario together. Our team operates the system; the client team observes the output and verifies it against business expectations.</w:t>
      </w:r>
    </w:p>
    <w:p/>
    <w:p>
      <w:pPr>
        <w:pStyle w:val="Heading2"/>
        <w:jc w:val="left"/>
      </w:pPr>
      <w:r>
        <w:rPr>
          <w:b/>
          <w:color w:val="00356B"/>
        </w:rPr>
        <w:t>Scenario 1 — Happy Path: Full Touchless Sales Order Creation</w:t>
      </w:r>
    </w:p>
    <w:p>
      <w:pPr>
        <w:spacing w:before="0" w:after="80"/>
      </w:pPr>
      <w:r>
        <w:rPr>
          <w:b w:val="0"/>
          <w:i/>
          <w:sz w:val="20"/>
        </w:rPr>
        <w:t>🎯 Objective: Confirm that a valid, fully mappable PO is processed end-to-end without any manual intervention and results in a Sales Order being created in SAP.</w:t>
      </w:r>
    </w:p>
    <w:p/>
    <w:tbl>
      <w:tblPr>
        <w:tblStyle w:val="TableGrid"/>
        <w:tblW w:type="auto" w:w="0"/>
        <w:tblLook w:firstColumn="1" w:firstRow="1" w:lastColumn="0" w:lastRow="0" w:noHBand="0" w:noVBand="1" w:val="04A0"/>
      </w:tblPr>
      <w:tblGrid>
        <w:gridCol w:w="4703"/>
        <w:gridCol w:w="4703"/>
      </w:tblGrid>
      <w:tr>
        <w:tc>
          <w:tcPr>
            <w:tcW w:type="dxa" w:w="680"/>
            <w:shd w:val="clear" w:color="auto" w:fill="00356B"/>
          </w:tcPr>
          <w:p>
            <w:pPr>
              <w:jc w:val="center"/>
            </w:pPr>
            <w:r/>
            <w:r>
              <w:rPr>
                <w:b/>
                <w:color w:val="FFFFFF"/>
                <w:sz w:val="18"/>
              </w:rPr>
              <w:t>Step</w:t>
            </w:r>
          </w:p>
        </w:tc>
        <w:tc>
          <w:tcPr>
            <w:tcW w:type="dxa" w:w="8391"/>
            <w:shd w:val="clear" w:color="auto" w:fill="00356B"/>
          </w:tcPr>
          <w:p>
            <w:pPr>
              <w:jc w:val="center"/>
            </w:pPr>
            <w:r/>
            <w:r>
              <w:rPr>
                <w:b/>
                <w:color w:val="FFFFFF"/>
                <w:sz w:val="18"/>
              </w:rPr>
              <w:t>Action / Verification</w:t>
            </w:r>
          </w:p>
        </w:tc>
      </w:tr>
      <w:tr>
        <w:tc>
          <w:tcPr>
            <w:tcW w:type="dxa" w:w="680"/>
            <w:shd w:val="clear" w:color="auto" w:fill="F2F2F2"/>
          </w:tcPr>
          <w:p>
            <w:r>
              <w:rPr>
                <w:sz w:val="18"/>
              </w:rPr>
              <w:t>1</w:t>
            </w:r>
          </w:p>
        </w:tc>
        <w:tc>
          <w:tcPr>
            <w:tcW w:type="dxa" w:w="8391"/>
            <w:shd w:val="clear" w:color="auto" w:fill="F2F2F2"/>
          </w:tcPr>
          <w:p>
            <w:r>
              <w:rPr>
                <w:sz w:val="18"/>
              </w:rPr>
              <w:t>Send (or inject) a valid PO email with a PDF attachment to the shared mailbox. The PO must contain a known customer/vendor name and at least one known material number.</w:t>
            </w:r>
          </w:p>
        </w:tc>
      </w:tr>
      <w:tr>
        <w:tc>
          <w:tcPr>
            <w:tcW w:type="dxa" w:w="680"/>
            <w:shd w:val="clear" w:color="auto" w:fill="FFFFFF"/>
          </w:tcPr>
          <w:p>
            <w:r>
              <w:rPr>
                <w:sz w:val="18"/>
              </w:rPr>
              <w:t>2</w:t>
            </w:r>
          </w:p>
        </w:tc>
        <w:tc>
          <w:tcPr>
            <w:tcW w:type="dxa" w:w="8391"/>
            <w:shd w:val="clear" w:color="auto" w:fill="FFFFFF"/>
          </w:tcPr>
          <w:p>
            <w:r>
              <w:rPr>
                <w:sz w:val="18"/>
              </w:rPr>
              <w:t>Run the pipeline:</w:t>
              <w:br/>
              <w:t>python run_outlook_to_pipeline.py</w:t>
              <w:br/>
              <w:t>Observe: Step -1 downloads fresh Celonis data. Steps 1-3 extract, enrich, and map the PO.</w:t>
            </w:r>
          </w:p>
        </w:tc>
      </w:tr>
      <w:tr>
        <w:tc>
          <w:tcPr>
            <w:tcW w:type="dxa" w:w="680"/>
            <w:shd w:val="clear" w:color="auto" w:fill="F2F2F2"/>
          </w:tcPr>
          <w:p>
            <w:r>
              <w:rPr>
                <w:sz w:val="18"/>
              </w:rPr>
              <w:t>3</w:t>
            </w:r>
          </w:p>
        </w:tc>
        <w:tc>
          <w:tcPr>
            <w:tcW w:type="dxa" w:w="8391"/>
            <w:shd w:val="clear" w:color="auto" w:fill="F2F2F2"/>
          </w:tcPr>
          <w:p>
            <w:r>
              <w:rPr>
                <w:sz w:val="18"/>
              </w:rPr>
              <w:t>VERIFY: The PO email moves from "Unprocessed POs" → "Processed POs" in Outlook.</w:t>
            </w:r>
          </w:p>
        </w:tc>
      </w:tr>
      <w:tr>
        <w:tc>
          <w:tcPr>
            <w:tcW w:type="dxa" w:w="680"/>
            <w:shd w:val="clear" w:color="auto" w:fill="FFFFFF"/>
          </w:tcPr>
          <w:p>
            <w:r>
              <w:rPr>
                <w:sz w:val="18"/>
              </w:rPr>
              <w:t>4</w:t>
            </w:r>
          </w:p>
        </w:tc>
        <w:tc>
          <w:tcPr>
            <w:tcW w:type="dxa" w:w="8391"/>
            <w:shd w:val="clear" w:color="auto" w:fill="FFFFFF"/>
          </w:tcPr>
          <w:p>
            <w:r>
              <w:rPr>
                <w:sz w:val="18"/>
              </w:rPr>
              <w:t>VERIFY: A mapped Sales Order CSV/JSON output is generated with correct Sold-To ID, Ship-To ID, Internal Material Number, Order Type (TA or KB), and quantity.</w:t>
            </w:r>
          </w:p>
        </w:tc>
      </w:tr>
      <w:tr>
        <w:tc>
          <w:tcPr>
            <w:tcW w:type="dxa" w:w="680"/>
            <w:shd w:val="clear" w:color="auto" w:fill="F2F2F2"/>
          </w:tcPr>
          <w:p>
            <w:r>
              <w:rPr>
                <w:sz w:val="18"/>
              </w:rPr>
              <w:t>5</w:t>
            </w:r>
          </w:p>
        </w:tc>
        <w:tc>
          <w:tcPr>
            <w:tcW w:type="dxa" w:w="8391"/>
            <w:shd w:val="clear" w:color="auto" w:fill="F2F2F2"/>
          </w:tcPr>
          <w:p>
            <w:r>
              <w:rPr>
                <w:sz w:val="18"/>
              </w:rPr>
              <w:t>VERIFY: The mapped data appears in the Celonis PO_EXTRACTION_RESULTS table.</w:t>
            </w:r>
          </w:p>
        </w:tc>
      </w:tr>
      <w:tr>
        <w:tc>
          <w:tcPr>
            <w:tcW w:type="dxa" w:w="680"/>
            <w:shd w:val="clear" w:color="auto" w:fill="FFFFFF"/>
          </w:tcPr>
          <w:p>
            <w:r>
              <w:rPr>
                <w:sz w:val="18"/>
              </w:rPr>
              <w:t>6</w:t>
            </w:r>
          </w:p>
        </w:tc>
        <w:tc>
          <w:tcPr>
            <w:tcW w:type="dxa" w:w="8391"/>
            <w:shd w:val="clear" w:color="auto" w:fill="FFFFFF"/>
          </w:tcPr>
          <w:p>
            <w:r>
              <w:rPr>
                <w:sz w:val="18"/>
              </w:rPr>
              <w:t>VERIFY: Celonis Action Flow triggers and creates the Sales Order in SAP EPP.</w:t>
            </w:r>
          </w:p>
        </w:tc>
      </w:tr>
      <w:tr>
        <w:tc>
          <w:tcPr>
            <w:tcW w:type="dxa" w:w="680"/>
            <w:shd w:val="clear" w:color="auto" w:fill="F2F2F2"/>
          </w:tcPr>
          <w:p>
            <w:r>
              <w:rPr>
                <w:sz w:val="18"/>
              </w:rPr>
              <w:t>7</w:t>
            </w:r>
          </w:p>
        </w:tc>
        <w:tc>
          <w:tcPr>
            <w:tcW w:type="dxa" w:w="8391"/>
            <w:shd w:val="clear" w:color="auto" w:fill="F2F2F2"/>
          </w:tcPr>
          <w:p>
            <w:r>
              <w:rPr>
                <w:sz w:val="18"/>
              </w:rPr>
              <w:t>VERIFY: The Robona service mailbox receives an email with subject "[PO Subject] SO# [SAP SO Number]".</w:t>
            </w:r>
          </w:p>
        </w:tc>
      </w:tr>
    </w:tbl>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00356B"/>
          </w:tcPr>
          <w:p>
            <w:pPr>
              <w:jc w:val="center"/>
            </w:pPr>
            <w:r/>
            <w:r>
              <w:rPr>
                <w:b/>
                <w:color w:val="FFFFFF"/>
                <w:sz w:val="18"/>
              </w:rPr>
              <w:t>Result</w:t>
            </w:r>
          </w:p>
        </w:tc>
        <w:tc>
          <w:tcPr>
            <w:tcW w:type="dxa" w:w="2835"/>
            <w:shd w:val="clear" w:color="auto" w:fill="00356B"/>
          </w:tcPr>
          <w:p>
            <w:pPr>
              <w:jc w:val="center"/>
            </w:pPr>
            <w:r/>
            <w:r>
              <w:rPr>
                <w:b/>
                <w:color w:val="FFFFFF"/>
                <w:sz w:val="18"/>
              </w:rPr>
              <w:t>Our Team</w:t>
            </w:r>
          </w:p>
        </w:tc>
        <w:tc>
          <w:tcPr>
            <w:tcW w:type="dxa" w:w="4252"/>
            <w:shd w:val="clear" w:color="auto" w:fill="00356B"/>
          </w:tcPr>
          <w:p>
            <w:pPr>
              <w:jc w:val="center"/>
            </w:pPr>
            <w:r/>
            <w:r>
              <w:rPr>
                <w:b/>
                <w:color w:val="FFFFFF"/>
                <w:sz w:val="18"/>
              </w:rPr>
              <w:t>Client</w:t>
            </w:r>
          </w:p>
        </w:tc>
      </w:tr>
      <w:tr>
        <w:tc>
          <w:tcPr>
            <w:tcW w:type="dxa" w:w="1984"/>
          </w:tcPr>
          <w:p>
            <w:r>
              <w:rPr>
                <w:sz w:val="18"/>
              </w:rPr>
              <w:t>Notes / Observations</w:t>
            </w:r>
          </w:p>
        </w:tc>
        <w:tc>
          <w:tcPr>
            <w:tcW w:type="dxa" w:w="2835"/>
          </w:tcPr>
          <w:p>
            <w:r>
              <w:rPr>
                <w:sz w:val="18"/>
              </w:rPr>
              <w:t>☐  Pass</w:t>
              <w:br/>
              <w:t>☐  Fail</w:t>
            </w:r>
          </w:p>
        </w:tc>
        <w:tc>
          <w:tcPr>
            <w:tcW w:type="dxa" w:w="4252"/>
          </w:tcPr>
          <w:p>
            <w:r>
              <w:rPr>
                <w:sz w:val="18"/>
              </w:rPr>
              <w:t>☐  Accept</w:t>
              <w:br/>
              <w:t>☐  Reject</w:t>
            </w:r>
          </w:p>
        </w:tc>
      </w:tr>
    </w:tbl>
    <w:p>
      <w:r>
        <w:br w:type="page"/>
      </w:r>
    </w:p>
    <w:p>
      <w:pPr>
        <w:pStyle w:val="Heading2"/>
        <w:jc w:val="left"/>
      </w:pPr>
      <w:r>
        <w:rPr>
          <w:b/>
          <w:color w:val="00356B"/>
        </w:rPr>
        <w:t>Scenario 2 — Stage 1 Exception: Unknown Customer (Mapping Failure)</w:t>
      </w:r>
    </w:p>
    <w:p>
      <w:pPr>
        <w:spacing w:before="0" w:after="80"/>
      </w:pPr>
      <w:r>
        <w:rPr>
          <w:b w:val="0"/>
          <w:i/>
          <w:sz w:val="20"/>
        </w:rPr>
        <w:t>🎯 Objective: Confirm that when a PO contains an unrecognisable customer name (not in SAP master data) the system correctly routes an exception to the CS team BEFORE pushing to Celonis.</w:t>
      </w:r>
    </w:p>
    <w:p/>
    <w:tbl>
      <w:tblPr>
        <w:tblStyle w:val="TableGrid"/>
        <w:tblW w:type="auto" w:w="0"/>
        <w:tblLook w:firstColumn="1" w:firstRow="1" w:lastColumn="0" w:lastRow="0" w:noHBand="0" w:noVBand="1" w:val="04A0"/>
      </w:tblPr>
      <w:tblGrid>
        <w:gridCol w:w="4703"/>
        <w:gridCol w:w="4703"/>
      </w:tblGrid>
      <w:tr>
        <w:tc>
          <w:tcPr>
            <w:tcW w:type="dxa" w:w="680"/>
            <w:shd w:val="clear" w:color="auto" w:fill="00356B"/>
          </w:tcPr>
          <w:p>
            <w:pPr>
              <w:jc w:val="center"/>
            </w:pPr>
            <w:r/>
            <w:r>
              <w:rPr>
                <w:b/>
                <w:color w:val="FFFFFF"/>
                <w:sz w:val="18"/>
              </w:rPr>
              <w:t>Step</w:t>
            </w:r>
          </w:p>
        </w:tc>
        <w:tc>
          <w:tcPr>
            <w:tcW w:type="dxa" w:w="8391"/>
            <w:shd w:val="clear" w:color="auto" w:fill="00356B"/>
          </w:tcPr>
          <w:p>
            <w:pPr>
              <w:jc w:val="center"/>
            </w:pPr>
            <w:r/>
            <w:r>
              <w:rPr>
                <w:b/>
                <w:color w:val="FFFFFF"/>
                <w:sz w:val="18"/>
              </w:rPr>
              <w:t>Action / Verification</w:t>
            </w:r>
          </w:p>
        </w:tc>
      </w:tr>
      <w:tr>
        <w:tc>
          <w:tcPr>
            <w:tcW w:type="dxa" w:w="680"/>
            <w:shd w:val="clear" w:color="auto" w:fill="FCE4E4"/>
          </w:tcPr>
          <w:p>
            <w:r>
              <w:rPr>
                <w:sz w:val="18"/>
              </w:rPr>
              <w:t>1</w:t>
            </w:r>
          </w:p>
        </w:tc>
        <w:tc>
          <w:tcPr>
            <w:tcW w:type="dxa" w:w="8391"/>
            <w:shd w:val="clear" w:color="auto" w:fill="FCE4E4"/>
          </w:tcPr>
          <w:p>
            <w:r>
              <w:rPr>
                <w:sz w:val="18"/>
              </w:rPr>
              <w:t>Send a PO email where the vendor/customer name does NOT match any known Sold-To record in the Celonis Test MP or knowledge base. Also ensure the filename does NOT contain a Sold-To ID.</w:t>
            </w:r>
          </w:p>
        </w:tc>
      </w:tr>
      <w:tr>
        <w:tc>
          <w:tcPr>
            <w:tcW w:type="dxa" w:w="680"/>
            <w:shd w:val="clear" w:color="auto" w:fill="FFF2CC"/>
          </w:tcPr>
          <w:p>
            <w:r>
              <w:rPr>
                <w:sz w:val="18"/>
              </w:rPr>
              <w:t>2</w:t>
            </w:r>
          </w:p>
        </w:tc>
        <w:tc>
          <w:tcPr>
            <w:tcW w:type="dxa" w:w="8391"/>
            <w:shd w:val="clear" w:color="auto" w:fill="FFF2CC"/>
          </w:tcPr>
          <w:p>
            <w:r>
              <w:rPr>
                <w:sz w:val="18"/>
              </w:rPr>
              <w:t>Run the pipeline: python run_outlook_to_pipeline.py</w:t>
            </w:r>
          </w:p>
        </w:tc>
      </w:tr>
      <w:tr>
        <w:tc>
          <w:tcPr>
            <w:tcW w:type="dxa" w:w="680"/>
            <w:shd w:val="clear" w:color="auto" w:fill="FCE4E4"/>
          </w:tcPr>
          <w:p>
            <w:r>
              <w:rPr>
                <w:sz w:val="18"/>
              </w:rPr>
              <w:t>3</w:t>
            </w:r>
          </w:p>
        </w:tc>
        <w:tc>
          <w:tcPr>
            <w:tcW w:type="dxa" w:w="8391"/>
            <w:shd w:val="clear" w:color="auto" w:fill="FCE4E4"/>
          </w:tcPr>
          <w:p>
            <w:r>
              <w:rPr>
                <w:sz w:val="18"/>
              </w:rPr>
              <w:t>VERIFY: The PO email moves from "Unprocessed POs" → "Exception POs" in Outlook (NOT to Processed POs).</w:t>
            </w:r>
          </w:p>
        </w:tc>
      </w:tr>
      <w:tr>
        <w:tc>
          <w:tcPr>
            <w:tcW w:type="dxa" w:w="680"/>
            <w:shd w:val="clear" w:color="auto" w:fill="FFF2CC"/>
          </w:tcPr>
          <w:p>
            <w:r>
              <w:rPr>
                <w:sz w:val="18"/>
              </w:rPr>
              <w:t>4</w:t>
            </w:r>
          </w:p>
        </w:tc>
        <w:tc>
          <w:tcPr>
            <w:tcW w:type="dxa" w:w="8391"/>
            <w:shd w:val="clear" w:color="auto" w:fill="FFF2CC"/>
          </w:tcPr>
          <w:p>
            <w:r>
              <w:rPr>
                <w:sz w:val="18"/>
              </w:rPr>
              <w:t>VERIFY: The CS team receives a structured HTML exception email. The email must show:</w:t>
              <w:br/>
              <w:t xml:space="preserve">   • Extracted vendor name (as identified by AI)</w:t>
              <w:br/>
              <w:t xml:space="preserve">   • Sold-To status: "UNMATCHED"</w:t>
              <w:br/>
              <w:t xml:space="preserve">   • Recommended Action: "Update Customer Master Data in SAP"</w:t>
              <w:br/>
              <w:t xml:space="preserve">   • The original PO PDF attached</w:t>
            </w:r>
          </w:p>
        </w:tc>
      </w:tr>
      <w:tr>
        <w:tc>
          <w:tcPr>
            <w:tcW w:type="dxa" w:w="680"/>
            <w:shd w:val="clear" w:color="auto" w:fill="FCE4E4"/>
          </w:tcPr>
          <w:p>
            <w:r>
              <w:rPr>
                <w:sz w:val="18"/>
              </w:rPr>
              <w:t>5</w:t>
            </w:r>
          </w:p>
        </w:tc>
        <w:tc>
          <w:tcPr>
            <w:tcW w:type="dxa" w:w="8391"/>
            <w:shd w:val="clear" w:color="auto" w:fill="FCE4E4"/>
          </w:tcPr>
          <w:p>
            <w:r>
              <w:rPr>
                <w:sz w:val="18"/>
              </w:rPr>
              <w:t>VERIFY: No data is pushed to Celonis PO_EXTRACTION_RESULTS (no SO created in SAP).</w:t>
            </w:r>
          </w:p>
        </w:tc>
      </w:tr>
      <w:tr>
        <w:tc>
          <w:tcPr>
            <w:tcW w:type="dxa" w:w="680"/>
            <w:shd w:val="clear" w:color="auto" w:fill="FFF2CC"/>
          </w:tcPr>
          <w:p>
            <w:r>
              <w:rPr>
                <w:sz w:val="18"/>
              </w:rPr>
              <w:t>6</w:t>
            </w:r>
          </w:p>
        </w:tc>
        <w:tc>
          <w:tcPr>
            <w:tcW w:type="dxa" w:w="8391"/>
            <w:shd w:val="clear" w:color="auto" w:fill="FFF2CC"/>
          </w:tcPr>
          <w:p>
            <w:r>
              <w:rPr>
                <w:sz w:val="18"/>
              </w:rPr>
              <w:t>VERIFY: The Robona mailbox does NOT receive any notification for this PO.</w:t>
            </w:r>
          </w:p>
        </w:tc>
      </w:tr>
    </w:tbl>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00356B"/>
          </w:tcPr>
          <w:p>
            <w:pPr>
              <w:jc w:val="center"/>
            </w:pPr>
            <w:r/>
            <w:r>
              <w:rPr>
                <w:b/>
                <w:color w:val="FFFFFF"/>
                <w:sz w:val="18"/>
              </w:rPr>
              <w:t>Result</w:t>
            </w:r>
          </w:p>
        </w:tc>
        <w:tc>
          <w:tcPr>
            <w:tcW w:type="dxa" w:w="2835"/>
            <w:shd w:val="clear" w:color="auto" w:fill="00356B"/>
          </w:tcPr>
          <w:p>
            <w:pPr>
              <w:jc w:val="center"/>
            </w:pPr>
            <w:r/>
            <w:r>
              <w:rPr>
                <w:b/>
                <w:color w:val="FFFFFF"/>
                <w:sz w:val="18"/>
              </w:rPr>
              <w:t>Our Team</w:t>
            </w:r>
          </w:p>
        </w:tc>
        <w:tc>
          <w:tcPr>
            <w:tcW w:type="dxa" w:w="4252"/>
            <w:shd w:val="clear" w:color="auto" w:fill="00356B"/>
          </w:tcPr>
          <w:p>
            <w:pPr>
              <w:jc w:val="center"/>
            </w:pPr>
            <w:r/>
            <w:r>
              <w:rPr>
                <w:b/>
                <w:color w:val="FFFFFF"/>
                <w:sz w:val="18"/>
              </w:rPr>
              <w:t>Client</w:t>
            </w:r>
          </w:p>
        </w:tc>
      </w:tr>
      <w:tr>
        <w:tc>
          <w:tcPr>
            <w:tcW w:type="dxa" w:w="1984"/>
          </w:tcPr>
          <w:p>
            <w:r>
              <w:rPr>
                <w:sz w:val="18"/>
              </w:rPr>
              <w:t>Notes / Observations</w:t>
            </w:r>
          </w:p>
        </w:tc>
        <w:tc>
          <w:tcPr>
            <w:tcW w:type="dxa" w:w="2835"/>
          </w:tcPr>
          <w:p>
            <w:r>
              <w:rPr>
                <w:sz w:val="18"/>
              </w:rPr>
              <w:t>☐  Pass</w:t>
              <w:br/>
              <w:t>☐  Fail</w:t>
            </w:r>
          </w:p>
        </w:tc>
        <w:tc>
          <w:tcPr>
            <w:tcW w:type="dxa" w:w="4252"/>
          </w:tcPr>
          <w:p>
            <w:r>
              <w:rPr>
                <w:sz w:val="18"/>
              </w:rPr>
              <w:t>☐  Accept</w:t>
              <w:br/>
              <w:t>☐  Reject</w:t>
            </w:r>
          </w:p>
        </w:tc>
      </w:tr>
    </w:tbl>
    <w:p>
      <w:r>
        <w:br w:type="page"/>
      </w:r>
    </w:p>
    <w:p>
      <w:pPr>
        <w:pStyle w:val="Heading2"/>
        <w:jc w:val="left"/>
      </w:pPr>
      <w:r>
        <w:rPr>
          <w:b/>
          <w:color w:val="00356B"/>
        </w:rPr>
        <w:t>Scenario 3 — Stage 1 Exception: Missing Material Mapping</w:t>
      </w:r>
    </w:p>
    <w:p>
      <w:pPr>
        <w:spacing w:before="0" w:after="80"/>
      </w:pPr>
      <w:r>
        <w:rPr>
          <w:b w:val="0"/>
          <w:i/>
          <w:sz w:val="20"/>
        </w:rPr>
        <w:t>🎯 Objective: Confirm that when a PO contains a Customer Material Number that has no matching Internal SAP Material, the system flags all missing items in the exception email.</w:t>
      </w:r>
    </w:p>
    <w:p/>
    <w:tbl>
      <w:tblPr>
        <w:tblStyle w:val="TableGrid"/>
        <w:tblW w:type="auto" w:w="0"/>
        <w:tblLook w:firstColumn="1" w:firstRow="1" w:lastColumn="0" w:lastRow="0" w:noHBand="0" w:noVBand="1" w:val="04A0"/>
      </w:tblPr>
      <w:tblGrid>
        <w:gridCol w:w="4703"/>
        <w:gridCol w:w="4703"/>
      </w:tblGrid>
      <w:tr>
        <w:tc>
          <w:tcPr>
            <w:tcW w:type="dxa" w:w="680"/>
            <w:shd w:val="clear" w:color="auto" w:fill="00356B"/>
          </w:tcPr>
          <w:p>
            <w:pPr>
              <w:jc w:val="center"/>
            </w:pPr>
            <w:r/>
            <w:r>
              <w:rPr>
                <w:b/>
                <w:color w:val="FFFFFF"/>
                <w:sz w:val="18"/>
              </w:rPr>
              <w:t>Step</w:t>
            </w:r>
          </w:p>
        </w:tc>
        <w:tc>
          <w:tcPr>
            <w:tcW w:type="dxa" w:w="8391"/>
            <w:shd w:val="clear" w:color="auto" w:fill="00356B"/>
          </w:tcPr>
          <w:p>
            <w:pPr>
              <w:jc w:val="center"/>
            </w:pPr>
            <w:r/>
            <w:r>
              <w:rPr>
                <w:b/>
                <w:color w:val="FFFFFF"/>
                <w:sz w:val="18"/>
              </w:rPr>
              <w:t>Action / Verification</w:t>
            </w:r>
          </w:p>
        </w:tc>
      </w:tr>
      <w:tr>
        <w:tc>
          <w:tcPr>
            <w:tcW w:type="dxa" w:w="680"/>
            <w:shd w:val="clear" w:color="auto" w:fill="FCE4E4"/>
          </w:tcPr>
          <w:p>
            <w:r>
              <w:rPr>
                <w:sz w:val="18"/>
              </w:rPr>
              <w:t>1</w:t>
            </w:r>
          </w:p>
        </w:tc>
        <w:tc>
          <w:tcPr>
            <w:tcW w:type="dxa" w:w="8391"/>
            <w:shd w:val="clear" w:color="auto" w:fill="FCE4E4"/>
          </w:tcPr>
          <w:p>
            <w:r>
              <w:rPr>
                <w:sz w:val="18"/>
              </w:rPr>
              <w:t>Send a PO email where the customer is KNOWN (mapped) but one or more line-item material codes are NOT present in the KNMT cross-reference table.</w:t>
            </w:r>
          </w:p>
        </w:tc>
      </w:tr>
      <w:tr>
        <w:tc>
          <w:tcPr>
            <w:tcW w:type="dxa" w:w="680"/>
            <w:shd w:val="clear" w:color="auto" w:fill="FFF2CC"/>
          </w:tcPr>
          <w:p>
            <w:r>
              <w:rPr>
                <w:sz w:val="18"/>
              </w:rPr>
              <w:t>2</w:t>
            </w:r>
          </w:p>
        </w:tc>
        <w:tc>
          <w:tcPr>
            <w:tcW w:type="dxa" w:w="8391"/>
            <w:shd w:val="clear" w:color="auto" w:fill="FFF2CC"/>
          </w:tcPr>
          <w:p>
            <w:r>
              <w:rPr>
                <w:sz w:val="18"/>
              </w:rPr>
              <w:t>Run the pipeline: python run_outlook_to_pipeline.py</w:t>
            </w:r>
          </w:p>
        </w:tc>
      </w:tr>
      <w:tr>
        <w:tc>
          <w:tcPr>
            <w:tcW w:type="dxa" w:w="680"/>
            <w:shd w:val="clear" w:color="auto" w:fill="FCE4E4"/>
          </w:tcPr>
          <w:p>
            <w:r>
              <w:rPr>
                <w:sz w:val="18"/>
              </w:rPr>
              <w:t>3</w:t>
            </w:r>
          </w:p>
        </w:tc>
        <w:tc>
          <w:tcPr>
            <w:tcW w:type="dxa" w:w="8391"/>
            <w:shd w:val="clear" w:color="auto" w:fill="FCE4E4"/>
          </w:tcPr>
          <w:p>
            <w:r>
              <w:rPr>
                <w:sz w:val="18"/>
              </w:rPr>
              <w:t>VERIFY: The PO email moves to "Exception POs" in Outlook.</w:t>
            </w:r>
          </w:p>
        </w:tc>
      </w:tr>
      <w:tr>
        <w:tc>
          <w:tcPr>
            <w:tcW w:type="dxa" w:w="680"/>
            <w:shd w:val="clear" w:color="auto" w:fill="FFF2CC"/>
          </w:tcPr>
          <w:p>
            <w:r>
              <w:rPr>
                <w:sz w:val="18"/>
              </w:rPr>
              <w:t>4</w:t>
            </w:r>
          </w:p>
        </w:tc>
        <w:tc>
          <w:tcPr>
            <w:tcW w:type="dxa" w:w="8391"/>
            <w:shd w:val="clear" w:color="auto" w:fill="FFF2CC"/>
          </w:tcPr>
          <w:p>
            <w:r>
              <w:rPr>
                <w:sz w:val="18"/>
              </w:rPr>
              <w:t>VERIFY: The CS team receives a structured HTML exception email showing:</w:t>
              <w:br/>
              <w:t xml:space="preserve">   • Sold-To: MATCHED (with customer ID shown)</w:t>
              <w:br/>
              <w:t xml:space="preserve">   • Ship-To: MATCHED or best-guess shown</w:t>
              <w:br/>
              <w:t xml:space="preserve">   • Missing Materials table listing every unresolved Customer Material Number</w:t>
              <w:br/>
              <w:t xml:space="preserve">   • Recommended Action: "Update Material Master Data in SAP or update the PO and resubmit"</w:t>
            </w:r>
          </w:p>
        </w:tc>
      </w:tr>
      <w:tr>
        <w:tc>
          <w:tcPr>
            <w:tcW w:type="dxa" w:w="680"/>
            <w:shd w:val="clear" w:color="auto" w:fill="FCE4E4"/>
          </w:tcPr>
          <w:p>
            <w:r>
              <w:rPr>
                <w:sz w:val="18"/>
              </w:rPr>
              <w:t>5</w:t>
            </w:r>
          </w:p>
        </w:tc>
        <w:tc>
          <w:tcPr>
            <w:tcW w:type="dxa" w:w="8391"/>
            <w:shd w:val="clear" w:color="auto" w:fill="FCE4E4"/>
          </w:tcPr>
          <w:p>
            <w:r>
              <w:rPr>
                <w:sz w:val="18"/>
              </w:rPr>
              <w:t>VERIFY: The exception email includes the original PO PDF as attachment.</w:t>
            </w:r>
          </w:p>
        </w:tc>
      </w:tr>
      <w:tr>
        <w:tc>
          <w:tcPr>
            <w:tcW w:type="dxa" w:w="680"/>
            <w:shd w:val="clear" w:color="auto" w:fill="FFF2CC"/>
          </w:tcPr>
          <w:p>
            <w:r>
              <w:rPr>
                <w:sz w:val="18"/>
              </w:rPr>
              <w:t>6</w:t>
            </w:r>
          </w:p>
        </w:tc>
        <w:tc>
          <w:tcPr>
            <w:tcW w:type="dxa" w:w="8391"/>
            <w:shd w:val="clear" w:color="auto" w:fill="FFF2CC"/>
          </w:tcPr>
          <w:p>
            <w:r>
              <w:rPr>
                <w:sz w:val="18"/>
              </w:rPr>
              <w:t>VERIFY: No partial Sales Order is created in SAP for the missing materials.</w:t>
            </w:r>
          </w:p>
        </w:tc>
      </w:tr>
    </w:tbl>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00356B"/>
          </w:tcPr>
          <w:p>
            <w:pPr>
              <w:jc w:val="center"/>
            </w:pPr>
            <w:r/>
            <w:r>
              <w:rPr>
                <w:b/>
                <w:color w:val="FFFFFF"/>
                <w:sz w:val="18"/>
              </w:rPr>
              <w:t>Result</w:t>
            </w:r>
          </w:p>
        </w:tc>
        <w:tc>
          <w:tcPr>
            <w:tcW w:type="dxa" w:w="2835"/>
            <w:shd w:val="clear" w:color="auto" w:fill="00356B"/>
          </w:tcPr>
          <w:p>
            <w:pPr>
              <w:jc w:val="center"/>
            </w:pPr>
            <w:r/>
            <w:r>
              <w:rPr>
                <w:b/>
                <w:color w:val="FFFFFF"/>
                <w:sz w:val="18"/>
              </w:rPr>
              <w:t>Our Team</w:t>
            </w:r>
          </w:p>
        </w:tc>
        <w:tc>
          <w:tcPr>
            <w:tcW w:type="dxa" w:w="4252"/>
            <w:shd w:val="clear" w:color="auto" w:fill="00356B"/>
          </w:tcPr>
          <w:p>
            <w:pPr>
              <w:jc w:val="center"/>
            </w:pPr>
            <w:r/>
            <w:r>
              <w:rPr>
                <w:b/>
                <w:color w:val="FFFFFF"/>
                <w:sz w:val="18"/>
              </w:rPr>
              <w:t>Client</w:t>
            </w:r>
          </w:p>
        </w:tc>
      </w:tr>
      <w:tr>
        <w:tc>
          <w:tcPr>
            <w:tcW w:type="dxa" w:w="1984"/>
          </w:tcPr>
          <w:p>
            <w:r>
              <w:rPr>
                <w:sz w:val="18"/>
              </w:rPr>
              <w:t>Notes / Observations</w:t>
            </w:r>
          </w:p>
        </w:tc>
        <w:tc>
          <w:tcPr>
            <w:tcW w:type="dxa" w:w="2835"/>
          </w:tcPr>
          <w:p>
            <w:r>
              <w:rPr>
                <w:sz w:val="18"/>
              </w:rPr>
              <w:t>☐  Pass</w:t>
              <w:br/>
              <w:t>☐  Fail</w:t>
            </w:r>
          </w:p>
        </w:tc>
        <w:tc>
          <w:tcPr>
            <w:tcW w:type="dxa" w:w="4252"/>
          </w:tcPr>
          <w:p>
            <w:r>
              <w:rPr>
                <w:sz w:val="18"/>
              </w:rPr>
              <w:t>☐  Accept</w:t>
              <w:br/>
              <w:t>☐  Reject</w:t>
            </w:r>
          </w:p>
        </w:tc>
      </w:tr>
    </w:tbl>
    <w:p>
      <w:r>
        <w:br w:type="page"/>
      </w:r>
    </w:p>
    <w:p>
      <w:pPr>
        <w:pStyle w:val="Heading2"/>
        <w:jc w:val="left"/>
      </w:pPr>
      <w:r>
        <w:rPr>
          <w:b/>
          <w:color w:val="00356B"/>
        </w:rPr>
        <w:t>Scenario 4 — Stage 2 Exception: Celonis Action Flow / SAP Block</w:t>
      </w:r>
    </w:p>
    <w:p>
      <w:pPr>
        <w:spacing w:before="0" w:after="80"/>
      </w:pPr>
      <w:r>
        <w:rPr>
          <w:b w:val="0"/>
          <w:i/>
          <w:sz w:val="20"/>
        </w:rPr>
        <w:t>🎯 Objective: Confirm that when the Celonis Action Flow fails to create a Sales Order in SAP (e.g. credit hold, validation error), the CS team receives a Stage 2 escalation email AFTER the Action Flow has run.</w:t>
      </w:r>
    </w:p>
    <w:p/>
    <w:tbl>
      <w:tblPr>
        <w:tblStyle w:val="TableGrid"/>
        <w:tblW w:type="auto" w:w="0"/>
        <w:tblLook w:firstColumn="1" w:firstRow="1" w:lastColumn="0" w:lastRow="0" w:noHBand="0" w:noVBand="1" w:val="04A0"/>
      </w:tblPr>
      <w:tblGrid>
        <w:gridCol w:w="4703"/>
        <w:gridCol w:w="4703"/>
      </w:tblGrid>
      <w:tr>
        <w:tc>
          <w:tcPr>
            <w:tcW w:type="dxa" w:w="680"/>
            <w:shd w:val="clear" w:color="auto" w:fill="00356B"/>
          </w:tcPr>
          <w:p>
            <w:pPr>
              <w:jc w:val="center"/>
            </w:pPr>
            <w:r/>
            <w:r>
              <w:rPr>
                <w:b/>
                <w:color w:val="FFFFFF"/>
                <w:sz w:val="18"/>
              </w:rPr>
              <w:t>Step</w:t>
            </w:r>
          </w:p>
        </w:tc>
        <w:tc>
          <w:tcPr>
            <w:tcW w:type="dxa" w:w="8391"/>
            <w:shd w:val="clear" w:color="auto" w:fill="00356B"/>
          </w:tcPr>
          <w:p>
            <w:pPr>
              <w:jc w:val="center"/>
            </w:pPr>
            <w:r/>
            <w:r>
              <w:rPr>
                <w:b/>
                <w:color w:val="FFFFFF"/>
                <w:sz w:val="18"/>
              </w:rPr>
              <w:t>Action / Verification</w:t>
            </w:r>
          </w:p>
        </w:tc>
      </w:tr>
      <w:tr>
        <w:tc>
          <w:tcPr>
            <w:tcW w:type="dxa" w:w="680"/>
            <w:shd w:val="clear" w:color="auto" w:fill="FCE4E4"/>
          </w:tcPr>
          <w:p>
            <w:r>
              <w:rPr>
                <w:sz w:val="18"/>
              </w:rPr>
              <w:t>1</w:t>
            </w:r>
          </w:p>
        </w:tc>
        <w:tc>
          <w:tcPr>
            <w:tcW w:type="dxa" w:w="8391"/>
            <w:shd w:val="clear" w:color="auto" w:fill="FCE4E4"/>
          </w:tcPr>
          <w:p>
            <w:r>
              <w:rPr>
                <w:sz w:val="18"/>
              </w:rPr>
              <w:t>Process a valid, fully-mapped PO (customer and material both known). Confirm the mapped JSON is pushed to Celonis PO_EXTRACTION_RESULTS.</w:t>
            </w:r>
          </w:p>
        </w:tc>
      </w:tr>
      <w:tr>
        <w:tc>
          <w:tcPr>
            <w:tcW w:type="dxa" w:w="680"/>
            <w:shd w:val="clear" w:color="auto" w:fill="FFF2CC"/>
          </w:tcPr>
          <w:p>
            <w:r>
              <w:rPr>
                <w:sz w:val="18"/>
              </w:rPr>
              <w:t>2</w:t>
            </w:r>
          </w:p>
        </w:tc>
        <w:tc>
          <w:tcPr>
            <w:tcW w:type="dxa" w:w="8391"/>
            <w:shd w:val="clear" w:color="auto" w:fill="FFF2CC"/>
          </w:tcPr>
          <w:p>
            <w:r>
              <w:rPr>
                <w:sz w:val="18"/>
              </w:rPr>
              <w:t>In Celonis or SAP, simulate a credit block or validation error for this customer so the Action Flow cannot complete SO creation.</w:t>
            </w:r>
          </w:p>
        </w:tc>
      </w:tr>
      <w:tr>
        <w:tc>
          <w:tcPr>
            <w:tcW w:type="dxa" w:w="680"/>
            <w:shd w:val="clear" w:color="auto" w:fill="FCE4E4"/>
          </w:tcPr>
          <w:p>
            <w:r>
              <w:rPr>
                <w:sz w:val="18"/>
              </w:rPr>
              <w:t>3</w:t>
            </w:r>
          </w:p>
        </w:tc>
        <w:tc>
          <w:tcPr>
            <w:tcW w:type="dxa" w:w="8391"/>
            <w:shd w:val="clear" w:color="auto" w:fill="FCE4E4"/>
          </w:tcPr>
          <w:p>
            <w:r>
              <w:rPr>
                <w:sz w:val="18"/>
              </w:rPr>
              <w:t>Run run_celonis_feedback.py (or wait for the scheduled post-processing step).</w:t>
            </w:r>
          </w:p>
        </w:tc>
      </w:tr>
      <w:tr>
        <w:tc>
          <w:tcPr>
            <w:tcW w:type="dxa" w:w="680"/>
            <w:shd w:val="clear" w:color="auto" w:fill="FFF2CC"/>
          </w:tcPr>
          <w:p>
            <w:r>
              <w:rPr>
                <w:sz w:val="18"/>
              </w:rPr>
              <w:t>4</w:t>
            </w:r>
          </w:p>
        </w:tc>
        <w:tc>
          <w:tcPr>
            <w:tcW w:type="dxa" w:w="8391"/>
            <w:shd w:val="clear" w:color="auto" w:fill="FFF2CC"/>
          </w:tcPr>
          <w:p>
            <w:r>
              <w:rPr>
                <w:sz w:val="18"/>
              </w:rPr>
              <w:t>VERIFY: The CS team receives a Stage 2 exception email specifying:</w:t>
              <w:br/>
              <w:t xml:space="preserve">   • Customer name and Sold-To ID</w:t>
              <w:br/>
              <w:t xml:space="preserve">   • PO Number and SAP Order reference</w:t>
              <w:br/>
              <w:t xml:space="preserve">   • Failure reason (credit block / validation error)</w:t>
              <w:br/>
              <w:t xml:space="preserve">   • Recommended Action: manual review in SAP</w:t>
            </w:r>
          </w:p>
        </w:tc>
      </w:tr>
      <w:tr>
        <w:tc>
          <w:tcPr>
            <w:tcW w:type="dxa" w:w="680"/>
            <w:shd w:val="clear" w:color="auto" w:fill="FCE4E4"/>
          </w:tcPr>
          <w:p>
            <w:r>
              <w:rPr>
                <w:sz w:val="18"/>
              </w:rPr>
              <w:t>5</w:t>
            </w:r>
          </w:p>
        </w:tc>
        <w:tc>
          <w:tcPr>
            <w:tcW w:type="dxa" w:w="8391"/>
            <w:shd w:val="clear" w:color="auto" w:fill="FCE4E4"/>
          </w:tcPr>
          <w:p>
            <w:r>
              <w:rPr>
                <w:sz w:val="18"/>
              </w:rPr>
              <w:t>VERIFY: The email is moved to "Exception POs" in Outlook.</w:t>
            </w:r>
          </w:p>
        </w:tc>
      </w:tr>
      <w:tr>
        <w:tc>
          <w:tcPr>
            <w:tcW w:type="dxa" w:w="680"/>
            <w:shd w:val="clear" w:color="auto" w:fill="FFF2CC"/>
          </w:tcPr>
          <w:p>
            <w:r>
              <w:rPr>
                <w:sz w:val="18"/>
              </w:rPr>
              <w:t>6</w:t>
            </w:r>
          </w:p>
        </w:tc>
        <w:tc>
          <w:tcPr>
            <w:tcW w:type="dxa" w:w="8391"/>
            <w:shd w:val="clear" w:color="auto" w:fill="FFF2CC"/>
          </w:tcPr>
          <w:p>
            <w:r>
              <w:rPr>
                <w:sz w:val="18"/>
              </w:rPr>
              <w:t>VERIFY: The Robona mailbox does NOT receive a notification (Robona only triggers on full success with no blocks).</w:t>
            </w:r>
          </w:p>
        </w:tc>
      </w:tr>
    </w:tbl>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00356B"/>
          </w:tcPr>
          <w:p>
            <w:pPr>
              <w:jc w:val="center"/>
            </w:pPr>
            <w:r/>
            <w:r>
              <w:rPr>
                <w:b/>
                <w:color w:val="FFFFFF"/>
                <w:sz w:val="18"/>
              </w:rPr>
              <w:t>Result</w:t>
            </w:r>
          </w:p>
        </w:tc>
        <w:tc>
          <w:tcPr>
            <w:tcW w:type="dxa" w:w="2835"/>
            <w:shd w:val="clear" w:color="auto" w:fill="00356B"/>
          </w:tcPr>
          <w:p>
            <w:pPr>
              <w:jc w:val="center"/>
            </w:pPr>
            <w:r/>
            <w:r>
              <w:rPr>
                <w:b/>
                <w:color w:val="FFFFFF"/>
                <w:sz w:val="18"/>
              </w:rPr>
              <w:t>Our Team</w:t>
            </w:r>
          </w:p>
        </w:tc>
        <w:tc>
          <w:tcPr>
            <w:tcW w:type="dxa" w:w="4252"/>
            <w:shd w:val="clear" w:color="auto" w:fill="00356B"/>
          </w:tcPr>
          <w:p>
            <w:pPr>
              <w:jc w:val="center"/>
            </w:pPr>
            <w:r/>
            <w:r>
              <w:rPr>
                <w:b/>
                <w:color w:val="FFFFFF"/>
                <w:sz w:val="18"/>
              </w:rPr>
              <w:t>Client</w:t>
            </w:r>
          </w:p>
        </w:tc>
      </w:tr>
      <w:tr>
        <w:tc>
          <w:tcPr>
            <w:tcW w:type="dxa" w:w="1984"/>
          </w:tcPr>
          <w:p>
            <w:r>
              <w:rPr>
                <w:sz w:val="18"/>
              </w:rPr>
              <w:t>Notes / Observations</w:t>
            </w:r>
          </w:p>
        </w:tc>
        <w:tc>
          <w:tcPr>
            <w:tcW w:type="dxa" w:w="2835"/>
          </w:tcPr>
          <w:p>
            <w:r>
              <w:rPr>
                <w:sz w:val="18"/>
              </w:rPr>
              <w:t>☐  Pass</w:t>
              <w:br/>
              <w:t>☐  Fail</w:t>
            </w:r>
          </w:p>
        </w:tc>
        <w:tc>
          <w:tcPr>
            <w:tcW w:type="dxa" w:w="4252"/>
          </w:tcPr>
          <w:p>
            <w:r>
              <w:rPr>
                <w:sz w:val="18"/>
              </w:rPr>
              <w:t>☐  Accept</w:t>
              <w:br/>
              <w:t>☐  Reject</w:t>
            </w:r>
          </w:p>
        </w:tc>
      </w:tr>
    </w:tbl>
    <w:p>
      <w:r>
        <w:br w:type="page"/>
      </w:r>
    </w:p>
    <w:p>
      <w:pPr>
        <w:pStyle w:val="Heading2"/>
        <w:jc w:val="left"/>
      </w:pPr>
      <w:r>
        <w:rPr>
          <w:b/>
          <w:color w:val="00356B"/>
        </w:rPr>
        <w:t>Scenario 5 — Robona RPA: Audit Email Linkage Verification</w:t>
      </w:r>
    </w:p>
    <w:p>
      <w:pPr>
        <w:spacing w:before="0" w:after="80"/>
      </w:pPr>
      <w:r>
        <w:rPr>
          <w:b w:val="0"/>
          <w:i/>
          <w:sz w:val="20"/>
        </w:rPr>
        <w:t>🎯 Objective: Confirm that after a successful SAP Sales Order creation, the Robona RPA service receives the correct notification email and can link the original PO email to the SAP Sales Order record.</w:t>
      </w:r>
    </w:p>
    <w:p/>
    <w:tbl>
      <w:tblPr>
        <w:tblStyle w:val="TableGrid"/>
        <w:tblW w:type="auto" w:w="0"/>
        <w:tblLook w:firstColumn="1" w:firstRow="1" w:lastColumn="0" w:lastRow="0" w:noHBand="0" w:noVBand="1" w:val="04A0"/>
      </w:tblPr>
      <w:tblGrid>
        <w:gridCol w:w="4703"/>
        <w:gridCol w:w="4703"/>
      </w:tblGrid>
      <w:tr>
        <w:tc>
          <w:tcPr>
            <w:tcW w:type="dxa" w:w="680"/>
            <w:shd w:val="clear" w:color="auto" w:fill="00356B"/>
          </w:tcPr>
          <w:p>
            <w:pPr>
              <w:jc w:val="center"/>
            </w:pPr>
            <w:r/>
            <w:r>
              <w:rPr>
                <w:b/>
                <w:color w:val="FFFFFF"/>
                <w:sz w:val="18"/>
              </w:rPr>
              <w:t>Step</w:t>
            </w:r>
          </w:p>
        </w:tc>
        <w:tc>
          <w:tcPr>
            <w:tcW w:type="dxa" w:w="8391"/>
            <w:shd w:val="clear" w:color="auto" w:fill="00356B"/>
          </w:tcPr>
          <w:p>
            <w:pPr>
              <w:jc w:val="center"/>
            </w:pPr>
            <w:r/>
            <w:r>
              <w:rPr>
                <w:b/>
                <w:color w:val="FFFFFF"/>
                <w:sz w:val="18"/>
              </w:rPr>
              <w:t>Action / Verification</w:t>
            </w:r>
          </w:p>
        </w:tc>
      </w:tr>
      <w:tr>
        <w:tc>
          <w:tcPr>
            <w:tcW w:type="dxa" w:w="680"/>
            <w:shd w:val="clear" w:color="auto" w:fill="D6F0D6"/>
          </w:tcPr>
          <w:p>
            <w:r>
              <w:rPr>
                <w:sz w:val="18"/>
              </w:rPr>
              <w:t>1</w:t>
            </w:r>
          </w:p>
        </w:tc>
        <w:tc>
          <w:tcPr>
            <w:tcW w:type="dxa" w:w="8391"/>
            <w:shd w:val="clear" w:color="auto" w:fill="D6F0D6"/>
          </w:tcPr>
          <w:p>
            <w:r>
              <w:rPr>
                <w:sz w:val="18"/>
              </w:rPr>
              <w:t>Use the same successfully processed PO from Scenario 1 (or run a fresh happy-path PO).</w:t>
            </w:r>
          </w:p>
        </w:tc>
      </w:tr>
      <w:tr>
        <w:tc>
          <w:tcPr>
            <w:tcW w:type="dxa" w:w="680"/>
            <w:shd w:val="clear" w:color="auto" w:fill="FFFFFF"/>
          </w:tcPr>
          <w:p>
            <w:r>
              <w:rPr>
                <w:sz w:val="18"/>
              </w:rPr>
              <w:t>2</w:t>
            </w:r>
          </w:p>
        </w:tc>
        <w:tc>
          <w:tcPr>
            <w:tcW w:type="dxa" w:w="8391"/>
            <w:shd w:val="clear" w:color="auto" w:fill="FFFFFF"/>
          </w:tcPr>
          <w:p>
            <w:r>
              <w:rPr>
                <w:sz w:val="18"/>
              </w:rPr>
              <w:t>Confirm the Sales Order was created in SAP (check SAP EPP or Celonis Action Flow log for the SO number).</w:t>
            </w:r>
          </w:p>
        </w:tc>
      </w:tr>
      <w:tr>
        <w:tc>
          <w:tcPr>
            <w:tcW w:type="dxa" w:w="680"/>
            <w:shd w:val="clear" w:color="auto" w:fill="D6F0D6"/>
          </w:tcPr>
          <w:p>
            <w:r>
              <w:rPr>
                <w:sz w:val="18"/>
              </w:rPr>
              <w:t>3</w:t>
            </w:r>
          </w:p>
        </w:tc>
        <w:tc>
          <w:tcPr>
            <w:tcW w:type="dxa" w:w="8391"/>
            <w:shd w:val="clear" w:color="auto" w:fill="D6F0D6"/>
          </w:tcPr>
          <w:p>
            <w:r>
              <w:rPr>
                <w:sz w:val="18"/>
              </w:rPr>
              <w:t>Run run_celonis_feedback.py (or wait for the scheduled run).</w:t>
            </w:r>
          </w:p>
        </w:tc>
      </w:tr>
      <w:tr>
        <w:tc>
          <w:tcPr>
            <w:tcW w:type="dxa" w:w="680"/>
            <w:shd w:val="clear" w:color="auto" w:fill="FFFFFF"/>
          </w:tcPr>
          <w:p>
            <w:r>
              <w:rPr>
                <w:sz w:val="18"/>
              </w:rPr>
              <w:t>4</w:t>
            </w:r>
          </w:p>
        </w:tc>
        <w:tc>
          <w:tcPr>
            <w:tcW w:type="dxa" w:w="8391"/>
            <w:shd w:val="clear" w:color="auto" w:fill="FFFFFF"/>
          </w:tcPr>
          <w:p>
            <w:r>
              <w:rPr>
                <w:sz w:val="18"/>
              </w:rPr>
              <w:t>VERIFY: The Robona service mailbox receives an email with:</w:t>
              <w:br/>
              <w:t xml:space="preserve">   • Subject: "[Original PO Email Subject] SO# [SAP SO Number]"</w:t>
              <w:br/>
              <w:t xml:space="preserve">   • Body: SAP SO Number and original message ID</w:t>
              <w:br/>
              <w:t xml:space="preserve">   • Sent from the pipeline service account</w:t>
            </w:r>
          </w:p>
        </w:tc>
      </w:tr>
      <w:tr>
        <w:tc>
          <w:tcPr>
            <w:tcW w:type="dxa" w:w="680"/>
            <w:shd w:val="clear" w:color="auto" w:fill="D6F0D6"/>
          </w:tcPr>
          <w:p>
            <w:r>
              <w:rPr>
                <w:sz w:val="18"/>
              </w:rPr>
              <w:t>5</w:t>
            </w:r>
          </w:p>
        </w:tc>
        <w:tc>
          <w:tcPr>
            <w:tcW w:type="dxa" w:w="8391"/>
            <w:shd w:val="clear" w:color="auto" w:fill="D6F0D6"/>
          </w:tcPr>
          <w:p>
            <w:r>
              <w:rPr>
                <w:sz w:val="18"/>
              </w:rPr>
              <w:t>VERIFY: The original PO email is visible in the "Processed POs" folder in Outlook (for Robona to retrieve).</w:t>
            </w:r>
          </w:p>
        </w:tc>
      </w:tr>
      <w:tr>
        <w:tc>
          <w:tcPr>
            <w:tcW w:type="dxa" w:w="680"/>
            <w:shd w:val="clear" w:color="auto" w:fill="FFFFFF"/>
          </w:tcPr>
          <w:p>
            <w:r>
              <w:rPr>
                <w:sz w:val="18"/>
              </w:rPr>
              <w:t>6</w:t>
            </w:r>
          </w:p>
        </w:tc>
        <w:tc>
          <w:tcPr>
            <w:tcW w:type="dxa" w:w="8391"/>
            <w:shd w:val="clear" w:color="auto" w:fill="FFFFFF"/>
          </w:tcPr>
          <w:p>
            <w:r>
              <w:rPr>
                <w:sz w:val="18"/>
              </w:rPr>
              <w:t>VERIFY (with Robona team): Robona successfully retrieves the original email and creates the link in SAP.</w:t>
            </w:r>
          </w:p>
        </w:tc>
      </w:tr>
    </w:tbl>
    <w:p/>
    <w:tbl>
      <w:tblPr>
        <w:tblStyle w:val="TableGrid"/>
        <w:tblW w:type="auto" w:w="0"/>
        <w:tblLook w:firstColumn="1" w:firstRow="1" w:lastColumn="0" w:lastRow="0" w:noHBand="0" w:noVBand="1" w:val="04A0"/>
      </w:tblPr>
      <w:tblGrid>
        <w:gridCol w:w="3135"/>
        <w:gridCol w:w="3135"/>
        <w:gridCol w:w="3135"/>
      </w:tblGrid>
      <w:tr>
        <w:tc>
          <w:tcPr>
            <w:tcW w:type="dxa" w:w="1984"/>
            <w:shd w:val="clear" w:color="auto" w:fill="00356B"/>
          </w:tcPr>
          <w:p>
            <w:pPr>
              <w:jc w:val="center"/>
            </w:pPr>
            <w:r/>
            <w:r>
              <w:rPr>
                <w:b/>
                <w:color w:val="FFFFFF"/>
                <w:sz w:val="18"/>
              </w:rPr>
              <w:t>Result</w:t>
            </w:r>
          </w:p>
        </w:tc>
        <w:tc>
          <w:tcPr>
            <w:tcW w:type="dxa" w:w="2835"/>
            <w:shd w:val="clear" w:color="auto" w:fill="00356B"/>
          </w:tcPr>
          <w:p>
            <w:pPr>
              <w:jc w:val="center"/>
            </w:pPr>
            <w:r/>
            <w:r>
              <w:rPr>
                <w:b/>
                <w:color w:val="FFFFFF"/>
                <w:sz w:val="18"/>
              </w:rPr>
              <w:t>Our Team</w:t>
            </w:r>
          </w:p>
        </w:tc>
        <w:tc>
          <w:tcPr>
            <w:tcW w:type="dxa" w:w="4252"/>
            <w:shd w:val="clear" w:color="auto" w:fill="00356B"/>
          </w:tcPr>
          <w:p>
            <w:pPr>
              <w:jc w:val="center"/>
            </w:pPr>
            <w:r/>
            <w:r>
              <w:rPr>
                <w:b/>
                <w:color w:val="FFFFFF"/>
                <w:sz w:val="18"/>
              </w:rPr>
              <w:t>Client</w:t>
            </w:r>
          </w:p>
        </w:tc>
      </w:tr>
      <w:tr>
        <w:tc>
          <w:tcPr>
            <w:tcW w:type="dxa" w:w="1984"/>
          </w:tcPr>
          <w:p>
            <w:r>
              <w:rPr>
                <w:sz w:val="18"/>
              </w:rPr>
              <w:t>Notes / Observations</w:t>
            </w:r>
          </w:p>
        </w:tc>
        <w:tc>
          <w:tcPr>
            <w:tcW w:type="dxa" w:w="2835"/>
          </w:tcPr>
          <w:p>
            <w:r>
              <w:rPr>
                <w:sz w:val="18"/>
              </w:rPr>
              <w:t>☐  Pass</w:t>
              <w:br/>
              <w:t>☐  Fail</w:t>
            </w:r>
          </w:p>
        </w:tc>
        <w:tc>
          <w:tcPr>
            <w:tcW w:type="dxa" w:w="4252"/>
          </w:tcPr>
          <w:p>
            <w:r>
              <w:rPr>
                <w:sz w:val="18"/>
              </w:rPr>
              <w:t>☐  Accept</w:t>
              <w:br/>
              <w:t>☐  Reject</w:t>
            </w:r>
          </w:p>
        </w:tc>
      </w:tr>
    </w:tbl>
    <w:p>
      <w:r>
        <w:br w:type="page"/>
      </w:r>
    </w:p>
    <w:p>
      <w:pPr>
        <w:pStyle w:val="Heading1"/>
        <w:jc w:val="left"/>
      </w:pPr>
      <w:r>
        <w:rPr>
          <w:b/>
          <w:color w:val="00356B"/>
        </w:rPr>
        <w:t>6.  Sign-Off Conditions</w:t>
      </w:r>
    </w:p>
    <w:p>
      <w:pPr>
        <w:spacing w:before="0" w:after="80"/>
      </w:pPr>
      <w:r>
        <w:rPr>
          <w:b w:val="0"/>
          <w:i w:val="0"/>
          <w:sz w:val="20"/>
        </w:rPr>
        <w:t>UAT is considered complete and the system is accepted for production handover when ALL of the following conditions are met:</w:t>
      </w:r>
    </w:p>
    <w:p/>
    <w:p>
      <w:pPr>
        <w:pStyle w:val="ListBullet"/>
        <w:spacing w:after="40"/>
      </w:pPr>
      <w:r>
        <w:rPr>
          <w:sz w:val="20"/>
        </w:rPr>
        <w:t>All 13 Pre-Validation Checklist items are marked as "Confirmed" by the client team.</w:t>
      </w:r>
    </w:p>
    <w:p>
      <w:pPr>
        <w:pStyle w:val="ListBullet"/>
        <w:spacing w:after="40"/>
      </w:pPr>
      <w:r>
        <w:rPr>
          <w:sz w:val="20"/>
        </w:rPr>
        <w:t>All 5 Acceptance Test Scenarios are marked as "Accept" by the client team.</w:t>
      </w:r>
    </w:p>
    <w:p>
      <w:pPr>
        <w:pStyle w:val="ListBullet"/>
        <w:spacing w:after="40"/>
      </w:pPr>
      <w:r>
        <w:rPr>
          <w:sz w:val="20"/>
        </w:rPr>
        <w:t>All identified gaps have an assigned owner and agreed resolution date.</w:t>
      </w:r>
    </w:p>
    <w:p>
      <w:pPr>
        <w:pStyle w:val="ListBullet"/>
        <w:spacing w:after="40"/>
      </w:pPr>
      <w:r>
        <w:rPr>
          <w:sz w:val="20"/>
        </w:rPr>
        <w:t>No critical (P1) defects remain open.</w:t>
      </w:r>
    </w:p>
    <w:p>
      <w:pPr>
        <w:pStyle w:val="ListBullet"/>
        <w:spacing w:after="40"/>
      </w:pPr>
      <w:r>
        <w:rPr>
          <w:sz w:val="20"/>
        </w:rPr>
        <w:t>The client has confirmed Robona RPA integration is operational and the audit linkage is verified.</w:t>
      </w:r>
    </w:p>
    <w:p/>
    <w:tbl>
      <w:tblPr>
        <w:tblStyle w:val="TableGrid"/>
        <w:tblW w:type="auto" w:w="0"/>
        <w:tblLook w:firstColumn="1" w:firstRow="1" w:lastColumn="0" w:lastRow="0" w:noHBand="0" w:noVBand="1" w:val="04A0"/>
      </w:tblPr>
      <w:tblGrid>
        <w:gridCol w:w="2351"/>
        <w:gridCol w:w="2351"/>
        <w:gridCol w:w="2351"/>
        <w:gridCol w:w="2351"/>
      </w:tblGrid>
      <w:tr>
        <w:tc>
          <w:tcPr>
            <w:tcW w:type="dxa" w:w="2551"/>
            <w:shd w:val="clear" w:color="auto" w:fill="00356B"/>
          </w:tcPr>
          <w:p>
            <w:pPr>
              <w:jc w:val="center"/>
            </w:pPr>
            <w:r/>
            <w:r>
              <w:rPr>
                <w:b/>
                <w:color w:val="FFFFFF"/>
                <w:sz w:val="18"/>
              </w:rPr>
              <w:t>Role</w:t>
            </w:r>
          </w:p>
        </w:tc>
        <w:tc>
          <w:tcPr>
            <w:tcW w:type="dxa" w:w="2551"/>
            <w:shd w:val="clear" w:color="auto" w:fill="00356B"/>
          </w:tcPr>
          <w:p>
            <w:pPr>
              <w:jc w:val="center"/>
            </w:pPr>
            <w:r/>
            <w:r>
              <w:rPr>
                <w:b/>
                <w:color w:val="FFFFFF"/>
                <w:sz w:val="18"/>
              </w:rPr>
              <w:t>Name</w:t>
            </w:r>
          </w:p>
        </w:tc>
        <w:tc>
          <w:tcPr>
            <w:tcW w:type="dxa" w:w="2551"/>
            <w:shd w:val="clear" w:color="auto" w:fill="00356B"/>
          </w:tcPr>
          <w:p>
            <w:pPr>
              <w:jc w:val="center"/>
            </w:pPr>
            <w:r/>
            <w:r>
              <w:rPr>
                <w:b/>
                <w:color w:val="FFFFFF"/>
                <w:sz w:val="18"/>
              </w:rPr>
              <w:t>Signature</w:t>
            </w:r>
          </w:p>
        </w:tc>
        <w:tc>
          <w:tcPr>
            <w:tcW w:type="dxa" w:w="1417"/>
            <w:shd w:val="clear" w:color="auto" w:fill="00356B"/>
          </w:tcPr>
          <w:p>
            <w:pPr>
              <w:jc w:val="center"/>
            </w:pPr>
            <w:r/>
            <w:r>
              <w:rPr>
                <w:b/>
                <w:color w:val="FFFFFF"/>
                <w:sz w:val="18"/>
              </w:rPr>
              <w:t>Date</w:t>
            </w:r>
          </w:p>
        </w:tc>
      </w:tr>
      <w:tr>
        <w:tc>
          <w:tcPr>
            <w:tcW w:type="dxa" w:w="2551"/>
          </w:tcPr>
          <w:p>
            <w:r>
              <w:rPr>
                <w:sz w:val="18"/>
              </w:rPr>
              <w:t>Client Project Lead</w:t>
            </w:r>
          </w:p>
        </w:tc>
        <w:tc>
          <w:tcPr>
            <w:tcW w:type="dxa" w:w="2551"/>
          </w:tcPr>
          <w:p>
            <w:r>
              <w:rPr>
                <w:sz w:val="18"/>
              </w:rPr>
            </w:r>
          </w:p>
        </w:tc>
        <w:tc>
          <w:tcPr>
            <w:tcW w:type="dxa" w:w="2551"/>
          </w:tcPr>
          <w:p>
            <w:r>
              <w:rPr>
                <w:sz w:val="18"/>
              </w:rPr>
            </w:r>
          </w:p>
        </w:tc>
        <w:tc>
          <w:tcPr>
            <w:tcW w:type="dxa" w:w="1417"/>
          </w:tcPr>
          <w:p>
            <w:r>
              <w:rPr>
                <w:sz w:val="18"/>
              </w:rPr>
            </w:r>
          </w:p>
        </w:tc>
      </w:tr>
      <w:tr>
        <w:tc>
          <w:tcPr>
            <w:tcW w:type="dxa" w:w="2551"/>
          </w:tcPr>
          <w:p>
            <w:r>
              <w:rPr>
                <w:sz w:val="18"/>
              </w:rPr>
              <w:t>Client CS Team Lead</w:t>
            </w:r>
          </w:p>
        </w:tc>
        <w:tc>
          <w:tcPr>
            <w:tcW w:type="dxa" w:w="2551"/>
          </w:tcPr>
          <w:p>
            <w:r>
              <w:rPr>
                <w:sz w:val="18"/>
              </w:rPr>
            </w:r>
          </w:p>
        </w:tc>
        <w:tc>
          <w:tcPr>
            <w:tcW w:type="dxa" w:w="2551"/>
          </w:tcPr>
          <w:p>
            <w:r>
              <w:rPr>
                <w:sz w:val="18"/>
              </w:rPr>
            </w:r>
          </w:p>
        </w:tc>
        <w:tc>
          <w:tcPr>
            <w:tcW w:type="dxa" w:w="1417"/>
          </w:tcPr>
          <w:p>
            <w:r>
              <w:rPr>
                <w:sz w:val="18"/>
              </w:rPr>
            </w:r>
          </w:p>
        </w:tc>
      </w:tr>
      <w:tr>
        <w:tc>
          <w:tcPr>
            <w:tcW w:type="dxa" w:w="2551"/>
          </w:tcPr>
          <w:p>
            <w:r>
              <w:rPr>
                <w:sz w:val="18"/>
              </w:rPr>
              <w:t>AI Agent Project Lead</w:t>
            </w:r>
          </w:p>
        </w:tc>
        <w:tc>
          <w:tcPr>
            <w:tcW w:type="dxa" w:w="2551"/>
          </w:tcPr>
          <w:p>
            <w:r>
              <w:rPr>
                <w:sz w:val="18"/>
              </w:rPr>
            </w:r>
          </w:p>
        </w:tc>
        <w:tc>
          <w:tcPr>
            <w:tcW w:type="dxa" w:w="2551"/>
          </w:tcPr>
          <w:p>
            <w:r>
              <w:rPr>
                <w:sz w:val="18"/>
              </w:rPr>
            </w:r>
          </w:p>
        </w:tc>
        <w:tc>
          <w:tcPr>
            <w:tcW w:type="dxa" w:w="1417"/>
          </w:tcPr>
          <w:p>
            <w:r>
              <w:rPr>
                <w:sz w:val="18"/>
              </w:rPr>
            </w:r>
          </w:p>
        </w:tc>
      </w:tr>
    </w:tbl>
    <w:p>
      <w:r>
        <w:br w:type="page"/>
      </w:r>
    </w:p>
    <w:p>
      <w:pPr>
        <w:pStyle w:val="Heading1"/>
        <w:jc w:val="left"/>
      </w:pPr>
      <w:r>
        <w:rPr>
          <w:b/>
          <w:color w:val="00356B"/>
        </w:rPr>
        <w:t>7.  Gap &amp; Action Log</w:t>
      </w:r>
    </w:p>
    <w:p>
      <w:pPr>
        <w:spacing w:before="0" w:after="80"/>
      </w:pPr>
      <w:r>
        <w:rPr>
          <w:b w:val="0"/>
          <w:i w:val="0"/>
          <w:sz w:val="20"/>
        </w:rPr>
        <w:t>Record any gaps or disagreements identified during Pre-Validation or Scenario testing.</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567"/>
            <w:shd w:val="clear" w:color="auto" w:fill="00356B"/>
          </w:tcPr>
          <w:p>
            <w:pPr>
              <w:jc w:val="center"/>
            </w:pPr>
            <w:r/>
            <w:r>
              <w:rPr>
                <w:b/>
                <w:color w:val="FFFFFF"/>
                <w:sz w:val="18"/>
              </w:rPr>
              <w:t>Ref</w:t>
            </w:r>
          </w:p>
        </w:tc>
        <w:tc>
          <w:tcPr>
            <w:tcW w:type="dxa" w:w="2551"/>
            <w:shd w:val="clear" w:color="auto" w:fill="00356B"/>
          </w:tcPr>
          <w:p>
            <w:pPr>
              <w:jc w:val="center"/>
            </w:pPr>
            <w:r/>
            <w:r>
              <w:rPr>
                <w:b/>
                <w:color w:val="FFFFFF"/>
                <w:sz w:val="18"/>
              </w:rPr>
              <w:t>Description of Gap</w:t>
            </w:r>
          </w:p>
        </w:tc>
        <w:tc>
          <w:tcPr>
            <w:tcW w:type="dxa" w:w="1984"/>
            <w:shd w:val="clear" w:color="auto" w:fill="00356B"/>
          </w:tcPr>
          <w:p>
            <w:pPr>
              <w:jc w:val="center"/>
            </w:pPr>
            <w:r/>
            <w:r>
              <w:rPr>
                <w:b/>
                <w:color w:val="FFFFFF"/>
                <w:sz w:val="18"/>
              </w:rPr>
              <w:t>Expected (Client)</w:t>
            </w:r>
          </w:p>
        </w:tc>
        <w:tc>
          <w:tcPr>
            <w:tcW w:type="dxa" w:w="1984"/>
            <w:shd w:val="clear" w:color="auto" w:fill="00356B"/>
          </w:tcPr>
          <w:p>
            <w:pPr>
              <w:jc w:val="center"/>
            </w:pPr>
            <w:r/>
            <w:r>
              <w:rPr>
                <w:b/>
                <w:color w:val="FFFFFF"/>
                <w:sz w:val="18"/>
              </w:rPr>
              <w:t>Action Required</w:t>
            </w:r>
          </w:p>
        </w:tc>
        <w:tc>
          <w:tcPr>
            <w:tcW w:type="dxa" w:w="1134"/>
            <w:shd w:val="clear" w:color="auto" w:fill="00356B"/>
          </w:tcPr>
          <w:p>
            <w:pPr>
              <w:jc w:val="center"/>
            </w:pPr>
            <w:r/>
            <w:r>
              <w:rPr>
                <w:b/>
                <w:color w:val="FFFFFF"/>
                <w:sz w:val="18"/>
              </w:rPr>
              <w:t>Owner</w:t>
            </w:r>
          </w:p>
        </w:tc>
        <w:tc>
          <w:tcPr>
            <w:tcW w:type="dxa" w:w="850"/>
            <w:shd w:val="clear" w:color="auto" w:fill="00356B"/>
          </w:tcPr>
          <w:p>
            <w:pPr>
              <w:jc w:val="center"/>
            </w:pPr>
            <w:r/>
            <w:r>
              <w:rPr>
                <w:b/>
                <w:color w:val="FFFFFF"/>
                <w:sz w:val="18"/>
              </w:rPr>
              <w:t>Due Date</w:t>
            </w:r>
          </w:p>
        </w:tc>
      </w:tr>
      <w:tr>
        <w:tc>
          <w:tcPr>
            <w:tcW w:type="dxa" w:w="567"/>
            <w:shd w:val="clear" w:color="auto" w:fill="D6E8F7"/>
          </w:tcPr>
          <w:p>
            <w:r>
              <w:rPr>
                <w:sz w:val="18"/>
              </w:rPr>
              <w:t>G-01</w:t>
            </w:r>
          </w:p>
        </w:tc>
        <w:tc>
          <w:tcPr>
            <w:tcW w:type="dxa" w:w="2551"/>
          </w:tcPr>
          <w:p/>
        </w:tc>
        <w:tc>
          <w:tcPr>
            <w:tcW w:type="dxa" w:w="1984"/>
          </w:tcPr>
          <w:p/>
        </w:tc>
        <w:tc>
          <w:tcPr>
            <w:tcW w:type="dxa" w:w="1984"/>
          </w:tcPr>
          <w:p/>
        </w:tc>
        <w:tc>
          <w:tcPr>
            <w:tcW w:type="dxa" w:w="1134"/>
          </w:tcPr>
          <w:p/>
        </w:tc>
        <w:tc>
          <w:tcPr>
            <w:tcW w:type="dxa" w:w="850"/>
          </w:tcPr>
          <w:p/>
        </w:tc>
      </w:tr>
      <w:tr>
        <w:tc>
          <w:tcPr>
            <w:tcW w:type="dxa" w:w="567"/>
            <w:shd w:val="clear" w:color="auto" w:fill="D6E8F7"/>
          </w:tcPr>
          <w:p>
            <w:r>
              <w:rPr>
                <w:sz w:val="18"/>
              </w:rPr>
              <w:t>G-02</w:t>
            </w:r>
          </w:p>
        </w:tc>
        <w:tc>
          <w:tcPr>
            <w:tcW w:type="dxa" w:w="2551"/>
          </w:tcPr>
          <w:p/>
        </w:tc>
        <w:tc>
          <w:tcPr>
            <w:tcW w:type="dxa" w:w="1984"/>
          </w:tcPr>
          <w:p/>
        </w:tc>
        <w:tc>
          <w:tcPr>
            <w:tcW w:type="dxa" w:w="1984"/>
          </w:tcPr>
          <w:p/>
        </w:tc>
        <w:tc>
          <w:tcPr>
            <w:tcW w:type="dxa" w:w="1134"/>
          </w:tcPr>
          <w:p/>
        </w:tc>
        <w:tc>
          <w:tcPr>
            <w:tcW w:type="dxa" w:w="850"/>
          </w:tcPr>
          <w:p/>
        </w:tc>
      </w:tr>
      <w:tr>
        <w:tc>
          <w:tcPr>
            <w:tcW w:type="dxa" w:w="567"/>
            <w:shd w:val="clear" w:color="auto" w:fill="D6E8F7"/>
          </w:tcPr>
          <w:p>
            <w:r>
              <w:rPr>
                <w:sz w:val="18"/>
              </w:rPr>
              <w:t>G-03</w:t>
            </w:r>
          </w:p>
        </w:tc>
        <w:tc>
          <w:tcPr>
            <w:tcW w:type="dxa" w:w="2551"/>
          </w:tcPr>
          <w:p/>
        </w:tc>
        <w:tc>
          <w:tcPr>
            <w:tcW w:type="dxa" w:w="1984"/>
          </w:tcPr>
          <w:p/>
        </w:tc>
        <w:tc>
          <w:tcPr>
            <w:tcW w:type="dxa" w:w="1984"/>
          </w:tcPr>
          <w:p/>
        </w:tc>
        <w:tc>
          <w:tcPr>
            <w:tcW w:type="dxa" w:w="1134"/>
          </w:tcPr>
          <w:p/>
        </w:tc>
        <w:tc>
          <w:tcPr>
            <w:tcW w:type="dxa" w:w="850"/>
          </w:tcPr>
          <w:p/>
        </w:tc>
      </w:tr>
      <w:tr>
        <w:tc>
          <w:tcPr>
            <w:tcW w:type="dxa" w:w="567"/>
            <w:shd w:val="clear" w:color="auto" w:fill="D6E8F7"/>
          </w:tcPr>
          <w:p>
            <w:r>
              <w:rPr>
                <w:sz w:val="18"/>
              </w:rPr>
              <w:t>G-04</w:t>
            </w:r>
          </w:p>
        </w:tc>
        <w:tc>
          <w:tcPr>
            <w:tcW w:type="dxa" w:w="2551"/>
          </w:tcPr>
          <w:p/>
        </w:tc>
        <w:tc>
          <w:tcPr>
            <w:tcW w:type="dxa" w:w="1984"/>
          </w:tcPr>
          <w:p/>
        </w:tc>
        <w:tc>
          <w:tcPr>
            <w:tcW w:type="dxa" w:w="1984"/>
          </w:tcPr>
          <w:p/>
        </w:tc>
        <w:tc>
          <w:tcPr>
            <w:tcW w:type="dxa" w:w="1134"/>
          </w:tcPr>
          <w:p/>
        </w:tc>
        <w:tc>
          <w:tcPr>
            <w:tcW w:type="dxa" w:w="850"/>
          </w:tcPr>
          <w:p/>
        </w:tc>
      </w:tr>
      <w:tr>
        <w:tc>
          <w:tcPr>
            <w:tcW w:type="dxa" w:w="567"/>
            <w:shd w:val="clear" w:color="auto" w:fill="D6E8F7"/>
          </w:tcPr>
          <w:p>
            <w:r>
              <w:rPr>
                <w:sz w:val="18"/>
              </w:rPr>
              <w:t>G-05</w:t>
            </w:r>
          </w:p>
        </w:tc>
        <w:tc>
          <w:tcPr>
            <w:tcW w:type="dxa" w:w="2551"/>
          </w:tcPr>
          <w:p/>
        </w:tc>
        <w:tc>
          <w:tcPr>
            <w:tcW w:type="dxa" w:w="1984"/>
          </w:tcPr>
          <w:p/>
        </w:tc>
        <w:tc>
          <w:tcPr>
            <w:tcW w:type="dxa" w:w="1984"/>
          </w:tcPr>
          <w:p/>
        </w:tc>
        <w:tc>
          <w:tcPr>
            <w:tcW w:type="dxa" w:w="1134"/>
          </w:tcPr>
          <w:p/>
        </w:tc>
        <w:tc>
          <w:tcPr>
            <w:tcW w:type="dxa" w:w="850"/>
          </w:tcP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