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5: Verification &amp; Quality Assurance</w:t>
      </w:r>
    </w:p>
    <w:p>
      <w:pPr>
        <w:pStyle w:val="Heading1"/>
      </w:pPr>
      <w:r>
        <w:t>1. UAT Success Criteria</w:t>
      </w:r>
    </w:p>
    <w:p>
      <w:r>
        <w:t>This unit summarizes the successful testing cycles conducted to validate the Touchless system.</w:t>
      </w:r>
    </w:p>
    <w:p>
      <w:pPr>
        <w:pStyle w:val="Heading1"/>
      </w:pPr>
      <w:r>
        <w:t>2. Functional Unit Testing (FUT)</w:t>
      </w:r>
    </w:p>
    <w:p>
      <w:r>
        <w:t>Validates that data extraction matches the PO source with high precision. Results: Passed 98% Extraction accuracy during internal sprints.</w:t>
      </w:r>
    </w:p>
    <w:p>
      <w:pPr>
        <w:pStyle w:val="Heading1"/>
      </w:pPr>
      <w:r>
        <w:t>3. User Acceptance Testing (UAT)</w:t>
      </w:r>
    </w:p>
    <w:p>
      <w:r>
        <w:t>Final validation by business users across multiple regions. Scenarios included single-line files, multi-page PDFs, and multilingual inputs.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