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56B"/>
          <w:sz w:val="44"/>
        </w:rPr>
        <w:t>TOUCHLESS ORDER CREATION</w:t>
      </w:r>
    </w:p>
    <w:p>
      <w:pPr>
        <w:jc w:val="center"/>
      </w:pPr>
      <w:r>
        <w:rPr>
          <w:b/>
          <w:color w:val="006DC6"/>
          <w:sz w:val="32"/>
        </w:rPr>
        <w:t>Training Guide &amp; User Manual</w:t>
      </w:r>
    </w:p>
    <w:p/>
    <w:p>
      <w:pPr>
        <w:jc w:val="center"/>
      </w:pPr>
      <w:r>
        <w:rPr>
          <w:i/>
          <w:color w:val="404040"/>
          <w:sz w:val="22"/>
        </w:rPr>
        <w:t>For Business Users (CS Team) &amp; Technical Administrators</w:t>
      </w:r>
    </w:p>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D6E8F7"/>
          </w:tcPr>
          <w:p>
            <w:r>
              <w:rPr>
                <w:b w:val="0"/>
                <w:color w:val="404040"/>
                <w:sz w:val="20"/>
              </w:rPr>
              <w:t>Document Type</w:t>
            </w:r>
          </w:p>
        </w:tc>
        <w:tc>
          <w:tcPr>
            <w:tcW w:type="dxa" w:w="5953"/>
          </w:tcPr>
          <w:p>
            <w:r>
              <w:rPr>
                <w:b w:val="0"/>
                <w:color w:val="404040"/>
                <w:sz w:val="20"/>
              </w:rPr>
              <w:t>Training Guide &amp; User Manual</w:t>
            </w:r>
          </w:p>
        </w:tc>
      </w:tr>
      <w:tr>
        <w:tc>
          <w:tcPr>
            <w:tcW w:type="dxa" w:w="3118"/>
            <w:shd w:val="clear" w:color="auto" w:fill="D6E8F7"/>
          </w:tcPr>
          <w:p>
            <w:r>
              <w:rPr>
                <w:b w:val="0"/>
                <w:color w:val="404040"/>
                <w:sz w:val="20"/>
              </w:rPr>
              <w:t>Project</w:t>
            </w:r>
          </w:p>
        </w:tc>
        <w:tc>
          <w:tcPr>
            <w:tcW w:type="dxa" w:w="5953"/>
          </w:tcPr>
          <w:p>
            <w:r>
              <w:rPr>
                <w:b w:val="0"/>
                <w:color w:val="404040"/>
                <w:sz w:val="20"/>
              </w:rPr>
              <w:t>Touchless Order Creation — AI Extraction &amp; Mapping Agent</w:t>
            </w:r>
          </w:p>
        </w:tc>
      </w:tr>
      <w:tr>
        <w:tc>
          <w:tcPr>
            <w:tcW w:type="dxa" w:w="3118"/>
            <w:shd w:val="clear" w:color="auto" w:fill="D6E8F7"/>
          </w:tcPr>
          <w:p>
            <w:r>
              <w:rPr>
                <w:b w:val="0"/>
                <w:color w:val="404040"/>
                <w:sz w:val="20"/>
              </w:rPr>
              <w:t>Version</w:t>
            </w:r>
          </w:p>
        </w:tc>
        <w:tc>
          <w:tcPr>
            <w:tcW w:type="dxa" w:w="5953"/>
          </w:tcPr>
          <w:p>
            <w:r>
              <w:rPr>
                <w:b w:val="0"/>
                <w:color w:val="404040"/>
                <w:sz w:val="20"/>
              </w:rPr>
              <w:t>1.0  |  Initial Release</w:t>
            </w:r>
          </w:p>
        </w:tc>
      </w:tr>
      <w:tr>
        <w:tc>
          <w:tcPr>
            <w:tcW w:type="dxa" w:w="3118"/>
            <w:shd w:val="clear" w:color="auto" w:fill="D6E8F7"/>
          </w:tcPr>
          <w:p>
            <w:r>
              <w:rPr>
                <w:b w:val="0"/>
                <w:color w:val="404040"/>
                <w:sz w:val="20"/>
              </w:rPr>
              <w:t>Classification</w:t>
            </w:r>
          </w:p>
        </w:tc>
        <w:tc>
          <w:tcPr>
            <w:tcW w:type="dxa" w:w="5953"/>
          </w:tcPr>
          <w:p>
            <w:r>
              <w:rPr>
                <w:b w:val="0"/>
                <w:color w:val="404040"/>
                <w:sz w:val="20"/>
              </w:rPr>
              <w:t>Confidential — For Client Use Only</w:t>
            </w:r>
          </w:p>
        </w:tc>
      </w:tr>
      <w:tr>
        <w:tc>
          <w:tcPr>
            <w:tcW w:type="dxa" w:w="3118"/>
            <w:shd w:val="clear" w:color="auto" w:fill="D6E8F7"/>
          </w:tcPr>
          <w:p>
            <w:r>
              <w:rPr>
                <w:b w:val="0"/>
                <w:color w:val="404040"/>
                <w:sz w:val="20"/>
              </w:rPr>
              <w:t>Audience</w:t>
            </w:r>
          </w:p>
        </w:tc>
        <w:tc>
          <w:tcPr>
            <w:tcW w:type="dxa" w:w="5953"/>
          </w:tcPr>
          <w:p>
            <w:r>
              <w:rPr>
                <w:b w:val="0"/>
                <w:color w:val="404040"/>
                <w:sz w:val="20"/>
              </w:rPr>
              <w:t>CS Team (Business Users) + IT / Technical Administrators</w:t>
            </w:r>
          </w:p>
        </w:tc>
      </w:tr>
      <w:tr>
        <w:tc>
          <w:tcPr>
            <w:tcW w:type="dxa" w:w="3118"/>
            <w:shd w:val="clear" w:color="auto" w:fill="D6E8F7"/>
          </w:tcPr>
          <w:p>
            <w:r>
              <w:rPr>
                <w:b w:val="0"/>
                <w:color w:val="404040"/>
                <w:sz w:val="20"/>
              </w:rPr>
              <w:t>Date</w:t>
            </w:r>
          </w:p>
        </w:tc>
        <w:tc>
          <w:tcPr>
            <w:tcW w:type="dxa" w:w="5953"/>
          </w:tcPr>
          <w:p>
            <w:r>
              <w:rPr>
                <w:b w:val="0"/>
                <w:color w:val="404040"/>
                <w:sz w:val="20"/>
              </w:rPr>
              <w:t>June 2026</w:t>
            </w:r>
          </w:p>
        </w:tc>
      </w:tr>
    </w:tbl>
    <w:p>
      <w:r>
        <w:br w:type="page"/>
      </w:r>
    </w:p>
    <w:p>
      <w:pPr>
        <w:pStyle w:val="Heading1"/>
        <w:jc w:val="left"/>
      </w:pPr>
      <w:r>
        <w:rPr>
          <w:b/>
          <w:color w:val="00356B"/>
        </w:rPr>
        <w:t>Contents</w:t>
      </w:r>
    </w:p>
    <w:tbl>
      <w:tblPr>
        <w:tblW w:type="auto" w:w="0"/>
        <w:tblLook w:firstColumn="1" w:firstRow="1" w:lastColumn="0" w:lastRow="0" w:noHBand="0" w:noVBand="1" w:val="04A0"/>
      </w:tblPr>
      <w:tblGrid>
        <w:gridCol w:w="4703"/>
        <w:gridCol w:w="4703"/>
      </w:tblGrid>
      <w:tr>
        <w:tc>
          <w:tcPr>
            <w:tcW w:type="dxa" w:w="7370"/>
          </w:tcPr>
          <w:p>
            <w:r>
              <w:rPr>
                <w:color w:val="00356B"/>
                <w:sz w:val="19"/>
              </w:rPr>
              <w:t>1.  What Is the Touchless Order Creation System?</w:t>
            </w:r>
          </w:p>
        </w:tc>
        <w:tc>
          <w:tcPr>
            <w:tcW w:type="dxa" w:w="1134"/>
          </w:tcPr>
          <w:p>
            <w:r>
              <w:rPr>
                <w:color w:val="00356B"/>
                <w:sz w:val="19"/>
              </w:rPr>
              <w:t>3</w:t>
            </w:r>
          </w:p>
        </w:tc>
      </w:tr>
      <w:tr>
        <w:tc>
          <w:tcPr>
            <w:tcW w:type="dxa" w:w="7370"/>
          </w:tcPr>
          <w:p>
            <w:r>
              <w:rPr>
                <w:color w:val="00356B"/>
                <w:sz w:val="19"/>
              </w:rPr>
              <w:t>2.  How It Works — The Full Pipeline Step by Step</w:t>
            </w:r>
          </w:p>
        </w:tc>
        <w:tc>
          <w:tcPr>
            <w:tcW w:type="dxa" w:w="1134"/>
          </w:tcPr>
          <w:p>
            <w:r>
              <w:rPr>
                <w:color w:val="00356B"/>
                <w:sz w:val="19"/>
              </w:rPr>
              <w:t>3</w:t>
            </w:r>
          </w:p>
        </w:tc>
      </w:tr>
      <w:tr>
        <w:tc>
          <w:tcPr>
            <w:tcW w:type="dxa" w:w="7370"/>
          </w:tcPr>
          <w:p>
            <w:r>
              <w:rPr>
                <w:color w:val="00356B"/>
                <w:sz w:val="19"/>
              </w:rPr>
              <w:t>3.  Your Outlook Folder Structure</w:t>
            </w:r>
          </w:p>
        </w:tc>
        <w:tc>
          <w:tcPr>
            <w:tcW w:type="dxa" w:w="1134"/>
          </w:tcPr>
          <w:p>
            <w:r>
              <w:rPr>
                <w:color w:val="00356B"/>
                <w:sz w:val="19"/>
              </w:rPr>
              <w:t>5</w:t>
            </w:r>
          </w:p>
        </w:tc>
      </w:tr>
      <w:tr>
        <w:tc>
          <w:tcPr>
            <w:tcW w:type="dxa" w:w="7370"/>
          </w:tcPr>
          <w:p>
            <w:r>
              <w:rPr>
                <w:color w:val="00356B"/>
                <w:sz w:val="19"/>
              </w:rPr>
              <w:t>4.  For Business Users — CS Team Guide</w:t>
            </w:r>
          </w:p>
        </w:tc>
        <w:tc>
          <w:tcPr>
            <w:tcW w:type="dxa" w:w="1134"/>
          </w:tcPr>
          <w:p>
            <w:r>
              <w:rPr>
                <w:color w:val="00356B"/>
                <w:sz w:val="19"/>
              </w:rPr>
              <w:t>6</w:t>
            </w:r>
          </w:p>
        </w:tc>
      </w:tr>
      <w:tr>
        <w:tc>
          <w:tcPr>
            <w:tcW w:type="dxa" w:w="7370"/>
          </w:tcPr>
          <w:p>
            <w:r>
              <w:rPr>
                <w:color w:val="00356B"/>
                <w:sz w:val="19"/>
              </w:rPr>
              <w:t xml:space="preserve">  4.1  Understanding a Stage 1 Exception Email (Mapping Failure)</w:t>
            </w:r>
          </w:p>
        </w:tc>
        <w:tc>
          <w:tcPr>
            <w:tcW w:type="dxa" w:w="1134"/>
          </w:tcPr>
          <w:p>
            <w:r>
              <w:rPr>
                <w:color w:val="00356B"/>
                <w:sz w:val="19"/>
              </w:rPr>
              <w:t>6</w:t>
            </w:r>
          </w:p>
        </w:tc>
      </w:tr>
      <w:tr>
        <w:tc>
          <w:tcPr>
            <w:tcW w:type="dxa" w:w="7370"/>
          </w:tcPr>
          <w:p>
            <w:r>
              <w:rPr>
                <w:color w:val="00356B"/>
                <w:sz w:val="19"/>
              </w:rPr>
              <w:t xml:space="preserve">  4.2  What to Do When You Receive a Stage 1 Exception Email</w:t>
            </w:r>
          </w:p>
        </w:tc>
        <w:tc>
          <w:tcPr>
            <w:tcW w:type="dxa" w:w="1134"/>
          </w:tcPr>
          <w:p>
            <w:r>
              <w:rPr>
                <w:color w:val="00356B"/>
                <w:sz w:val="19"/>
              </w:rPr>
              <w:t>7</w:t>
            </w:r>
          </w:p>
        </w:tc>
      </w:tr>
      <w:tr>
        <w:tc>
          <w:tcPr>
            <w:tcW w:type="dxa" w:w="7370"/>
          </w:tcPr>
          <w:p>
            <w:r>
              <w:rPr>
                <w:color w:val="00356B"/>
                <w:sz w:val="19"/>
              </w:rPr>
              <w:t xml:space="preserve">  4.3  Understanding a Stage 2 Exception Email (SAP Block)</w:t>
            </w:r>
          </w:p>
        </w:tc>
        <w:tc>
          <w:tcPr>
            <w:tcW w:type="dxa" w:w="1134"/>
          </w:tcPr>
          <w:p>
            <w:r>
              <w:rPr>
                <w:color w:val="00356B"/>
                <w:sz w:val="19"/>
              </w:rPr>
              <w:t>8</w:t>
            </w:r>
          </w:p>
        </w:tc>
      </w:tr>
      <w:tr>
        <w:tc>
          <w:tcPr>
            <w:tcW w:type="dxa" w:w="7370"/>
          </w:tcPr>
          <w:p>
            <w:r>
              <w:rPr>
                <w:color w:val="00356B"/>
                <w:sz w:val="19"/>
              </w:rPr>
              <w:t xml:space="preserve">  4.4  Understanding Robona RPA Audit Emails</w:t>
            </w:r>
          </w:p>
        </w:tc>
        <w:tc>
          <w:tcPr>
            <w:tcW w:type="dxa" w:w="1134"/>
          </w:tcPr>
          <w:p>
            <w:r>
              <w:rPr>
                <w:color w:val="00356B"/>
                <w:sz w:val="19"/>
              </w:rPr>
              <w:t>8</w:t>
            </w:r>
          </w:p>
        </w:tc>
      </w:tr>
      <w:tr>
        <w:tc>
          <w:tcPr>
            <w:tcW w:type="dxa" w:w="7370"/>
          </w:tcPr>
          <w:p>
            <w:r>
              <w:rPr>
                <w:color w:val="00356B"/>
                <w:sz w:val="19"/>
              </w:rPr>
              <w:t>5.  For Technical Administrators</w:t>
            </w:r>
          </w:p>
        </w:tc>
        <w:tc>
          <w:tcPr>
            <w:tcW w:type="dxa" w:w="1134"/>
          </w:tcPr>
          <w:p>
            <w:r>
              <w:rPr>
                <w:color w:val="00356B"/>
                <w:sz w:val="19"/>
              </w:rPr>
              <w:t>9</w:t>
            </w:r>
          </w:p>
        </w:tc>
      </w:tr>
      <w:tr>
        <w:tc>
          <w:tcPr>
            <w:tcW w:type="dxa" w:w="7370"/>
          </w:tcPr>
          <w:p>
            <w:r>
              <w:rPr>
                <w:color w:val="00356B"/>
                <w:sz w:val="19"/>
              </w:rPr>
              <w:t xml:space="preserve">  5.1  Running the Pipeline</w:t>
            </w:r>
          </w:p>
        </w:tc>
        <w:tc>
          <w:tcPr>
            <w:tcW w:type="dxa" w:w="1134"/>
          </w:tcPr>
          <w:p>
            <w:r>
              <w:rPr>
                <w:color w:val="00356B"/>
                <w:sz w:val="19"/>
              </w:rPr>
              <w:t>9</w:t>
            </w:r>
          </w:p>
        </w:tc>
      </w:tr>
      <w:tr>
        <w:tc>
          <w:tcPr>
            <w:tcW w:type="dxa" w:w="7370"/>
          </w:tcPr>
          <w:p>
            <w:r>
              <w:rPr>
                <w:color w:val="00356B"/>
                <w:sz w:val="19"/>
              </w:rPr>
              <w:t xml:space="preserve">  5.2  Key Files and Their Roles</w:t>
            </w:r>
          </w:p>
        </w:tc>
        <w:tc>
          <w:tcPr>
            <w:tcW w:type="dxa" w:w="1134"/>
          </w:tcPr>
          <w:p>
            <w:r>
              <w:rPr>
                <w:color w:val="00356B"/>
                <w:sz w:val="19"/>
              </w:rPr>
              <w:t>10</w:t>
            </w:r>
          </w:p>
        </w:tc>
      </w:tr>
      <w:tr>
        <w:tc>
          <w:tcPr>
            <w:tcW w:type="dxa" w:w="7370"/>
          </w:tcPr>
          <w:p>
            <w:r>
              <w:rPr>
                <w:color w:val="00356B"/>
                <w:sz w:val="19"/>
              </w:rPr>
              <w:t xml:space="preserve">  5.3  Environment Configuration (.env)</w:t>
            </w:r>
          </w:p>
        </w:tc>
        <w:tc>
          <w:tcPr>
            <w:tcW w:type="dxa" w:w="1134"/>
          </w:tcPr>
          <w:p>
            <w:r>
              <w:rPr>
                <w:color w:val="00356B"/>
                <w:sz w:val="19"/>
              </w:rPr>
              <w:t>11</w:t>
            </w:r>
          </w:p>
        </w:tc>
      </w:tr>
      <w:tr>
        <w:tc>
          <w:tcPr>
            <w:tcW w:type="dxa" w:w="7370"/>
          </w:tcPr>
          <w:p>
            <w:r>
              <w:rPr>
                <w:color w:val="00356B"/>
                <w:sz w:val="19"/>
              </w:rPr>
              <w:t xml:space="preserve">  5.4  How to Refresh Celonis Master Data</w:t>
            </w:r>
          </w:p>
        </w:tc>
        <w:tc>
          <w:tcPr>
            <w:tcW w:type="dxa" w:w="1134"/>
          </w:tcPr>
          <w:p>
            <w:r>
              <w:rPr>
                <w:color w:val="00356B"/>
                <w:sz w:val="19"/>
              </w:rPr>
              <w:t>12</w:t>
            </w:r>
          </w:p>
        </w:tc>
      </w:tr>
      <w:tr>
        <w:tc>
          <w:tcPr>
            <w:tcW w:type="dxa" w:w="7370"/>
          </w:tcPr>
          <w:p>
            <w:r>
              <w:rPr>
                <w:color w:val="00356B"/>
                <w:sz w:val="19"/>
              </w:rPr>
              <w:t xml:space="preserve">  5.5  Troubleshooting Common Errors</w:t>
            </w:r>
          </w:p>
        </w:tc>
        <w:tc>
          <w:tcPr>
            <w:tcW w:type="dxa" w:w="1134"/>
          </w:tcPr>
          <w:p>
            <w:r>
              <w:rPr>
                <w:color w:val="00356B"/>
                <w:sz w:val="19"/>
              </w:rPr>
              <w:t>12</w:t>
            </w:r>
          </w:p>
        </w:tc>
      </w:tr>
      <w:tr>
        <w:tc>
          <w:tcPr>
            <w:tcW w:type="dxa" w:w="7370"/>
          </w:tcPr>
          <w:p>
            <w:r>
              <w:rPr>
                <w:color w:val="00356B"/>
                <w:sz w:val="19"/>
              </w:rPr>
              <w:t>6.  Frequently Asked Questions (FAQ)</w:t>
            </w:r>
          </w:p>
        </w:tc>
        <w:tc>
          <w:tcPr>
            <w:tcW w:type="dxa" w:w="1134"/>
          </w:tcPr>
          <w:p>
            <w:r>
              <w:rPr>
                <w:color w:val="00356B"/>
                <w:sz w:val="19"/>
              </w:rPr>
              <w:t>13</w:t>
            </w:r>
          </w:p>
        </w:tc>
      </w:tr>
    </w:tbl>
    <w:p>
      <w:r>
        <w:br w:type="page"/>
      </w:r>
    </w:p>
    <w:p>
      <w:pPr>
        <w:pStyle w:val="Heading1"/>
        <w:jc w:val="left"/>
      </w:pPr>
      <w:r>
        <w:rPr>
          <w:b/>
          <w:color w:val="00356B"/>
        </w:rPr>
        <w:t>1.  What Is the Touchless Order Creation System?</w:t>
      </w:r>
    </w:p>
    <w:p>
      <w:pPr>
        <w:spacing w:before="0" w:after="80"/>
      </w:pPr>
      <w:r>
        <w:rPr>
          <w:b w:val="0"/>
          <w:i w:val="0"/>
          <w:sz w:val="20"/>
        </w:rPr>
        <w:t>Every day, customers send Purchase Order (PO) documents to Envalior by email as PDF attachments. Traditionally, a Customer Service (CS) team member would open the PDF, read the details, and manually type the information into SAP to create a Sales Order.</w:t>
      </w:r>
    </w:p>
    <w:p>
      <w:pPr>
        <w:spacing w:before="0" w:after="80"/>
      </w:pPr>
      <w:r>
        <w:rPr>
          <w:b w:val="0"/>
          <w:i w:val="0"/>
          <w:sz w:val="20"/>
        </w:rPr>
        <w:t>The Touchless Order Creation system replaces this manual process. An AI-powered agent automatically reads each PO email, understands its content, maps all the data to the correct SAP fields, and creates the Sales Order — without any human involvement for standard orders.</w:t>
      </w:r>
    </w:p>
    <w:p>
      <w:pPr>
        <w:spacing w:before="0" w:after="80"/>
      </w:pPr>
      <w:r>
        <w:rPr>
          <w:b w:val="0"/>
          <w:i w:val="0"/>
          <w:sz w:val="20"/>
        </w:rPr>
        <w:t>When the system cannot process a PO automatically (for example, if the customer is unknown or a material is missing), it sends a clear, structured exception email to the CS team so they can take the right action.</w:t>
      </w:r>
    </w:p>
    <w:p/>
    <w:tbl>
      <w:tblPr>
        <w:tblStyle w:val="TableGrid"/>
        <w:tblW w:type="auto" w:w="0"/>
        <w:tblLook w:firstColumn="1" w:firstRow="1" w:lastColumn="0" w:lastRow="0" w:noHBand="0" w:noVBand="1" w:val="04A0"/>
      </w:tblPr>
      <w:tblGrid>
        <w:gridCol w:w="9406"/>
      </w:tblGrid>
      <w:tr>
        <w:tc>
          <w:tcPr>
            <w:tcW w:type="dxa" w:w="9406"/>
            <w:shd w:val="clear" w:color="auto" w:fill="D6F0D6"/>
          </w:tcPr>
          <w:p>
            <w:r>
              <w:rPr>
                <w:b/>
                <w:color w:val="1A7A3A"/>
                <w:sz w:val="18"/>
              </w:rPr>
              <w:t xml:space="preserve">💡 Key Benefit:  </w:t>
            </w:r>
            <w:r>
              <w:rPr>
                <w:sz w:val="18"/>
              </w:rPr>
              <w:t>The CS team only needs to act when something genuinely requires human judgment — all standard, fully-mappable POs are handled completely automatically.</w:t>
            </w:r>
          </w:p>
        </w:tc>
      </w:tr>
    </w:tbl>
    <w:p/>
    <w:p>
      <w:r>
        <w:br w:type="page"/>
      </w:r>
    </w:p>
    <w:p>
      <w:pPr>
        <w:pStyle w:val="Heading1"/>
        <w:jc w:val="left"/>
      </w:pPr>
      <w:r>
        <w:rPr>
          <w:b/>
          <w:color w:val="00356B"/>
        </w:rPr>
        <w:t>2.  How It Works — The Full Pipeline Step by Step</w:t>
      </w:r>
    </w:p>
    <w:p>
      <w:pPr>
        <w:spacing w:before="0" w:after="80"/>
      </w:pPr>
      <w:r>
        <w:rPr>
          <w:b w:val="0"/>
          <w:i w:val="0"/>
          <w:sz w:val="20"/>
        </w:rPr>
        <w:t>Below is the complete journey of a Purchase Order through the system, from the moment it arrives in the email inbox to the moment a Sales Order is created in SAP (or an exception is raised).</w:t>
      </w:r>
    </w:p>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1</w:t>
            </w:r>
          </w:p>
        </w:tc>
        <w:tc>
          <w:tcPr>
            <w:tcW w:type="dxa" w:w="7257"/>
            <w:shd w:val="clear" w:color="auto" w:fill="D6E8F7"/>
          </w:tcPr>
          <w:p>
            <w:r>
              <w:rPr>
                <w:sz w:val="18"/>
              </w:rPr>
              <w:t>Refresh Master Data from Celonis (Automatic)</w:t>
              <w:br/>
              <w:br/>
              <w:t>Before processing any PO, the system automatically downloads the latest customer and order history data from Celonis:</w:t>
              <w:br/>
              <w:t xml:space="preserve">   • Test MP — the full list of customers (Sold-To, Ship-To) from SAP</w:t>
              <w:br/>
              <w:t xml:space="preserve">   • Sheet 3 — the history of past orders (used to determine Order Type)</w:t>
              <w:br/>
              <w:t>This means the system always uses today's most current data — it never relies on a stale cache.</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2</w:t>
            </w:r>
          </w:p>
        </w:tc>
        <w:tc>
          <w:tcPr>
            <w:tcW w:type="dxa" w:w="7257"/>
            <w:shd w:val="clear" w:color="auto" w:fill="FFFFFF"/>
          </w:tcPr>
          <w:p>
            <w:r>
              <w:rPr>
                <w:sz w:val="18"/>
              </w:rPr>
              <w:t>Check the Inbox for New PO Emails</w:t>
              <w:br/>
              <w:br/>
              <w:t>The system automatically checks the shared email mailbox every 60 seconds. When it finds a new unread email with a PDF attachment:</w:t>
              <w:br/>
              <w:t xml:space="preserve">   • The email is moved to the "Unprocessed POs" folder in Outlook</w:t>
              <w:br/>
              <w:t xml:space="preserve">   • The PDF is saved for processing</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3</w:t>
            </w:r>
          </w:p>
        </w:tc>
        <w:tc>
          <w:tcPr>
            <w:tcW w:type="dxa" w:w="7257"/>
            <w:shd w:val="clear" w:color="auto" w:fill="F4F4F4"/>
          </w:tcPr>
          <w:p>
            <w:r>
              <w:rPr>
                <w:sz w:val="18"/>
              </w:rPr>
              <w:t>Read the PDF (OCR)</w:t>
              <w:br/>
              <w:br/>
              <w:t>The system uses an OCR (Optical Character Recognition) engine called PaddleOCR to convert the PDF into readable text — similar to how a person would read a scanned document.</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4</w:t>
            </w:r>
          </w:p>
        </w:tc>
        <w:tc>
          <w:tcPr>
            <w:tcW w:type="dxa" w:w="7257"/>
            <w:shd w:val="clear" w:color="auto" w:fill="FFFFFF"/>
          </w:tcPr>
          <w:p>
            <w:r>
              <w:rPr>
                <w:sz w:val="18"/>
              </w:rPr>
              <w:t>Understand the PO (AI Extraction)</w:t>
              <w:br/>
              <w:br/>
              <w:t>An AI model (Claude 4 Sonnet by Anthropic — or Qwen 2.5 as backup) reads the text and identifies:</w:t>
              <w:br/>
              <w:t xml:space="preserve">   • Customer / Vendor name</w:t>
              <w:br/>
              <w:t xml:space="preserve">   • PO Number</w:t>
              <w:br/>
              <w:t xml:space="preserve">   • Delivery address (Ship-To)</w:t>
              <w:br/>
              <w:t xml:space="preserve">   • Each line item: what material, how much, in which unit, and when it is needed</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5</w:t>
            </w:r>
          </w:p>
        </w:tc>
        <w:tc>
          <w:tcPr>
            <w:tcW w:type="dxa" w:w="7257"/>
            <w:shd w:val="clear" w:color="auto" w:fill="F4F4F4"/>
          </w:tcPr>
          <w:p>
            <w:r>
              <w:rPr>
                <w:sz w:val="18"/>
              </w:rPr>
              <w:t>Map to SAP Data (Decision Tree + Fuzzy Matching)</w:t>
              <w:br/>
              <w:br/>
              <w:t>The system now maps the extracted information to SAP:</w:t>
              <w:br/>
              <w:t xml:space="preserve">   • Sold-To ID: matched by comparing the customer name to the SAP customer list (Test MP)</w:t>
              <w:br/>
              <w:t xml:space="preserve">   • Ship-To ID: matched by comparing the delivery address (including postcode) to SAP Ship-To records</w:t>
              <w:br/>
              <w:t xml:space="preserve">   • Order Type (TA or KB): determined by looking at the customer's order history (Sheet 3 from Celonis)</w:t>
              <w:br/>
              <w:t xml:space="preserve">   • Internal Material Number: matched by cross-referencing the Customer's material code to SAP's internal code</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FCE4E4"/>
          </w:tcPr>
          <w:p>
            <w:r>
              <w:rPr>
                <w:b/>
                <w:color w:val="00356B"/>
                <w:sz w:val="18"/>
              </w:rPr>
              <w:t>⚠️  If STEP 5 Fails</w:t>
            </w:r>
          </w:p>
        </w:tc>
        <w:tc>
          <w:tcPr>
            <w:tcW w:type="dxa" w:w="7257"/>
            <w:shd w:val="clear" w:color="auto" w:fill="FCE4E4"/>
          </w:tcPr>
          <w:p>
            <w:r>
              <w:rPr>
                <w:sz w:val="18"/>
              </w:rPr>
              <w:t>Stage 1 Exception — CS Team Is Notified</w:t>
              <w:br/>
              <w:br/>
              <w:t>If the system cannot confidently identify the customer, the Ship-To address, or a material:</w:t>
              <w:br/>
              <w:t xml:space="preserve">   • The PO email is moved to "Exception POs" in Outlook</w:t>
              <w:br/>
              <w:t xml:space="preserve">   • An exception email is sent to the CS team (see Section 4.1)</w:t>
              <w:br/>
              <w:t xml:space="preserve">   • The system stops — it does NOT push anything to SAP</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6</w:t>
            </w:r>
          </w:p>
        </w:tc>
        <w:tc>
          <w:tcPr>
            <w:tcW w:type="dxa" w:w="7257"/>
            <w:shd w:val="clear" w:color="auto" w:fill="FFFFFF"/>
          </w:tcPr>
          <w:p>
            <w:r>
              <w:rPr>
                <w:sz w:val="18"/>
              </w:rPr>
              <w:t>Push Mapped Data to Celonis</w:t>
              <w:br/>
              <w:br/>
              <w:t>If mapping was fully successful, the SAP-ready Sales Order data is uploaded to the Celonis system (specifically the PO_EXTRACTION_RESULTS table). The original PO email is moved to "Processed POs" in Outlook.</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00356B"/>
          </w:tcPr>
          <w:p>
            <w:r>
              <w:rPr>
                <w:b/>
                <w:color w:val="FFFFFF"/>
                <w:sz w:val="18"/>
              </w:rPr>
              <w:t>⚡  Step 7</w:t>
            </w:r>
          </w:p>
        </w:tc>
        <w:tc>
          <w:tcPr>
            <w:tcW w:type="dxa" w:w="7257"/>
            <w:shd w:val="clear" w:color="auto" w:fill="F4F4F4"/>
          </w:tcPr>
          <w:p>
            <w:r>
              <w:rPr>
                <w:sz w:val="18"/>
              </w:rPr>
              <w:t>Celonis Action Flow Creates the SAP Sales Order</w:t>
              <w:br/>
              <w:br/>
              <w:t>Celonis automatically picks up the new data and triggers its Action Flow, which creates the Sales Order in SAP EPP (the production ERP system).</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D6F0D6"/>
          </w:tcPr>
          <w:p>
            <w:r>
              <w:rPr>
                <w:b/>
                <w:color w:val="00356B"/>
                <w:sz w:val="18"/>
              </w:rPr>
              <w:t>✅  Happy Path</w:t>
            </w:r>
          </w:p>
        </w:tc>
        <w:tc>
          <w:tcPr>
            <w:tcW w:type="dxa" w:w="7257"/>
            <w:shd w:val="clear" w:color="auto" w:fill="D6F0D6"/>
          </w:tcPr>
          <w:p>
            <w:r>
              <w:rPr>
                <w:sz w:val="18"/>
              </w:rPr>
              <w:t>Robona RPA Receives Audit Notification</w:t>
              <w:br/>
              <w:br/>
              <w:t>When SAP confirms the Sales Order was created successfully with no blocks, the system sends an email to the Robona RPA service mailbox with the SAP Sales Order number. Robona RPA then retrieves the original PO email from the "Processed POs" folder and links it to the Sales Order in SAP for compliance and auditing.</w:t>
            </w:r>
          </w:p>
        </w:tc>
      </w:tr>
    </w:tbl>
    <w:p/>
    <w:tbl>
      <w:tblPr>
        <w:tblStyle w:val="TableGrid"/>
        <w:tblW w:type="auto" w:w="0"/>
        <w:tblLook w:firstColumn="1" w:firstRow="1" w:lastColumn="0" w:lastRow="0" w:noHBand="0" w:noVBand="1" w:val="04A0"/>
      </w:tblPr>
      <w:tblGrid>
        <w:gridCol w:w="4703"/>
        <w:gridCol w:w="4703"/>
      </w:tblGrid>
      <w:tr>
        <w:tc>
          <w:tcPr>
            <w:tcW w:type="dxa" w:w="1814"/>
            <w:shd w:val="clear" w:color="auto" w:fill="FFF2CC"/>
          </w:tcPr>
          <w:p>
            <w:r>
              <w:rPr>
                <w:b/>
                <w:color w:val="00356B"/>
                <w:sz w:val="18"/>
              </w:rPr>
              <w:t>⚠️  If SAP Blocks</w:t>
            </w:r>
          </w:p>
        </w:tc>
        <w:tc>
          <w:tcPr>
            <w:tcW w:type="dxa" w:w="7257"/>
            <w:shd w:val="clear" w:color="auto" w:fill="FFF2CC"/>
          </w:tcPr>
          <w:p>
            <w:r>
              <w:rPr>
                <w:sz w:val="18"/>
              </w:rPr>
              <w:t>Stage 2 Exception — CS Team Is Notified</w:t>
              <w:br/>
              <w:br/>
              <w:t>If SAP cannot create the Sales Order (e.g. credit hold, missing data in SAP), the Celonis Action Flow reports the failure. The system sends a Stage 2 exception email to the CS team with the failure reason and moves the PO email to "Exception POs". The CS team then resolves the block manually in SAP.</w:t>
            </w:r>
          </w:p>
        </w:tc>
      </w:tr>
    </w:tbl>
    <w:p/>
    <w:p>
      <w:r>
        <w:br w:type="page"/>
      </w:r>
    </w:p>
    <w:p>
      <w:pPr>
        <w:pStyle w:val="Heading1"/>
        <w:jc w:val="left"/>
      </w:pPr>
      <w:r>
        <w:rPr>
          <w:b/>
          <w:color w:val="00356B"/>
        </w:rPr>
        <w:t>3.  Your Outlook Folder Structure</w:t>
      </w:r>
    </w:p>
    <w:p>
      <w:pPr>
        <w:spacing w:before="0" w:after="80"/>
      </w:pPr>
      <w:r>
        <w:rPr>
          <w:b w:val="0"/>
          <w:i w:val="0"/>
          <w:sz w:val="20"/>
        </w:rPr>
        <w:t>The system uses four Outlook folders in the shared mailbox to track the status of every PO email. You should NOT manually move emails between these folders — the system manages them automatically.</w:t>
      </w:r>
    </w:p>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356B"/>
          </w:tcPr>
          <w:p>
            <w:pPr>
              <w:jc w:val="center"/>
            </w:pPr>
            <w:r/>
            <w:r>
              <w:rPr>
                <w:b/>
                <w:color w:val="FFFFFF"/>
                <w:sz w:val="18"/>
              </w:rPr>
              <w:t>Folder Name</w:t>
            </w:r>
          </w:p>
        </w:tc>
        <w:tc>
          <w:tcPr>
            <w:tcW w:type="dxa" w:w="5102"/>
            <w:shd w:val="clear" w:color="auto" w:fill="00356B"/>
          </w:tcPr>
          <w:p>
            <w:pPr>
              <w:jc w:val="center"/>
            </w:pPr>
            <w:r/>
            <w:r>
              <w:rPr>
                <w:b/>
                <w:color w:val="FFFFFF"/>
                <w:sz w:val="18"/>
              </w:rPr>
              <w:t>What It Means</w:t>
            </w:r>
          </w:p>
        </w:tc>
        <w:tc>
          <w:tcPr>
            <w:tcW w:type="dxa" w:w="1701"/>
            <w:shd w:val="clear" w:color="auto" w:fill="00356B"/>
          </w:tcPr>
          <w:p>
            <w:pPr>
              <w:jc w:val="center"/>
            </w:pPr>
            <w:r/>
            <w:r>
              <w:rPr>
                <w:b/>
                <w:color w:val="FFFFFF"/>
                <w:sz w:val="18"/>
              </w:rPr>
              <w:t>Action Required?</w:t>
            </w:r>
          </w:p>
        </w:tc>
      </w:tr>
      <w:tr>
        <w:tc>
          <w:tcPr>
            <w:tcW w:type="dxa" w:w="2268"/>
            <w:shd w:val="clear" w:color="auto" w:fill="F4F4F4"/>
          </w:tcPr>
          <w:p>
            <w:r>
              <w:rPr>
                <w:sz w:val="18"/>
              </w:rPr>
              <w:t>📥  Inbox (Unprocessed POs)</w:t>
            </w:r>
          </w:p>
        </w:tc>
        <w:tc>
          <w:tcPr>
            <w:tcW w:type="dxa" w:w="5102"/>
            <w:shd w:val="clear" w:color="auto" w:fill="F4F4F4"/>
          </w:tcPr>
          <w:p>
            <w:r>
              <w:rPr>
                <w:sz w:val="18"/>
              </w:rPr>
              <w:t>New PO emails arrive here. The system picks them up within 60 seconds and moves them to the next folder.</w:t>
            </w:r>
          </w:p>
        </w:tc>
        <w:tc>
          <w:tcPr>
            <w:tcW w:type="dxa" w:w="1701"/>
            <w:shd w:val="clear" w:color="auto" w:fill="F4F4F4"/>
          </w:tcPr>
          <w:p>
            <w:r>
              <w:rPr>
                <w:sz w:val="18"/>
              </w:rPr>
              <w:t>None — system handles automatically</w:t>
            </w:r>
          </w:p>
        </w:tc>
      </w:tr>
      <w:tr>
        <w:tc>
          <w:tcPr>
            <w:tcW w:type="dxa" w:w="2268"/>
            <w:shd w:val="clear" w:color="auto" w:fill="F4F4F4"/>
          </w:tcPr>
          <w:p>
            <w:r>
              <w:rPr>
                <w:sz w:val="18"/>
              </w:rPr>
              <w:t>⏳  Unprocessed POs</w:t>
            </w:r>
          </w:p>
        </w:tc>
        <w:tc>
          <w:tcPr>
            <w:tcW w:type="dxa" w:w="5102"/>
            <w:shd w:val="clear" w:color="auto" w:fill="F4F4F4"/>
          </w:tcPr>
          <w:p>
            <w:r>
              <w:rPr>
                <w:sz w:val="18"/>
              </w:rPr>
              <w:t>The system has seen this email and is currently processing it.</w:t>
            </w:r>
          </w:p>
        </w:tc>
        <w:tc>
          <w:tcPr>
            <w:tcW w:type="dxa" w:w="1701"/>
            <w:shd w:val="clear" w:color="auto" w:fill="F4F4F4"/>
          </w:tcPr>
          <w:p>
            <w:r>
              <w:rPr>
                <w:sz w:val="18"/>
              </w:rPr>
              <w:t>None — system handles automatically</w:t>
            </w:r>
          </w:p>
        </w:tc>
      </w:tr>
      <w:tr>
        <w:tc>
          <w:tcPr>
            <w:tcW w:type="dxa" w:w="2268"/>
            <w:shd w:val="clear" w:color="auto" w:fill="D6F0D6"/>
          </w:tcPr>
          <w:p>
            <w:r>
              <w:rPr>
                <w:sz w:val="18"/>
              </w:rPr>
              <w:t>✅  Processed POs</w:t>
            </w:r>
          </w:p>
        </w:tc>
        <w:tc>
          <w:tcPr>
            <w:tcW w:type="dxa" w:w="5102"/>
            <w:shd w:val="clear" w:color="auto" w:fill="D6F0D6"/>
          </w:tcPr>
          <w:p>
            <w:r>
              <w:rPr>
                <w:sz w:val="18"/>
              </w:rPr>
              <w:t>The PO was successfully mapped and the Sales Order data has been sent to Celonis. Robona will retrieve the email from here for SAP audit linking.</w:t>
            </w:r>
          </w:p>
        </w:tc>
        <w:tc>
          <w:tcPr>
            <w:tcW w:type="dxa" w:w="1701"/>
            <w:shd w:val="clear" w:color="auto" w:fill="D6F0D6"/>
          </w:tcPr>
          <w:p>
            <w:r>
              <w:rPr>
                <w:sz w:val="18"/>
              </w:rPr>
              <w:t>None — for archiving and Robona use</w:t>
            </w:r>
          </w:p>
        </w:tc>
      </w:tr>
      <w:tr>
        <w:tc>
          <w:tcPr>
            <w:tcW w:type="dxa" w:w="2268"/>
            <w:shd w:val="clear" w:color="auto" w:fill="FCE4E4"/>
          </w:tcPr>
          <w:p>
            <w:r>
              <w:rPr>
                <w:sz w:val="18"/>
              </w:rPr>
              <w:t>⚠️  Exception POs</w:t>
            </w:r>
          </w:p>
        </w:tc>
        <w:tc>
          <w:tcPr>
            <w:tcW w:type="dxa" w:w="5102"/>
            <w:shd w:val="clear" w:color="auto" w:fill="FCE4E4"/>
          </w:tcPr>
          <w:p>
            <w:r>
              <w:rPr>
                <w:sz w:val="18"/>
              </w:rPr>
              <w:t>The system could not process this PO automatically. An exception email has been sent to the CS team. A human must take action.</w:t>
            </w:r>
          </w:p>
        </w:tc>
        <w:tc>
          <w:tcPr>
            <w:tcW w:type="dxa" w:w="1701"/>
            <w:shd w:val="clear" w:color="auto" w:fill="FCE4E4"/>
          </w:tcPr>
          <w:p>
            <w:r>
              <w:rPr>
                <w:sz w:val="18"/>
              </w:rPr>
              <w:t>✅ YES — CS team must review</w:t>
            </w:r>
          </w:p>
        </w:tc>
      </w:tr>
    </w:tbl>
    <w:p>
      <w:r>
        <w:br w:type="page"/>
      </w:r>
    </w:p>
    <w:p>
      <w:pPr>
        <w:pStyle w:val="Heading1"/>
        <w:jc w:val="left"/>
      </w:pPr>
      <w:r>
        <w:rPr>
          <w:b/>
          <w:color w:val="00356B"/>
        </w:rPr>
        <w:t>4.  For Business Users — CS Team Guide</w:t>
      </w:r>
    </w:p>
    <w:p>
      <w:pPr>
        <w:spacing w:before="0" w:after="80"/>
      </w:pPr>
      <w:r>
        <w:rPr>
          <w:b w:val="0"/>
          <w:i w:val="0"/>
          <w:sz w:val="20"/>
        </w:rPr>
        <w:t>This section explains everything the CS team needs to know about their day-to-day interaction with the system. In most cases, you will only need to act when you receive an exception email.</w:t>
      </w:r>
    </w:p>
    <w:p>
      <w:pPr>
        <w:pStyle w:val="Heading2"/>
        <w:jc w:val="left"/>
      </w:pPr>
      <w:r>
        <w:rPr>
          <w:b/>
          <w:color w:val="00356B"/>
        </w:rPr>
        <w:t>4.1  Understanding a Stage 1 Exception Email (Mapping Failure)</w:t>
      </w:r>
    </w:p>
    <w:p>
      <w:pPr>
        <w:spacing w:before="0" w:after="80"/>
      </w:pPr>
      <w:r>
        <w:rPr>
          <w:b w:val="0"/>
          <w:i w:val="0"/>
          <w:sz w:val="20"/>
        </w:rPr>
        <w:t>A Stage 1 Exception email is sent when the system processes a PO but cannot fully map it to SAP data — BEFORE anything is sent to Celonis or SAP. This means NO Sales Order has been created yet.</w:t>
      </w:r>
    </w:p>
    <w:p/>
    <w:tbl>
      <w:tblPr>
        <w:tblStyle w:val="TableGrid"/>
        <w:tblW w:type="auto" w:w="0"/>
        <w:tblLook w:firstColumn="1" w:firstRow="1" w:lastColumn="0" w:lastRow="0" w:noHBand="0" w:noVBand="1" w:val="04A0"/>
      </w:tblPr>
      <w:tblGrid>
        <w:gridCol w:w="4703"/>
        <w:gridCol w:w="4703"/>
      </w:tblGrid>
      <w:tr>
        <w:tc>
          <w:tcPr>
            <w:tcW w:type="dxa" w:w="2551"/>
            <w:shd w:val="clear" w:color="auto" w:fill="00356B"/>
          </w:tcPr>
          <w:p>
            <w:pPr>
              <w:jc w:val="center"/>
            </w:pPr>
            <w:r/>
            <w:r>
              <w:rPr>
                <w:b/>
                <w:color w:val="FFFFFF"/>
                <w:sz w:val="18"/>
              </w:rPr>
              <w:t>Email Section</w:t>
            </w:r>
          </w:p>
        </w:tc>
        <w:tc>
          <w:tcPr>
            <w:tcW w:type="dxa" w:w="6520"/>
            <w:shd w:val="clear" w:color="auto" w:fill="00356B"/>
          </w:tcPr>
          <w:p>
            <w:pPr>
              <w:jc w:val="center"/>
            </w:pPr>
            <w:r/>
            <w:r>
              <w:rPr>
                <w:b/>
                <w:color w:val="FFFFFF"/>
                <w:sz w:val="18"/>
              </w:rPr>
              <w:t>What It Shows</w:t>
            </w:r>
          </w:p>
        </w:tc>
      </w:tr>
      <w:tr>
        <w:tc>
          <w:tcPr>
            <w:tcW w:type="dxa" w:w="2551"/>
            <w:shd w:val="clear" w:color="auto" w:fill="F4F4F4"/>
          </w:tcPr>
          <w:p>
            <w:r>
              <w:rPr>
                <w:sz w:val="18"/>
              </w:rPr>
              <w:t>📋  Header Summary</w:t>
            </w:r>
          </w:p>
        </w:tc>
        <w:tc>
          <w:tcPr>
            <w:tcW w:type="dxa" w:w="6520"/>
            <w:shd w:val="clear" w:color="auto" w:fill="F4F4F4"/>
          </w:tcPr>
          <w:p>
            <w:r>
              <w:rPr>
                <w:sz w:val="18"/>
              </w:rPr>
              <w:t>PO Number, Customer Name, and the overall failure reason (e.g. "Unmapped Customer" or "Missing Materials")</w:t>
            </w:r>
          </w:p>
        </w:tc>
      </w:tr>
      <w:tr>
        <w:tc>
          <w:tcPr>
            <w:tcW w:type="dxa" w:w="2551"/>
            <w:shd w:val="clear" w:color="auto" w:fill="FFFFFF"/>
          </w:tcPr>
          <w:p>
            <w:r>
              <w:rPr>
                <w:sz w:val="18"/>
              </w:rPr>
              <w:t>🟡  Partner Status Table</w:t>
            </w:r>
          </w:p>
        </w:tc>
        <w:tc>
          <w:tcPr>
            <w:tcW w:type="dxa" w:w="6520"/>
            <w:shd w:val="clear" w:color="auto" w:fill="FFFFFF"/>
          </w:tcPr>
          <w:p>
            <w:r>
              <w:rPr>
                <w:sz w:val="18"/>
              </w:rPr>
              <w:t>A color-coded table showing:</w:t>
              <w:br/>
              <w:t xml:space="preserve">   • Sold-To: MATCHED (green) or UNMATCHED (red) — with the extracted name and suggested SAP ID if found</w:t>
              <w:br/>
              <w:t xml:space="preserve">   • Ship-To: MATCHED (green) or UNMATCHED/DEFAULT (amber/red) — with the extracted address</w:t>
            </w:r>
          </w:p>
        </w:tc>
      </w:tr>
      <w:tr>
        <w:tc>
          <w:tcPr>
            <w:tcW w:type="dxa" w:w="2551"/>
            <w:shd w:val="clear" w:color="auto" w:fill="F4F4F4"/>
          </w:tcPr>
          <w:p>
            <w:r>
              <w:rPr>
                <w:sz w:val="18"/>
              </w:rPr>
              <w:t>📦  Missing Materials</w:t>
            </w:r>
          </w:p>
        </w:tc>
        <w:tc>
          <w:tcPr>
            <w:tcW w:type="dxa" w:w="6520"/>
            <w:shd w:val="clear" w:color="auto" w:fill="F4F4F4"/>
          </w:tcPr>
          <w:p>
            <w:r>
              <w:rPr>
                <w:sz w:val="18"/>
              </w:rPr>
              <w:t>A list of every Customer Material Number that could not be matched to an Internal SAP Material. Shown only when materials are the reason for the exception.</w:t>
            </w:r>
          </w:p>
        </w:tc>
      </w:tr>
      <w:tr>
        <w:tc>
          <w:tcPr>
            <w:tcW w:type="dxa" w:w="2551"/>
            <w:shd w:val="clear" w:color="auto" w:fill="FFFFFF"/>
          </w:tcPr>
          <w:p>
            <w:r>
              <w:rPr>
                <w:sz w:val="18"/>
              </w:rPr>
              <w:t>💡  Recommended Action</w:t>
            </w:r>
          </w:p>
        </w:tc>
        <w:tc>
          <w:tcPr>
            <w:tcW w:type="dxa" w:w="6520"/>
            <w:shd w:val="clear" w:color="auto" w:fill="FFFFFF"/>
          </w:tcPr>
          <w:p>
            <w:r>
              <w:rPr>
                <w:sz w:val="18"/>
              </w:rPr>
              <w:t>A clear instruction telling the CS team what to do next:</w:t>
              <w:br/>
              <w:t xml:space="preserve">   • "Update Customer Master Data in SAP" — customer not found in SAP</w:t>
              <w:br/>
              <w:t xml:space="preserve">   • "Update Material Master Data in SAP" — material not mapped</w:t>
              <w:br/>
              <w:t xml:space="preserve">   • "Request Corrected PO from Customer" — PO data is incomplete or unreadable</w:t>
            </w:r>
          </w:p>
        </w:tc>
      </w:tr>
    </w:tbl>
    <w:p/>
    <w:p>
      <w:pPr>
        <w:pStyle w:val="Heading2"/>
        <w:jc w:val="left"/>
      </w:pPr>
      <w:r>
        <w:rPr>
          <w:b/>
          <w:color w:val="00356B"/>
        </w:rPr>
        <w:t>4.2  What to Do When You Receive a Stage 1 Exception Email</w:t>
      </w:r>
    </w:p>
    <w:p>
      <w:pPr>
        <w:spacing w:before="0" w:after="80"/>
      </w:pPr>
      <w:r>
        <w:rPr>
          <w:b w:val="0"/>
          <w:i w:val="0"/>
          <w:sz w:val="20"/>
        </w:rPr>
        <w:t>Follow these steps based on the Recommended Action in the exception email:</w:t>
      </w:r>
    </w:p>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0356B"/>
          </w:tcPr>
          <w:p>
            <w:pPr>
              <w:jc w:val="center"/>
            </w:pPr>
            <w:r/>
            <w:r>
              <w:rPr>
                <w:b/>
                <w:color w:val="FFFFFF"/>
                <w:sz w:val="18"/>
              </w:rPr>
              <w:t>Situation</w:t>
            </w:r>
          </w:p>
        </w:tc>
        <w:tc>
          <w:tcPr>
            <w:tcW w:type="dxa" w:w="3118"/>
            <w:shd w:val="clear" w:color="auto" w:fill="00356B"/>
          </w:tcPr>
          <w:p>
            <w:pPr>
              <w:jc w:val="center"/>
            </w:pPr>
            <w:r/>
            <w:r>
              <w:rPr>
                <w:b/>
                <w:color w:val="FFFFFF"/>
                <w:sz w:val="18"/>
              </w:rPr>
              <w:t>What the Email Shows</w:t>
            </w:r>
          </w:p>
        </w:tc>
        <w:tc>
          <w:tcPr>
            <w:tcW w:type="dxa" w:w="3685"/>
            <w:shd w:val="clear" w:color="auto" w:fill="00356B"/>
          </w:tcPr>
          <w:p>
            <w:pPr>
              <w:jc w:val="center"/>
            </w:pPr>
            <w:r/>
            <w:r>
              <w:rPr>
                <w:b/>
                <w:color w:val="FFFFFF"/>
                <w:sz w:val="18"/>
              </w:rPr>
              <w:t>What You Should Do</w:t>
            </w:r>
          </w:p>
        </w:tc>
      </w:tr>
      <w:tr>
        <w:tc>
          <w:tcPr>
            <w:tcW w:type="dxa" w:w="2268"/>
            <w:shd w:val="clear" w:color="auto" w:fill="F4F4F4"/>
          </w:tcPr>
          <w:p>
            <w:r>
              <w:rPr>
                <w:sz w:val="18"/>
              </w:rPr>
              <w:t>Customer is UNMATCHED (unknown customer)</w:t>
            </w:r>
          </w:p>
        </w:tc>
        <w:tc>
          <w:tcPr>
            <w:tcW w:type="dxa" w:w="3118"/>
            <w:shd w:val="clear" w:color="auto" w:fill="F4F4F4"/>
          </w:tcPr>
          <w:p>
            <w:r>
              <w:rPr>
                <w:sz w:val="18"/>
              </w:rPr>
              <w:t>Sold-To status = UNMATCHED</w:t>
              <w:br/>
              <w:t>Recommended Action: "Update Customer Master Data in SAP"</w:t>
            </w:r>
          </w:p>
        </w:tc>
        <w:tc>
          <w:tcPr>
            <w:tcW w:type="dxa" w:w="3685"/>
            <w:shd w:val="clear" w:color="auto" w:fill="F4F4F4"/>
          </w:tcPr>
          <w:p>
            <w:r>
              <w:rPr>
                <w:sz w:val="18"/>
              </w:rPr>
              <w:t>1. Check with the customer to confirm their Sold-To ID.</w:t>
              <w:br/>
              <w:t>2. If the customer is genuinely new: add them to SAP Master Data.</w:t>
              <w:br/>
              <w:t>3. Once added, resubmit the PO email so the system can reprocess it.</w:t>
              <w:br/>
              <w:t>4. Or: manually create the Sales Order in SAP using the attached PO PDF.</w:t>
            </w:r>
          </w:p>
        </w:tc>
      </w:tr>
      <w:tr>
        <w:tc>
          <w:tcPr>
            <w:tcW w:type="dxa" w:w="2268"/>
            <w:shd w:val="clear" w:color="auto" w:fill="FFFFFF"/>
          </w:tcPr>
          <w:p>
            <w:r>
              <w:rPr>
                <w:sz w:val="18"/>
              </w:rPr>
              <w:t>Material is MISSING (not in SAP)</w:t>
            </w:r>
          </w:p>
        </w:tc>
        <w:tc>
          <w:tcPr>
            <w:tcW w:type="dxa" w:w="3118"/>
            <w:shd w:val="clear" w:color="auto" w:fill="FFFFFF"/>
          </w:tcPr>
          <w:p>
            <w:r>
              <w:rPr>
                <w:sz w:val="18"/>
              </w:rPr>
              <w:t>Missing Materials table lists unresolved codes</w:t>
              <w:br/>
              <w:t>Recommended Action: "Update Material Master Data in SAP"</w:t>
            </w:r>
          </w:p>
        </w:tc>
        <w:tc>
          <w:tcPr>
            <w:tcW w:type="dxa" w:w="3685"/>
            <w:shd w:val="clear" w:color="auto" w:fill="FFFFFF"/>
          </w:tcPr>
          <w:p>
            <w:r>
              <w:rPr>
                <w:sz w:val="18"/>
              </w:rPr>
              <w:t>1. Check the Customer Material Number in the email against the SAP material list.</w:t>
              <w:br/>
              <w:t>2. If the material is new: add the cross-reference in SAP (KNMT record).</w:t>
              <w:br/>
              <w:t>3. Once added, resubmit the PO email for reprocessing.</w:t>
              <w:br/>
              <w:t>4. Or: manually enter the Sales Order in SAP using the attached PO.</w:t>
            </w:r>
          </w:p>
        </w:tc>
      </w:tr>
      <w:tr>
        <w:tc>
          <w:tcPr>
            <w:tcW w:type="dxa" w:w="2268"/>
            <w:shd w:val="clear" w:color="auto" w:fill="F4F4F4"/>
          </w:tcPr>
          <w:p>
            <w:r>
              <w:rPr>
                <w:sz w:val="18"/>
              </w:rPr>
              <w:t>PO is unreadable / incomplete</w:t>
            </w:r>
          </w:p>
        </w:tc>
        <w:tc>
          <w:tcPr>
            <w:tcW w:type="dxa" w:w="3118"/>
            <w:shd w:val="clear" w:color="auto" w:fill="F4F4F4"/>
          </w:tcPr>
          <w:p>
            <w:r>
              <w:rPr>
                <w:sz w:val="18"/>
              </w:rPr>
              <w:t>Extraction failed or very low quality</w:t>
              <w:br/>
              <w:t>Recommended Action: "Request Corrected PO from Customer"</w:t>
            </w:r>
          </w:p>
        </w:tc>
        <w:tc>
          <w:tcPr>
            <w:tcW w:type="dxa" w:w="3685"/>
            <w:shd w:val="clear" w:color="auto" w:fill="F4F4F4"/>
          </w:tcPr>
          <w:p>
            <w:r>
              <w:rPr>
                <w:sz w:val="18"/>
              </w:rPr>
              <w:t>1. Reply to the customer asking for a clearer/corrected PO PDF.</w:t>
              <w:br/>
              <w:t>2. Once received, forward the corrected PO to the shared mailbox so the system can reprocess it.</w:t>
            </w:r>
          </w:p>
        </w:tc>
      </w:tr>
    </w:tbl>
    <w:p/>
    <w:p>
      <w:pPr>
        <w:pStyle w:val="Heading2"/>
        <w:jc w:val="left"/>
      </w:pPr>
      <w:r>
        <w:rPr>
          <w:b/>
          <w:color w:val="00356B"/>
        </w:rPr>
        <w:t>4.3  Understanding a Stage 2 Exception Email (SAP Block)</w:t>
      </w:r>
    </w:p>
    <w:p>
      <w:pPr>
        <w:spacing w:before="0" w:after="80"/>
      </w:pPr>
      <w:r>
        <w:rPr>
          <w:b w:val="0"/>
          <w:i w:val="0"/>
          <w:sz w:val="20"/>
        </w:rPr>
        <w:t>A Stage 2 Exception email is different from Stage 1. It means the system successfully mapped the PO and sent it to Celonis — but the Celonis Action Flow could NOT create the Sales Order in SAP. This usually happens due to a credit block, a missing configuration in SAP, or a technical timeout.</w:t>
      </w:r>
    </w:p>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356B"/>
                <w:sz w:val="18"/>
              </w:rPr>
              <w:t xml:space="preserve">⚠ Important:  </w:t>
            </w:r>
            <w:r>
              <w:rPr>
                <w:sz w:val="18"/>
              </w:rPr>
              <w:t>For Stage 2 exceptions, the PO data has already been sent to Celonis. The issue is in SAP, not in the AI pipeline. Contact the SAP/Celonis admin team if you are unsure how to resolve the SAP error shown in the email.</w:t>
            </w:r>
          </w:p>
        </w:tc>
      </w:tr>
    </w:tbl>
    <w:p/>
    <w:p>
      <w:pPr>
        <w:pStyle w:val="ListBullet"/>
        <w:spacing w:after="40"/>
      </w:pPr>
      <w:r>
        <w:rPr>
          <w:sz w:val="20"/>
        </w:rPr>
        <w:t>Credit block: Ask the Finance/Credit team to release the credit hold for this customer in SAP.</w:t>
      </w:r>
    </w:p>
    <w:p>
      <w:pPr>
        <w:pStyle w:val="ListBullet"/>
        <w:spacing w:after="40"/>
      </w:pPr>
      <w:r>
        <w:rPr>
          <w:sz w:val="20"/>
        </w:rPr>
        <w:t>SAP validation error (e.g. missing Sales Organisation config): Escalate to the SAP admin team.</w:t>
      </w:r>
    </w:p>
    <w:p>
      <w:pPr>
        <w:pStyle w:val="ListBullet"/>
        <w:spacing w:after="40"/>
      </w:pPr>
      <w:r>
        <w:rPr>
          <w:sz w:val="20"/>
        </w:rPr>
        <w:t>Technical timeout (Celonis unreachable): The admin team should retry the Celonis Action Flow.</w:t>
      </w:r>
    </w:p>
    <w:p>
      <w:pPr>
        <w:pStyle w:val="ListBullet"/>
        <w:spacing w:after="40"/>
      </w:pPr>
      <w:r>
        <w:rPr>
          <w:sz w:val="20"/>
        </w:rPr>
        <w:t>If the error cannot be resolved quickly: manually create the Sales Order in SAP using the attached PO PDF and add a note in the Gap &amp; Action Log.</w:t>
      </w:r>
    </w:p>
    <w:p/>
    <w:p>
      <w:pPr>
        <w:pStyle w:val="Heading2"/>
        <w:jc w:val="left"/>
      </w:pPr>
      <w:r>
        <w:rPr>
          <w:b/>
          <w:color w:val="00356B"/>
        </w:rPr>
        <w:t>4.4  Understanding Robona RPA Audit Emails</w:t>
      </w:r>
    </w:p>
    <w:p>
      <w:pPr>
        <w:spacing w:before="0" w:after="80"/>
      </w:pPr>
      <w:r>
        <w:rPr>
          <w:b w:val="0"/>
          <w:i w:val="0"/>
          <w:sz w:val="20"/>
        </w:rPr>
        <w:t>When a Sales Order is successfully created in SAP with no blocks, the system automatically sends a notification email to the Robona RPA service mailbox. You do NOT need to do anything for Robona — this is a fully automated handoff.</w:t>
      </w:r>
    </w:p>
    <w:p>
      <w:pPr>
        <w:spacing w:before="0" w:after="80"/>
      </w:pPr>
      <w:r>
        <w:rPr>
          <w:b w:val="0"/>
          <w:i w:val="0"/>
          <w:sz w:val="20"/>
        </w:rPr>
        <w:t>The Robona RPA robot then picks up the original PO email from the "Processed POs" folder in Outlook and links it to the SAP Sales Order record for compliance auditing.</w:t>
      </w:r>
    </w:p>
    <w:p/>
    <w:tbl>
      <w:tblPr>
        <w:tblStyle w:val="TableGrid"/>
        <w:tblW w:type="auto" w:w="0"/>
        <w:tblLook w:firstColumn="1" w:firstRow="1" w:lastColumn="0" w:lastRow="0" w:noHBand="0" w:noVBand="1" w:val="04A0"/>
      </w:tblPr>
      <w:tblGrid>
        <w:gridCol w:w="9406"/>
      </w:tblGrid>
      <w:tr>
        <w:tc>
          <w:tcPr>
            <w:tcW w:type="dxa" w:w="9406"/>
            <w:shd w:val="clear" w:color="auto" w:fill="D6E8F7"/>
          </w:tcPr>
          <w:p>
            <w:r>
              <w:rPr>
                <w:b/>
                <w:color w:val="006DC6"/>
                <w:sz w:val="18"/>
              </w:rPr>
              <w:t xml:space="preserve">📌 Note:  </w:t>
            </w:r>
            <w:r>
              <w:rPr>
                <w:sz w:val="18"/>
              </w:rPr>
              <w:t>You may notice emails disappearing from "Processed POs" — this is Robona working correctly. The emails are being linked in SAP as part of the automated audit trail.</w:t>
            </w:r>
          </w:p>
        </w:tc>
      </w:tr>
    </w:tbl>
    <w:p/>
    <w:p>
      <w:r>
        <w:br w:type="page"/>
      </w:r>
    </w:p>
    <w:p>
      <w:pPr>
        <w:pStyle w:val="Heading1"/>
        <w:jc w:val="left"/>
      </w:pPr>
      <w:r>
        <w:rPr>
          <w:b/>
          <w:color w:val="00356B"/>
        </w:rPr>
        <w:t>5.  For Technical Administrators</w:t>
      </w:r>
    </w:p>
    <w:p>
      <w:pPr>
        <w:spacing w:before="0" w:after="80"/>
      </w:pPr>
      <w:r>
        <w:rPr>
          <w:b w:val="0"/>
          <w:i/>
          <w:sz w:val="20"/>
        </w:rPr>
        <w:t>This section is for IT staff and developers responsible for running and maintaining the Touchless Order Creation pipeline.</w:t>
      </w:r>
    </w:p>
    <w:p>
      <w:pPr>
        <w:pStyle w:val="Heading2"/>
        <w:jc w:val="left"/>
      </w:pPr>
      <w:r>
        <w:rPr>
          <w:b/>
          <w:color w:val="00356B"/>
        </w:rPr>
        <w:t>5.1  Running the Pipeline</w:t>
      </w:r>
    </w:p>
    <w:p>
      <w:pPr>
        <w:spacing w:before="0" w:after="80"/>
      </w:pPr>
      <w:r>
        <w:rPr>
          <w:b w:val="0"/>
          <w:i w:val="0"/>
          <w:sz w:val="20"/>
        </w:rPr>
        <w:t>The main entry point for the pipeline is run_outlook_to_pipeline.py.</w:t>
      </w:r>
    </w:p>
    <w:p/>
    <w:tbl>
      <w:tblPr>
        <w:tblStyle w:val="TableGrid"/>
        <w:tblW w:type="auto" w:w="0"/>
        <w:tblLook w:firstColumn="1" w:firstRow="1" w:lastColumn="0" w:lastRow="0" w:noHBand="0" w:noVBand="1" w:val="04A0"/>
      </w:tblPr>
      <w:tblGrid>
        <w:gridCol w:w="4703"/>
        <w:gridCol w:w="4703"/>
      </w:tblGrid>
      <w:tr>
        <w:tc>
          <w:tcPr>
            <w:tcW w:type="dxa" w:w="4535"/>
            <w:shd w:val="clear" w:color="auto" w:fill="00356B"/>
          </w:tcPr>
          <w:p>
            <w:pPr>
              <w:jc w:val="center"/>
            </w:pPr>
            <w:r/>
            <w:r>
              <w:rPr>
                <w:b/>
                <w:color w:val="FFFFFF"/>
                <w:sz w:val="18"/>
              </w:rPr>
              <w:t>Command</w:t>
            </w:r>
          </w:p>
        </w:tc>
        <w:tc>
          <w:tcPr>
            <w:tcW w:type="dxa" w:w="4535"/>
            <w:shd w:val="clear" w:color="auto" w:fill="00356B"/>
          </w:tcPr>
          <w:p>
            <w:pPr>
              <w:jc w:val="center"/>
            </w:pPr>
            <w:r/>
            <w:r>
              <w:rPr>
                <w:b/>
                <w:color w:val="FFFFFF"/>
                <w:sz w:val="18"/>
              </w:rPr>
              <w:t>When to Use</w:t>
            </w:r>
          </w:p>
        </w:tc>
      </w:tr>
      <w:tr>
        <w:tc>
          <w:tcPr>
            <w:tcW w:type="dxa" w:w="4535"/>
            <w:shd w:val="clear" w:color="auto" w:fill="F4F4F4"/>
          </w:tcPr>
          <w:p>
            <w:r>
              <w:rPr>
                <w:sz w:val="18"/>
              </w:rPr>
              <w:t>python run_outlook_to_pipeline.py</w:t>
            </w:r>
          </w:p>
        </w:tc>
        <w:tc>
          <w:tcPr>
            <w:tcW w:type="dxa" w:w="4535"/>
            <w:shd w:val="clear" w:color="auto" w:fill="F4F4F4"/>
          </w:tcPr>
          <w:p>
            <w:r>
              <w:rPr>
                <w:sz w:val="18"/>
              </w:rPr>
              <w:t>Normal full run. Downloads fresh Celonis data, polls Outlook, runs OCR+AI extraction, maps, pushes to Celonis.</w:t>
            </w:r>
          </w:p>
        </w:tc>
      </w:tr>
      <w:tr>
        <w:tc>
          <w:tcPr>
            <w:tcW w:type="dxa" w:w="4535"/>
            <w:shd w:val="clear" w:color="auto" w:fill="FFFFFF"/>
          </w:tcPr>
          <w:p>
            <w:r>
              <w:rPr>
                <w:sz w:val="18"/>
              </w:rPr>
              <w:t>python run_outlook_to_pipeline.py --skip-outlook</w:t>
            </w:r>
          </w:p>
        </w:tc>
        <w:tc>
          <w:tcPr>
            <w:tcW w:type="dxa" w:w="4535"/>
            <w:shd w:val="clear" w:color="auto" w:fill="FFFFFF"/>
          </w:tcPr>
          <w:p>
            <w:r>
              <w:rPr>
                <w:sz w:val="18"/>
              </w:rPr>
              <w:t>Reprocess existing files already in the working folder (skip Outlook polling). Useful for rerunning after a partial failure.</w:t>
            </w:r>
          </w:p>
        </w:tc>
      </w:tr>
      <w:tr>
        <w:tc>
          <w:tcPr>
            <w:tcW w:type="dxa" w:w="4535"/>
            <w:shd w:val="clear" w:color="auto" w:fill="F4F4F4"/>
          </w:tcPr>
          <w:p>
            <w:r>
              <w:rPr>
                <w:sz w:val="18"/>
              </w:rPr>
              <w:t>python run_outlook_to_pipeline.py --dry-run</w:t>
            </w:r>
          </w:p>
        </w:tc>
        <w:tc>
          <w:tcPr>
            <w:tcW w:type="dxa" w:w="4535"/>
            <w:shd w:val="clear" w:color="auto" w:fill="F4F4F4"/>
          </w:tcPr>
          <w:p>
            <w:r>
              <w:rPr>
                <w:sz w:val="18"/>
              </w:rPr>
              <w:t>Run the full pipeline but do NOT make live API calls (no real emails sent, no Celonis push). Use for testing.</w:t>
            </w:r>
          </w:p>
        </w:tc>
      </w:tr>
      <w:tr>
        <w:tc>
          <w:tcPr>
            <w:tcW w:type="dxa" w:w="4535"/>
            <w:shd w:val="clear" w:color="auto" w:fill="FFFFFF"/>
          </w:tcPr>
          <w:p>
            <w:r>
              <w:rPr>
                <w:sz w:val="18"/>
              </w:rPr>
              <w:t>python run_outlook_to_pipeline.py --skip-celonis-refresh</w:t>
            </w:r>
          </w:p>
        </w:tc>
        <w:tc>
          <w:tcPr>
            <w:tcW w:type="dxa" w:w="4535"/>
            <w:shd w:val="clear" w:color="auto" w:fill="FFFFFF"/>
          </w:tcPr>
          <w:p>
            <w:r>
              <w:rPr>
                <w:sz w:val="18"/>
              </w:rPr>
              <w:t>Skip the Celonis master data download at the start. Use cached data instead. Only use when Celonis is unreachable.</w:t>
            </w:r>
          </w:p>
        </w:tc>
      </w:tr>
      <w:tr>
        <w:tc>
          <w:tcPr>
            <w:tcW w:type="dxa" w:w="4535"/>
            <w:shd w:val="clear" w:color="auto" w:fill="F4F4F4"/>
          </w:tcPr>
          <w:p>
            <w:r>
              <w:rPr>
                <w:sz w:val="18"/>
              </w:rPr>
              <w:t>python run_celonis_feedback.py</w:t>
            </w:r>
          </w:p>
        </w:tc>
        <w:tc>
          <w:tcPr>
            <w:tcW w:type="dxa" w:w="4535"/>
            <w:shd w:val="clear" w:color="auto" w:fill="F4F4F4"/>
          </w:tcPr>
          <w:p>
            <w:r>
              <w:rPr>
                <w:sz w:val="18"/>
              </w:rPr>
              <w:t>Run the Stage 2 post-processing: checks Celonis for SO creation results, sends Robona notifications or Stage 2 exception emails.</w:t>
            </w:r>
          </w:p>
        </w:tc>
      </w:tr>
    </w:tbl>
    <w:p/>
    <w:p>
      <w:pPr>
        <w:pStyle w:val="Heading2"/>
        <w:jc w:val="left"/>
      </w:pPr>
      <w:r>
        <w:rPr>
          <w:b/>
          <w:color w:val="00356B"/>
        </w:rPr>
        <w:t>5.2  Key Files and Their Roles</w:t>
      </w:r>
    </w:p>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File</w:t>
            </w:r>
          </w:p>
        </w:tc>
        <w:tc>
          <w:tcPr>
            <w:tcW w:type="dxa" w:w="1134"/>
            <w:shd w:val="clear" w:color="auto" w:fill="00356B"/>
          </w:tcPr>
          <w:p>
            <w:pPr>
              <w:jc w:val="center"/>
            </w:pPr>
            <w:r/>
            <w:r>
              <w:rPr>
                <w:b/>
                <w:color w:val="FFFFFF"/>
                <w:sz w:val="18"/>
              </w:rPr>
              <w:t>Type</w:t>
            </w:r>
          </w:p>
        </w:tc>
        <w:tc>
          <w:tcPr>
            <w:tcW w:type="dxa" w:w="5102"/>
            <w:shd w:val="clear" w:color="auto" w:fill="00356B"/>
          </w:tcPr>
          <w:p>
            <w:pPr>
              <w:jc w:val="center"/>
            </w:pPr>
            <w:r/>
            <w:r>
              <w:rPr>
                <w:b/>
                <w:color w:val="FFFFFF"/>
                <w:sz w:val="18"/>
              </w:rPr>
              <w:t>What It Does</w:t>
            </w:r>
          </w:p>
        </w:tc>
      </w:tr>
      <w:tr>
        <w:tc>
          <w:tcPr>
            <w:tcW w:type="dxa" w:w="2835"/>
            <w:shd w:val="clear" w:color="auto" w:fill="F4F4F4"/>
          </w:tcPr>
          <w:p>
            <w:r>
              <w:rPr>
                <w:rFonts w:ascii="Courier New" w:hAnsi="Courier New"/>
                <w:sz w:val="18"/>
              </w:rPr>
              <w:t>run_outlook_to_pipeline.py</w:t>
            </w:r>
          </w:p>
        </w:tc>
        <w:tc>
          <w:tcPr>
            <w:tcW w:type="dxa" w:w="1134"/>
            <w:shd w:val="clear" w:color="auto" w:fill="F4F4F4"/>
          </w:tcPr>
          <w:p>
            <w:r>
              <w:rPr>
                <w:sz w:val="18"/>
              </w:rPr>
              <w:t>MAIN</w:t>
            </w:r>
          </w:p>
        </w:tc>
        <w:tc>
          <w:tcPr>
            <w:tcW w:type="dxa" w:w="5102"/>
            <w:shd w:val="clear" w:color="auto" w:fill="F4F4F4"/>
          </w:tcPr>
          <w:p>
            <w:r>
              <w:rPr>
                <w:sz w:val="18"/>
              </w:rPr>
              <w:t>Master orchestrator. Runs all pipeline steps in sequence.</w:t>
            </w:r>
          </w:p>
        </w:tc>
      </w:tr>
      <w:tr>
        <w:tc>
          <w:tcPr>
            <w:tcW w:type="dxa" w:w="2835"/>
            <w:shd w:val="clear" w:color="auto" w:fill="FFFFFF"/>
          </w:tcPr>
          <w:p>
            <w:r>
              <w:rPr>
                <w:rFonts w:ascii="Courier New" w:hAnsi="Courier New"/>
                <w:sz w:val="18"/>
              </w:rPr>
              <w:t>celonis_to_azure.py</w:t>
            </w:r>
          </w:p>
        </w:tc>
        <w:tc>
          <w:tcPr>
            <w:tcW w:type="dxa" w:w="1134"/>
            <w:shd w:val="clear" w:color="auto" w:fill="FFFFFF"/>
          </w:tcPr>
          <w:p>
            <w:r>
              <w:rPr>
                <w:sz w:val="18"/>
              </w:rPr>
              <w:t>STEP -1</w:t>
            </w:r>
          </w:p>
        </w:tc>
        <w:tc>
          <w:tcPr>
            <w:tcW w:type="dxa" w:w="5102"/>
            <w:shd w:val="clear" w:color="auto" w:fill="FFFFFF"/>
          </w:tcPr>
          <w:p>
            <w:r>
              <w:rPr>
                <w:sz w:val="18"/>
              </w:rPr>
              <w:t>Downloads fresh Test MP + Sheet 3 from Celonis → uploads to Azure Blob as Parquet files.</w:t>
            </w:r>
          </w:p>
        </w:tc>
      </w:tr>
      <w:tr>
        <w:tc>
          <w:tcPr>
            <w:tcW w:type="dxa" w:w="2835"/>
            <w:shd w:val="clear" w:color="auto" w:fill="F4F4F4"/>
          </w:tcPr>
          <w:p>
            <w:r>
              <w:rPr>
                <w:rFonts w:ascii="Courier New" w:hAnsi="Courier New"/>
                <w:sz w:val="18"/>
              </w:rPr>
              <w:t>setup_knowledge_base.py</w:t>
            </w:r>
          </w:p>
        </w:tc>
        <w:tc>
          <w:tcPr>
            <w:tcW w:type="dxa" w:w="1134"/>
            <w:shd w:val="clear" w:color="auto" w:fill="F4F4F4"/>
          </w:tcPr>
          <w:p>
            <w:r>
              <w:rPr>
                <w:sz w:val="18"/>
              </w:rPr>
              <w:t>STEP -1b</w:t>
            </w:r>
          </w:p>
        </w:tc>
        <w:tc>
          <w:tcPr>
            <w:tcW w:type="dxa" w:w="5102"/>
            <w:shd w:val="clear" w:color="auto" w:fill="F4F4F4"/>
          </w:tcPr>
          <w:p>
            <w:r>
              <w:rPr>
                <w:sz w:val="18"/>
              </w:rPr>
              <w:t>Rebuilds the local vendor knowledge base (knowledge_base.db) from the fresh Celonis data.</w:t>
            </w:r>
          </w:p>
        </w:tc>
      </w:tr>
      <w:tr>
        <w:tc>
          <w:tcPr>
            <w:tcW w:type="dxa" w:w="2835"/>
            <w:shd w:val="clear" w:color="auto" w:fill="FFFFFF"/>
          </w:tcPr>
          <w:p>
            <w:r>
              <w:rPr>
                <w:rFonts w:ascii="Courier New" w:hAnsi="Courier New"/>
                <w:sz w:val="18"/>
              </w:rPr>
              <w:t>outlook_poller.py</w:t>
            </w:r>
          </w:p>
        </w:tc>
        <w:tc>
          <w:tcPr>
            <w:tcW w:type="dxa" w:w="1134"/>
            <w:shd w:val="clear" w:color="auto" w:fill="FFFFFF"/>
          </w:tcPr>
          <w:p>
            <w:r>
              <w:rPr>
                <w:sz w:val="18"/>
              </w:rPr>
              <w:t>STEP 0</w:t>
            </w:r>
          </w:p>
        </w:tc>
        <w:tc>
          <w:tcPr>
            <w:tcW w:type="dxa" w:w="5102"/>
            <w:shd w:val="clear" w:color="auto" w:fill="FFFFFF"/>
          </w:tcPr>
          <w:p>
            <w:r>
              <w:rPr>
                <w:sz w:val="18"/>
              </w:rPr>
              <w:t>Polls the shared Outlook mailbox via Microsoft Graph API for new PO emails.</w:t>
            </w:r>
          </w:p>
        </w:tc>
      </w:tr>
      <w:tr>
        <w:tc>
          <w:tcPr>
            <w:tcW w:type="dxa" w:w="2835"/>
            <w:shd w:val="clear" w:color="auto" w:fill="F4F4F4"/>
          </w:tcPr>
          <w:p>
            <w:r>
              <w:rPr>
                <w:rFonts w:ascii="Courier New" w:hAnsi="Courier New"/>
                <w:sz w:val="18"/>
              </w:rPr>
              <w:t>po_extraction_enhanced.py</w:t>
            </w:r>
          </w:p>
        </w:tc>
        <w:tc>
          <w:tcPr>
            <w:tcW w:type="dxa" w:w="1134"/>
            <w:shd w:val="clear" w:color="auto" w:fill="F4F4F4"/>
          </w:tcPr>
          <w:p>
            <w:r>
              <w:rPr>
                <w:sz w:val="18"/>
              </w:rPr>
              <w:t>STEP 1</w:t>
            </w:r>
          </w:p>
        </w:tc>
        <w:tc>
          <w:tcPr>
            <w:tcW w:type="dxa" w:w="5102"/>
            <w:shd w:val="clear" w:color="auto" w:fill="F4F4F4"/>
          </w:tcPr>
          <w:p>
            <w:r>
              <w:rPr>
                <w:sz w:val="18"/>
              </w:rPr>
              <w:t>Runs PaddleOCR on PDF files, then passes the text to Claude/Qwen for structured JSON extraction.</w:t>
            </w:r>
          </w:p>
        </w:tc>
      </w:tr>
      <w:tr>
        <w:tc>
          <w:tcPr>
            <w:tcW w:type="dxa" w:w="2835"/>
            <w:shd w:val="clear" w:color="auto" w:fill="FFFFFF"/>
          </w:tcPr>
          <w:p>
            <w:r>
              <w:rPr>
                <w:rFonts w:ascii="Courier New" w:hAnsi="Courier New"/>
                <w:sz w:val="18"/>
              </w:rPr>
              <w:t>reenrich_results.py</w:t>
            </w:r>
          </w:p>
        </w:tc>
        <w:tc>
          <w:tcPr>
            <w:tcW w:type="dxa" w:w="1134"/>
            <w:shd w:val="clear" w:color="auto" w:fill="FFFFFF"/>
          </w:tcPr>
          <w:p>
            <w:r>
              <w:rPr>
                <w:sz w:val="18"/>
              </w:rPr>
              <w:t>STEP 2</w:t>
            </w:r>
          </w:p>
        </w:tc>
        <w:tc>
          <w:tcPr>
            <w:tcW w:type="dxa" w:w="5102"/>
            <w:shd w:val="clear" w:color="auto" w:fill="FFFFFF"/>
          </w:tcPr>
          <w:p>
            <w:r>
              <w:rPr>
                <w:sz w:val="18"/>
              </w:rPr>
              <w:t>Applies fuzzy matching (Sold-To, Ship-To) and Decision Tree (Order Type) using the fresh Celonis data.</w:t>
            </w:r>
          </w:p>
        </w:tc>
      </w:tr>
      <w:tr>
        <w:tc>
          <w:tcPr>
            <w:tcW w:type="dxa" w:w="2835"/>
            <w:shd w:val="clear" w:color="auto" w:fill="F4F4F4"/>
          </w:tcPr>
          <w:p>
            <w:r>
              <w:rPr>
                <w:rFonts w:ascii="Courier New" w:hAnsi="Courier New"/>
                <w:sz w:val="18"/>
              </w:rPr>
              <w:t>sales_order_mapper.py</w:t>
            </w:r>
          </w:p>
        </w:tc>
        <w:tc>
          <w:tcPr>
            <w:tcW w:type="dxa" w:w="1134"/>
            <w:shd w:val="clear" w:color="auto" w:fill="F4F4F4"/>
          </w:tcPr>
          <w:p>
            <w:r>
              <w:rPr>
                <w:sz w:val="18"/>
              </w:rPr>
              <w:t>STEP 2</w:t>
            </w:r>
          </w:p>
        </w:tc>
        <w:tc>
          <w:tcPr>
            <w:tcW w:type="dxa" w:w="5102"/>
            <w:shd w:val="clear" w:color="auto" w:fill="F4F4F4"/>
          </w:tcPr>
          <w:p>
            <w:r>
              <w:rPr>
                <w:sz w:val="18"/>
              </w:rPr>
              <w:t>Customer Material Number → Internal SAP Material mapping and SO grouping logic.</w:t>
            </w:r>
          </w:p>
        </w:tc>
      </w:tr>
      <w:tr>
        <w:tc>
          <w:tcPr>
            <w:tcW w:type="dxa" w:w="2835"/>
            <w:shd w:val="clear" w:color="auto" w:fill="FFFFFF"/>
          </w:tcPr>
          <w:p>
            <w:r>
              <w:rPr>
                <w:rFonts w:ascii="Courier New" w:hAnsi="Courier New"/>
                <w:sz w:val="18"/>
              </w:rPr>
              <w:t>run_test_export.py</w:t>
            </w:r>
          </w:p>
        </w:tc>
        <w:tc>
          <w:tcPr>
            <w:tcW w:type="dxa" w:w="1134"/>
            <w:shd w:val="clear" w:color="auto" w:fill="FFFFFF"/>
          </w:tcPr>
          <w:p>
            <w:r>
              <w:rPr>
                <w:sz w:val="18"/>
              </w:rPr>
              <w:t>STEP 3</w:t>
            </w:r>
          </w:p>
        </w:tc>
        <w:tc>
          <w:tcPr>
            <w:tcW w:type="dxa" w:w="5102"/>
            <w:shd w:val="clear" w:color="auto" w:fill="FFFFFF"/>
          </w:tcPr>
          <w:p>
            <w:r>
              <w:rPr>
                <w:sz w:val="18"/>
              </w:rPr>
              <w:t>Exports the enriched results to CSV format.</w:t>
            </w:r>
          </w:p>
        </w:tc>
      </w:tr>
      <w:tr>
        <w:tc>
          <w:tcPr>
            <w:tcW w:type="dxa" w:w="2835"/>
            <w:shd w:val="clear" w:color="auto" w:fill="F4F4F4"/>
          </w:tcPr>
          <w:p>
            <w:r>
              <w:rPr>
                <w:rFonts w:ascii="Courier New" w:hAnsi="Courier New"/>
                <w:sz w:val="18"/>
              </w:rPr>
              <w:t>push_to_celonis.py</w:t>
            </w:r>
          </w:p>
        </w:tc>
        <w:tc>
          <w:tcPr>
            <w:tcW w:type="dxa" w:w="1134"/>
            <w:shd w:val="clear" w:color="auto" w:fill="F4F4F4"/>
          </w:tcPr>
          <w:p>
            <w:r>
              <w:rPr>
                <w:sz w:val="18"/>
              </w:rPr>
              <w:t>STEP 4</w:t>
            </w:r>
          </w:p>
        </w:tc>
        <w:tc>
          <w:tcPr>
            <w:tcW w:type="dxa" w:w="5102"/>
            <w:shd w:val="clear" w:color="auto" w:fill="F4F4F4"/>
          </w:tcPr>
          <w:p>
            <w:r>
              <w:rPr>
                <w:sz w:val="18"/>
              </w:rPr>
              <w:t>Pushes the mapped Sales Order data to the Celonis PO_EXTRACTION_RESULTS table.</w:t>
            </w:r>
          </w:p>
        </w:tc>
      </w:tr>
      <w:tr>
        <w:tc>
          <w:tcPr>
            <w:tcW w:type="dxa" w:w="2835"/>
            <w:shd w:val="clear" w:color="auto" w:fill="FFFFFF"/>
          </w:tcPr>
          <w:p>
            <w:r>
              <w:rPr>
                <w:rFonts w:ascii="Courier New" w:hAnsi="Courier New"/>
                <w:sz w:val="18"/>
              </w:rPr>
              <w:t>run_celonis_feedback.py</w:t>
            </w:r>
          </w:p>
        </w:tc>
        <w:tc>
          <w:tcPr>
            <w:tcW w:type="dxa" w:w="1134"/>
            <w:shd w:val="clear" w:color="auto" w:fill="FFFFFF"/>
          </w:tcPr>
          <w:p>
            <w:r>
              <w:rPr>
                <w:sz w:val="18"/>
              </w:rPr>
              <w:t>POST</w:t>
            </w:r>
          </w:p>
        </w:tc>
        <w:tc>
          <w:tcPr>
            <w:tcW w:type="dxa" w:w="5102"/>
            <w:shd w:val="clear" w:color="auto" w:fill="FFFFFF"/>
          </w:tcPr>
          <w:p>
            <w:r>
              <w:rPr>
                <w:sz w:val="18"/>
              </w:rPr>
              <w:t>Checks Celonis for SO outcomes → sends Robona email (happy path) or Stage 2 exception email.</w:t>
            </w:r>
          </w:p>
        </w:tc>
      </w:tr>
      <w:tr>
        <w:tc>
          <w:tcPr>
            <w:tcW w:type="dxa" w:w="2835"/>
            <w:shd w:val="clear" w:color="auto" w:fill="F4F4F4"/>
          </w:tcPr>
          <w:p>
            <w:r>
              <w:rPr>
                <w:rFonts w:ascii="Courier New" w:hAnsi="Courier New"/>
                <w:sz w:val="18"/>
              </w:rPr>
              <w:t>graph_email_handler.py</w:t>
            </w:r>
          </w:p>
        </w:tc>
        <w:tc>
          <w:tcPr>
            <w:tcW w:type="dxa" w:w="1134"/>
            <w:shd w:val="clear" w:color="auto" w:fill="F4F4F4"/>
          </w:tcPr>
          <w:p>
            <w:r>
              <w:rPr>
                <w:sz w:val="18"/>
              </w:rPr>
              <w:t>UTILITY</w:t>
            </w:r>
          </w:p>
        </w:tc>
        <w:tc>
          <w:tcPr>
            <w:tcW w:type="dxa" w:w="5102"/>
            <w:shd w:val="clear" w:color="auto" w:fill="F4F4F4"/>
          </w:tcPr>
          <w:p>
            <w:r>
              <w:rPr>
                <w:sz w:val="18"/>
              </w:rPr>
              <w:t>MS Graph API email operations: folder moves, exception emails, attachment handling.</w:t>
            </w:r>
          </w:p>
        </w:tc>
      </w:tr>
      <w:tr>
        <w:tc>
          <w:tcPr>
            <w:tcW w:type="dxa" w:w="2835"/>
            <w:shd w:val="clear" w:color="auto" w:fill="FFFFFF"/>
          </w:tcPr>
          <w:p>
            <w:r>
              <w:rPr>
                <w:rFonts w:ascii="Courier New" w:hAnsi="Courier New"/>
                <w:sz w:val="18"/>
              </w:rPr>
              <w:t>email_templates.py</w:t>
            </w:r>
          </w:p>
        </w:tc>
        <w:tc>
          <w:tcPr>
            <w:tcW w:type="dxa" w:w="1134"/>
            <w:shd w:val="clear" w:color="auto" w:fill="FFFFFF"/>
          </w:tcPr>
          <w:p>
            <w:r>
              <w:rPr>
                <w:sz w:val="18"/>
              </w:rPr>
              <w:t>UTILITY</w:t>
            </w:r>
          </w:p>
        </w:tc>
        <w:tc>
          <w:tcPr>
            <w:tcW w:type="dxa" w:w="5102"/>
            <w:shd w:val="clear" w:color="auto" w:fill="FFFFFF"/>
          </w:tcPr>
          <w:p>
            <w:r>
              <w:rPr>
                <w:sz w:val="18"/>
              </w:rPr>
              <w:t>Generates the HTML body for Stage 1 exception emails (status tables, missing materials, recommendations).</w:t>
            </w:r>
          </w:p>
        </w:tc>
      </w:tr>
    </w:tbl>
    <w:p>
      <w:r>
        <w:br w:type="page"/>
      </w:r>
    </w:p>
    <w:p>
      <w:pPr>
        <w:pStyle w:val="Heading2"/>
        <w:jc w:val="left"/>
      </w:pPr>
      <w:r>
        <w:rPr>
          <w:b/>
          <w:color w:val="00356B"/>
        </w:rPr>
        <w:t>5.3  Environment Configuration (.env)</w:t>
      </w:r>
    </w:p>
    <w:p>
      <w:pPr>
        <w:spacing w:before="0" w:after="80"/>
      </w:pPr>
      <w:r>
        <w:rPr>
          <w:b w:val="0"/>
          <w:i w:val="0"/>
          <w:sz w:val="20"/>
        </w:rPr>
        <w:t>All credentials and configuration values are stored in the .env file in the project root. Keep this file secure — never commit it to version control.</w:t>
      </w:r>
    </w:p>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00356B"/>
          </w:tcPr>
          <w:p>
            <w:pPr>
              <w:jc w:val="center"/>
            </w:pPr>
            <w:r/>
            <w:r>
              <w:rPr>
                <w:b/>
                <w:color w:val="FFFFFF"/>
                <w:sz w:val="18"/>
              </w:rPr>
              <w:t>Variable</w:t>
            </w:r>
          </w:p>
        </w:tc>
        <w:tc>
          <w:tcPr>
            <w:tcW w:type="dxa" w:w="3118"/>
            <w:shd w:val="clear" w:color="auto" w:fill="00356B"/>
          </w:tcPr>
          <w:p>
            <w:pPr>
              <w:jc w:val="center"/>
            </w:pPr>
            <w:r/>
            <w:r>
              <w:rPr>
                <w:b/>
                <w:color w:val="FFFFFF"/>
                <w:sz w:val="18"/>
              </w:rPr>
              <w:t>Purpose</w:t>
            </w:r>
          </w:p>
        </w:tc>
        <w:tc>
          <w:tcPr>
            <w:tcW w:type="dxa" w:w="2835"/>
            <w:shd w:val="clear" w:color="auto" w:fill="00356B"/>
          </w:tcPr>
          <w:p>
            <w:pPr>
              <w:jc w:val="center"/>
            </w:pPr>
            <w:r/>
            <w:r>
              <w:rPr>
                <w:b/>
                <w:color w:val="FFFFFF"/>
                <w:sz w:val="18"/>
              </w:rPr>
              <w:t>Where to Get It</w:t>
            </w:r>
          </w:p>
        </w:tc>
      </w:tr>
      <w:tr>
        <w:tc>
          <w:tcPr>
            <w:tcW w:type="dxa" w:w="3118"/>
            <w:shd w:val="clear" w:color="auto" w:fill="F4F4F4"/>
          </w:tcPr>
          <w:p>
            <w:r>
              <w:rPr>
                <w:rFonts w:ascii="Courier New" w:hAnsi="Courier New"/>
                <w:sz w:val="17"/>
              </w:rPr>
              <w:t>ANTHROPIC_API_KEY</w:t>
            </w:r>
          </w:p>
        </w:tc>
        <w:tc>
          <w:tcPr>
            <w:tcW w:type="dxa" w:w="3118"/>
            <w:shd w:val="clear" w:color="auto" w:fill="F4F4F4"/>
          </w:tcPr>
          <w:p>
            <w:r>
              <w:rPr>
                <w:sz w:val="17"/>
              </w:rPr>
              <w:t>Claude AI model API key</w:t>
            </w:r>
          </w:p>
        </w:tc>
        <w:tc>
          <w:tcPr>
            <w:tcW w:type="dxa" w:w="2835"/>
            <w:shd w:val="clear" w:color="auto" w:fill="F4F4F4"/>
          </w:tcPr>
          <w:p>
            <w:r>
              <w:rPr>
                <w:sz w:val="17"/>
              </w:rPr>
              <w:t>Anthropic Console</w:t>
            </w:r>
          </w:p>
        </w:tc>
      </w:tr>
      <w:tr>
        <w:tc>
          <w:tcPr>
            <w:tcW w:type="dxa" w:w="3118"/>
            <w:shd w:val="clear" w:color="auto" w:fill="FFFFFF"/>
          </w:tcPr>
          <w:p>
            <w:r>
              <w:rPr>
                <w:rFonts w:ascii="Courier New" w:hAnsi="Courier New"/>
                <w:sz w:val="17"/>
              </w:rPr>
              <w:t>LLM_PROVIDER</w:t>
            </w:r>
          </w:p>
        </w:tc>
        <w:tc>
          <w:tcPr>
            <w:tcW w:type="dxa" w:w="3118"/>
            <w:shd w:val="clear" w:color="auto" w:fill="FFFFFF"/>
          </w:tcPr>
          <w:p>
            <w:r>
              <w:rPr>
                <w:sz w:val="17"/>
              </w:rPr>
              <w:t>Set to "claude" (default) or "qwen" (local fallback)</w:t>
            </w:r>
          </w:p>
        </w:tc>
        <w:tc>
          <w:tcPr>
            <w:tcW w:type="dxa" w:w="2835"/>
            <w:shd w:val="clear" w:color="auto" w:fill="FFFFFF"/>
          </w:tcPr>
          <w:p>
            <w:r>
              <w:rPr>
                <w:sz w:val="17"/>
              </w:rPr>
              <w:t>Set manually</w:t>
            </w:r>
          </w:p>
        </w:tc>
      </w:tr>
      <w:tr>
        <w:tc>
          <w:tcPr>
            <w:tcW w:type="dxa" w:w="3118"/>
            <w:shd w:val="clear" w:color="auto" w:fill="F4F4F4"/>
          </w:tcPr>
          <w:p>
            <w:r>
              <w:rPr>
                <w:rFonts w:ascii="Courier New" w:hAnsi="Courier New"/>
                <w:sz w:val="17"/>
              </w:rPr>
              <w:t>MS_GRAPH_CLIENT_ID</w:t>
            </w:r>
          </w:p>
        </w:tc>
        <w:tc>
          <w:tcPr>
            <w:tcW w:type="dxa" w:w="3118"/>
            <w:shd w:val="clear" w:color="auto" w:fill="F4F4F4"/>
          </w:tcPr>
          <w:p>
            <w:r>
              <w:rPr>
                <w:sz w:val="17"/>
              </w:rPr>
              <w:t>Microsoft Azure App Registration Client ID</w:t>
            </w:r>
          </w:p>
        </w:tc>
        <w:tc>
          <w:tcPr>
            <w:tcW w:type="dxa" w:w="2835"/>
            <w:shd w:val="clear" w:color="auto" w:fill="F4F4F4"/>
          </w:tcPr>
          <w:p>
            <w:r>
              <w:rPr>
                <w:sz w:val="17"/>
              </w:rPr>
              <w:t>Azure Active Directory</w:t>
            </w:r>
          </w:p>
        </w:tc>
      </w:tr>
      <w:tr>
        <w:tc>
          <w:tcPr>
            <w:tcW w:type="dxa" w:w="3118"/>
            <w:shd w:val="clear" w:color="auto" w:fill="FFFFFF"/>
          </w:tcPr>
          <w:p>
            <w:r>
              <w:rPr>
                <w:rFonts w:ascii="Courier New" w:hAnsi="Courier New"/>
                <w:sz w:val="17"/>
              </w:rPr>
              <w:t>MS_GRAPH_CLIENT_SECRET</w:t>
            </w:r>
          </w:p>
        </w:tc>
        <w:tc>
          <w:tcPr>
            <w:tcW w:type="dxa" w:w="3118"/>
            <w:shd w:val="clear" w:color="auto" w:fill="FFFFFF"/>
          </w:tcPr>
          <w:p>
            <w:r>
              <w:rPr>
                <w:sz w:val="17"/>
              </w:rPr>
              <w:t>Microsoft Azure App Registration Secret</w:t>
            </w:r>
          </w:p>
        </w:tc>
        <w:tc>
          <w:tcPr>
            <w:tcW w:type="dxa" w:w="2835"/>
            <w:shd w:val="clear" w:color="auto" w:fill="FFFFFF"/>
          </w:tcPr>
          <w:p>
            <w:r>
              <w:rPr>
                <w:sz w:val="17"/>
              </w:rPr>
              <w:t>Azure Active Directory</w:t>
            </w:r>
          </w:p>
        </w:tc>
      </w:tr>
      <w:tr>
        <w:tc>
          <w:tcPr>
            <w:tcW w:type="dxa" w:w="3118"/>
            <w:shd w:val="clear" w:color="auto" w:fill="F4F4F4"/>
          </w:tcPr>
          <w:p>
            <w:r>
              <w:rPr>
                <w:rFonts w:ascii="Courier New" w:hAnsi="Courier New"/>
                <w:sz w:val="17"/>
              </w:rPr>
              <w:t>MS_GRAPH_TENANT_ID</w:t>
            </w:r>
          </w:p>
        </w:tc>
        <w:tc>
          <w:tcPr>
            <w:tcW w:type="dxa" w:w="3118"/>
            <w:shd w:val="clear" w:color="auto" w:fill="F4F4F4"/>
          </w:tcPr>
          <w:p>
            <w:r>
              <w:rPr>
                <w:sz w:val="17"/>
              </w:rPr>
              <w:t>Microsoft Azure Tenant ID</w:t>
            </w:r>
          </w:p>
        </w:tc>
        <w:tc>
          <w:tcPr>
            <w:tcW w:type="dxa" w:w="2835"/>
            <w:shd w:val="clear" w:color="auto" w:fill="F4F4F4"/>
          </w:tcPr>
          <w:p>
            <w:r>
              <w:rPr>
                <w:sz w:val="17"/>
              </w:rPr>
              <w:t>Azure Active Directory</w:t>
            </w:r>
          </w:p>
        </w:tc>
      </w:tr>
      <w:tr>
        <w:tc>
          <w:tcPr>
            <w:tcW w:type="dxa" w:w="3118"/>
            <w:shd w:val="clear" w:color="auto" w:fill="FFFFFF"/>
          </w:tcPr>
          <w:p>
            <w:r>
              <w:rPr>
                <w:rFonts w:ascii="Courier New" w:hAnsi="Courier New"/>
                <w:sz w:val="17"/>
              </w:rPr>
              <w:t>MS_GRAPH_USER_ID</w:t>
            </w:r>
          </w:p>
        </w:tc>
        <w:tc>
          <w:tcPr>
            <w:tcW w:type="dxa" w:w="3118"/>
            <w:shd w:val="clear" w:color="auto" w:fill="FFFFFF"/>
          </w:tcPr>
          <w:p>
            <w:r>
              <w:rPr>
                <w:sz w:val="17"/>
              </w:rPr>
              <w:t>Email address of the shared mailbox (e.g. salesorders@envalior.com)</w:t>
            </w:r>
          </w:p>
        </w:tc>
        <w:tc>
          <w:tcPr>
            <w:tcW w:type="dxa" w:w="2835"/>
            <w:shd w:val="clear" w:color="auto" w:fill="FFFFFF"/>
          </w:tcPr>
          <w:p>
            <w:r>
              <w:rPr>
                <w:sz w:val="17"/>
              </w:rPr>
              <w:t>IT Admin</w:t>
            </w:r>
          </w:p>
        </w:tc>
      </w:tr>
      <w:tr>
        <w:tc>
          <w:tcPr>
            <w:tcW w:type="dxa" w:w="3118"/>
            <w:shd w:val="clear" w:color="auto" w:fill="F4F4F4"/>
          </w:tcPr>
          <w:p>
            <w:r>
              <w:rPr>
                <w:rFonts w:ascii="Courier New" w:hAnsi="Courier New"/>
                <w:sz w:val="17"/>
              </w:rPr>
              <w:t>AZURE_BLOB_URL</w:t>
            </w:r>
          </w:p>
        </w:tc>
        <w:tc>
          <w:tcPr>
            <w:tcW w:type="dxa" w:w="3118"/>
            <w:shd w:val="clear" w:color="auto" w:fill="F4F4F4"/>
          </w:tcPr>
          <w:p>
            <w:r>
              <w:rPr>
                <w:sz w:val="17"/>
              </w:rPr>
              <w:t>Azure Blob Storage account URL</w:t>
            </w:r>
          </w:p>
        </w:tc>
        <w:tc>
          <w:tcPr>
            <w:tcW w:type="dxa" w:w="2835"/>
            <w:shd w:val="clear" w:color="auto" w:fill="F4F4F4"/>
          </w:tcPr>
          <w:p>
            <w:r>
              <w:rPr>
                <w:sz w:val="17"/>
              </w:rPr>
              <w:t>Azure Portal</w:t>
            </w:r>
          </w:p>
        </w:tc>
      </w:tr>
      <w:tr>
        <w:tc>
          <w:tcPr>
            <w:tcW w:type="dxa" w:w="3118"/>
            <w:shd w:val="clear" w:color="auto" w:fill="FFFFFF"/>
          </w:tcPr>
          <w:p>
            <w:r>
              <w:rPr>
                <w:rFonts w:ascii="Courier New" w:hAnsi="Courier New"/>
                <w:sz w:val="17"/>
              </w:rPr>
              <w:t>AZURE_BLOB_CONTAINER_CELONIS</w:t>
            </w:r>
          </w:p>
        </w:tc>
        <w:tc>
          <w:tcPr>
            <w:tcW w:type="dxa" w:w="3118"/>
            <w:shd w:val="clear" w:color="auto" w:fill="FFFFFF"/>
          </w:tcPr>
          <w:p>
            <w:r>
              <w:rPr>
                <w:sz w:val="17"/>
              </w:rPr>
              <w:t>Container name for Celonis data (default: celonis-tables)</w:t>
            </w:r>
          </w:p>
        </w:tc>
        <w:tc>
          <w:tcPr>
            <w:tcW w:type="dxa" w:w="2835"/>
            <w:shd w:val="clear" w:color="auto" w:fill="FFFFFF"/>
          </w:tcPr>
          <w:p>
            <w:r>
              <w:rPr>
                <w:sz w:val="17"/>
              </w:rPr>
              <w:t>Azure Portal</w:t>
            </w:r>
          </w:p>
        </w:tc>
      </w:tr>
      <w:tr>
        <w:tc>
          <w:tcPr>
            <w:tcW w:type="dxa" w:w="3118"/>
            <w:shd w:val="clear" w:color="auto" w:fill="F4F4F4"/>
          </w:tcPr>
          <w:p>
            <w:r>
              <w:rPr>
                <w:rFonts w:ascii="Courier New" w:hAnsi="Courier New"/>
                <w:sz w:val="17"/>
              </w:rPr>
              <w:t>CS_EXCEPTION_EMAIL</w:t>
            </w:r>
          </w:p>
        </w:tc>
        <w:tc>
          <w:tcPr>
            <w:tcW w:type="dxa" w:w="3118"/>
            <w:shd w:val="clear" w:color="auto" w:fill="F4F4F4"/>
          </w:tcPr>
          <w:p>
            <w:r>
              <w:rPr>
                <w:sz w:val="17"/>
              </w:rPr>
              <w:t>CS team email address for Stage 1 exception emails</w:t>
            </w:r>
          </w:p>
        </w:tc>
        <w:tc>
          <w:tcPr>
            <w:tcW w:type="dxa" w:w="2835"/>
            <w:shd w:val="clear" w:color="auto" w:fill="F4F4F4"/>
          </w:tcPr>
          <w:p>
            <w:r>
              <w:rPr>
                <w:sz w:val="17"/>
              </w:rPr>
              <w:t>IT Admin / CS Manager</w:t>
            </w:r>
          </w:p>
        </w:tc>
      </w:tr>
      <w:tr>
        <w:tc>
          <w:tcPr>
            <w:tcW w:type="dxa" w:w="3118"/>
            <w:shd w:val="clear" w:color="auto" w:fill="FFFFFF"/>
          </w:tcPr>
          <w:p>
            <w:r>
              <w:rPr>
                <w:rFonts w:ascii="Courier New" w:hAnsi="Courier New"/>
                <w:sz w:val="17"/>
              </w:rPr>
              <w:t>ROBONA_SERVICE_MAILBOX</w:t>
            </w:r>
          </w:p>
        </w:tc>
        <w:tc>
          <w:tcPr>
            <w:tcW w:type="dxa" w:w="3118"/>
            <w:shd w:val="clear" w:color="auto" w:fill="FFFFFF"/>
          </w:tcPr>
          <w:p>
            <w:r>
              <w:rPr>
                <w:sz w:val="17"/>
              </w:rPr>
              <w:t>Robona RPA service mailbox address for audit notifications</w:t>
            </w:r>
          </w:p>
        </w:tc>
        <w:tc>
          <w:tcPr>
            <w:tcW w:type="dxa" w:w="2835"/>
            <w:shd w:val="clear" w:color="auto" w:fill="FFFFFF"/>
          </w:tcPr>
          <w:p>
            <w:r>
              <w:rPr>
                <w:sz w:val="17"/>
              </w:rPr>
              <w:t>Robona team</w:t>
            </w:r>
          </w:p>
        </w:tc>
      </w:tr>
      <w:tr>
        <w:tc>
          <w:tcPr>
            <w:tcW w:type="dxa" w:w="3118"/>
            <w:shd w:val="clear" w:color="auto" w:fill="F4F4F4"/>
          </w:tcPr>
          <w:p>
            <w:r>
              <w:rPr>
                <w:rFonts w:ascii="Courier New" w:hAnsi="Courier New"/>
                <w:sz w:val="17"/>
              </w:rPr>
              <w:t>CELONIS_API_TOKEN</w:t>
            </w:r>
          </w:p>
        </w:tc>
        <w:tc>
          <w:tcPr>
            <w:tcW w:type="dxa" w:w="3118"/>
            <w:shd w:val="clear" w:color="auto" w:fill="F4F4F4"/>
          </w:tcPr>
          <w:p>
            <w:r>
              <w:rPr>
                <w:sz w:val="17"/>
              </w:rPr>
              <w:t>Celonis API token for data download and push</w:t>
            </w:r>
          </w:p>
        </w:tc>
        <w:tc>
          <w:tcPr>
            <w:tcW w:type="dxa" w:w="2835"/>
            <w:shd w:val="clear" w:color="auto" w:fill="F4F4F4"/>
          </w:tcPr>
          <w:p>
            <w:r>
              <w:rPr>
                <w:sz w:val="17"/>
              </w:rPr>
              <w:t>Celonis Admin</w:t>
            </w:r>
          </w:p>
        </w:tc>
      </w:tr>
      <w:tr>
        <w:tc>
          <w:tcPr>
            <w:tcW w:type="dxa" w:w="3118"/>
            <w:shd w:val="clear" w:color="auto" w:fill="FFFFFF"/>
          </w:tcPr>
          <w:p>
            <w:r>
              <w:rPr>
                <w:rFonts w:ascii="Courier New" w:hAnsi="Courier New"/>
                <w:sz w:val="17"/>
              </w:rPr>
              <w:t>CELONIS_POOL_ID</w:t>
            </w:r>
          </w:p>
        </w:tc>
        <w:tc>
          <w:tcPr>
            <w:tcW w:type="dxa" w:w="3118"/>
            <w:shd w:val="clear" w:color="auto" w:fill="FFFFFF"/>
          </w:tcPr>
          <w:p>
            <w:r>
              <w:rPr>
                <w:sz w:val="17"/>
              </w:rPr>
              <w:t>Celonis Data Pool ID</w:t>
            </w:r>
          </w:p>
        </w:tc>
        <w:tc>
          <w:tcPr>
            <w:tcW w:type="dxa" w:w="2835"/>
            <w:shd w:val="clear" w:color="auto" w:fill="FFFFFF"/>
          </w:tcPr>
          <w:p>
            <w:r>
              <w:rPr>
                <w:sz w:val="17"/>
              </w:rPr>
              <w:t>Celonis Admin</w:t>
            </w:r>
          </w:p>
        </w:tc>
      </w:tr>
      <w:tr>
        <w:tc>
          <w:tcPr>
            <w:tcW w:type="dxa" w:w="3118"/>
            <w:shd w:val="clear" w:color="auto" w:fill="F4F4F4"/>
          </w:tcPr>
          <w:p>
            <w:r>
              <w:rPr>
                <w:rFonts w:ascii="Courier New" w:hAnsi="Courier New"/>
                <w:sz w:val="17"/>
              </w:rPr>
              <w:t>FROM_EMAIL</w:t>
            </w:r>
          </w:p>
        </w:tc>
        <w:tc>
          <w:tcPr>
            <w:tcW w:type="dxa" w:w="3118"/>
            <w:shd w:val="clear" w:color="auto" w:fill="F4F4F4"/>
          </w:tcPr>
          <w:p>
            <w:r>
              <w:rPr>
                <w:sz w:val="17"/>
              </w:rPr>
              <w:t>Sender email address for system-sent emails</w:t>
            </w:r>
          </w:p>
        </w:tc>
        <w:tc>
          <w:tcPr>
            <w:tcW w:type="dxa" w:w="2835"/>
            <w:shd w:val="clear" w:color="auto" w:fill="F4F4F4"/>
          </w:tcPr>
          <w:p>
            <w:r>
              <w:rPr>
                <w:sz w:val="17"/>
              </w:rPr>
              <w:t>IT Admin</w:t>
            </w:r>
          </w:p>
        </w:tc>
      </w:tr>
    </w:tbl>
    <w:p/>
    <w:p>
      <w:pPr>
        <w:pStyle w:val="Heading2"/>
        <w:jc w:val="left"/>
      </w:pPr>
      <w:r>
        <w:rPr>
          <w:b/>
          <w:color w:val="00356B"/>
        </w:rPr>
        <w:t>5.4  How to Refresh Celonis Master Data</w:t>
      </w:r>
    </w:p>
    <w:p>
      <w:pPr>
        <w:spacing w:before="0" w:after="80"/>
      </w:pPr>
      <w:r>
        <w:rPr>
          <w:b w:val="0"/>
          <w:i w:val="0"/>
          <w:sz w:val="20"/>
        </w:rPr>
        <w:t>The pipeline automatically refreshes master data at the start of every run. You can also run it manually:</w:t>
      </w:r>
    </w:p>
    <w:p/>
    <w:p>
      <w:pPr>
        <w:pStyle w:val="ListNumber"/>
        <w:spacing w:after="60"/>
      </w:pPr>
      <w:r>
        <w:rPr>
          <w:sz w:val="20"/>
        </w:rPr>
        <w:t>To refresh and rebuild everything:  python celonis_to_azure.py  then  python setup_knowledge_base.py</w:t>
      </w:r>
    </w:p>
    <w:p>
      <w:pPr>
        <w:pStyle w:val="ListNumber"/>
        <w:spacing w:after="60"/>
      </w:pPr>
      <w:r>
        <w:rPr>
          <w:sz w:val="20"/>
        </w:rPr>
        <w:t>To skip refresh in a single run:  python run_outlook_to_pipeline.py --skip-celonis-refresh</w:t>
      </w:r>
    </w:p>
    <w:p>
      <w:pPr>
        <w:pStyle w:val="ListNumber"/>
        <w:spacing w:after="60"/>
      </w:pPr>
      <w:r>
        <w:rPr>
          <w:sz w:val="20"/>
        </w:rPr>
        <w:t>If Celonis is temporarily unreachable: use --skip-celonis-refresh and the system will use the last cached data from Azure Blob.</w:t>
      </w:r>
    </w:p>
    <w:p/>
    <w:tbl>
      <w:tblPr>
        <w:tblStyle w:val="TableGrid"/>
        <w:tblW w:type="auto" w:w="0"/>
        <w:tblLook w:firstColumn="1" w:firstRow="1" w:lastColumn="0" w:lastRow="0" w:noHBand="0" w:noVBand="1" w:val="04A0"/>
      </w:tblPr>
      <w:tblGrid>
        <w:gridCol w:w="9406"/>
      </w:tblGrid>
      <w:tr>
        <w:tc>
          <w:tcPr>
            <w:tcW w:type="dxa" w:w="9406"/>
            <w:shd w:val="clear" w:color="auto" w:fill="FFF2CC"/>
          </w:tcPr>
          <w:p>
            <w:r>
              <w:rPr>
                <w:b/>
                <w:color w:val="00356B"/>
                <w:sz w:val="18"/>
              </w:rPr>
              <w:t xml:space="preserve">⚠ Warning:  </w:t>
            </w:r>
            <w:r>
              <w:rPr>
                <w:sz w:val="18"/>
              </w:rPr>
              <w:t>Do NOT permanently skip Celonis refresh. Stale master data will cause incorrect Sold-To, Ship-To, or Order Type mapping. Always ensure Celonis is refreshed before production runs.</w:t>
            </w:r>
          </w:p>
        </w:tc>
      </w:tr>
    </w:tbl>
    <w:p/>
    <w:p>
      <w:pPr>
        <w:pStyle w:val="Heading2"/>
        <w:jc w:val="left"/>
      </w:pPr>
      <w:r>
        <w:rPr>
          <w:b/>
          <w:color w:val="00356B"/>
        </w:rPr>
        <w:t>5.5  Troubleshooting Common Errors</w:t>
      </w:r>
    </w:p>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00356B"/>
          </w:tcPr>
          <w:p>
            <w:pPr>
              <w:jc w:val="center"/>
            </w:pPr>
            <w:r/>
            <w:r>
              <w:rPr>
                <w:b/>
                <w:color w:val="FFFFFF"/>
                <w:sz w:val="18"/>
              </w:rPr>
              <w:t>Error / Symptom</w:t>
            </w:r>
          </w:p>
        </w:tc>
        <w:tc>
          <w:tcPr>
            <w:tcW w:type="dxa" w:w="2835"/>
            <w:shd w:val="clear" w:color="auto" w:fill="00356B"/>
          </w:tcPr>
          <w:p>
            <w:pPr>
              <w:jc w:val="center"/>
            </w:pPr>
            <w:r/>
            <w:r>
              <w:rPr>
                <w:b/>
                <w:color w:val="FFFFFF"/>
                <w:sz w:val="18"/>
              </w:rPr>
              <w:t>Likely Cause</w:t>
            </w:r>
          </w:p>
        </w:tc>
        <w:tc>
          <w:tcPr>
            <w:tcW w:type="dxa" w:w="3402"/>
            <w:shd w:val="clear" w:color="auto" w:fill="00356B"/>
          </w:tcPr>
          <w:p>
            <w:pPr>
              <w:jc w:val="center"/>
            </w:pPr>
            <w:r/>
            <w:r>
              <w:rPr>
                <w:b/>
                <w:color w:val="FFFFFF"/>
                <w:sz w:val="18"/>
              </w:rPr>
              <w:t>Resolution</w:t>
            </w:r>
          </w:p>
        </w:tc>
      </w:tr>
      <w:tr>
        <w:tc>
          <w:tcPr>
            <w:tcW w:type="dxa" w:w="2835"/>
            <w:shd w:val="clear" w:color="auto" w:fill="F4F4F4"/>
          </w:tcPr>
          <w:p>
            <w:r>
              <w:rPr>
                <w:sz w:val="18"/>
              </w:rPr>
              <w:t>SyntaxError: f-string single } not allowed</w:t>
            </w:r>
          </w:p>
        </w:tc>
        <w:tc>
          <w:tcPr>
            <w:tcW w:type="dxa" w:w="2835"/>
            <w:shd w:val="clear" w:color="auto" w:fill="F4F4F4"/>
          </w:tcPr>
          <w:p>
            <w:r>
              <w:rPr>
                <w:sz w:val="18"/>
              </w:rPr>
              <w:t>Python version mismatch or corrupted f-string in celonis_to_azure.py</w:t>
            </w:r>
          </w:p>
        </w:tc>
        <w:tc>
          <w:tcPr>
            <w:tcW w:type="dxa" w:w="3402"/>
            <w:shd w:val="clear" w:color="auto" w:fill="F4F4F4"/>
          </w:tcPr>
          <w:p>
            <w:r>
              <w:rPr>
                <w:sz w:val="18"/>
              </w:rPr>
              <w:t>Check Python version is 3.10+. Run: python --version</w:t>
            </w:r>
          </w:p>
        </w:tc>
      </w:tr>
      <w:tr>
        <w:tc>
          <w:tcPr>
            <w:tcW w:type="dxa" w:w="2835"/>
            <w:shd w:val="clear" w:color="auto" w:fill="FFFFFF"/>
          </w:tcPr>
          <w:p>
            <w:r>
              <w:rPr>
                <w:sz w:val="18"/>
              </w:rPr>
              <w:t>UnicodeEncodeError on Windows console</w:t>
            </w:r>
          </w:p>
        </w:tc>
        <w:tc>
          <w:tcPr>
            <w:tcW w:type="dxa" w:w="2835"/>
            <w:shd w:val="clear" w:color="auto" w:fill="FFFFFF"/>
          </w:tcPr>
          <w:p>
            <w:r>
              <w:rPr>
                <w:sz w:val="18"/>
              </w:rPr>
              <w:t>Non-ASCII characters (e.g. Chinese customer names) in console output</w:t>
            </w:r>
          </w:p>
        </w:tc>
        <w:tc>
          <w:tcPr>
            <w:tcW w:type="dxa" w:w="3402"/>
            <w:shd w:val="clear" w:color="auto" w:fill="FFFFFF"/>
          </w:tcPr>
          <w:p>
            <w:r>
              <w:rPr>
                <w:sz w:val="18"/>
              </w:rPr>
              <w:t>Ensure PYTHONIOENCODING=utf-8 is set in the environment, or run: set PYTHONIOENCODING=utf-8</w:t>
            </w:r>
          </w:p>
        </w:tc>
      </w:tr>
      <w:tr>
        <w:tc>
          <w:tcPr>
            <w:tcW w:type="dxa" w:w="2835"/>
            <w:shd w:val="clear" w:color="auto" w:fill="F4F4F4"/>
          </w:tcPr>
          <w:p>
            <w:r>
              <w:rPr>
                <w:sz w:val="18"/>
              </w:rPr>
              <w:t>Celonis data fetch failed</w:t>
            </w:r>
          </w:p>
        </w:tc>
        <w:tc>
          <w:tcPr>
            <w:tcW w:type="dxa" w:w="2835"/>
            <w:shd w:val="clear" w:color="auto" w:fill="F4F4F4"/>
          </w:tcPr>
          <w:p>
            <w:r>
              <w:rPr>
                <w:sz w:val="18"/>
              </w:rPr>
              <w:t>Celonis API token expired or network issue</w:t>
            </w:r>
          </w:p>
        </w:tc>
        <w:tc>
          <w:tcPr>
            <w:tcW w:type="dxa" w:w="3402"/>
            <w:shd w:val="clear" w:color="auto" w:fill="F4F4F4"/>
          </w:tcPr>
          <w:p>
            <w:r>
              <w:rPr>
                <w:sz w:val="18"/>
              </w:rPr>
              <w:t>Regenerate the API token in Celonis and update CELONIS_API_TOKEN in .env</w:t>
            </w:r>
          </w:p>
        </w:tc>
      </w:tr>
      <w:tr>
        <w:tc>
          <w:tcPr>
            <w:tcW w:type="dxa" w:w="2835"/>
            <w:shd w:val="clear" w:color="auto" w:fill="FFFFFF"/>
          </w:tcPr>
          <w:p>
            <w:r>
              <w:rPr>
                <w:sz w:val="18"/>
              </w:rPr>
              <w:t>MS Graph authentication error</w:t>
            </w:r>
          </w:p>
        </w:tc>
        <w:tc>
          <w:tcPr>
            <w:tcW w:type="dxa" w:w="2835"/>
            <w:shd w:val="clear" w:color="auto" w:fill="FFFFFF"/>
          </w:tcPr>
          <w:p>
            <w:r>
              <w:rPr>
                <w:sz w:val="18"/>
              </w:rPr>
              <w:t>Azure app credentials expired or missing permissions</w:t>
            </w:r>
          </w:p>
        </w:tc>
        <w:tc>
          <w:tcPr>
            <w:tcW w:type="dxa" w:w="3402"/>
            <w:shd w:val="clear" w:color="auto" w:fill="FFFFFF"/>
          </w:tcPr>
          <w:p>
            <w:r>
              <w:rPr>
                <w:sz w:val="18"/>
              </w:rPr>
              <w:t>Check MS_GRAPH_CLIENT_SECRET has not expired. Renew in Azure Active Directory.</w:t>
            </w:r>
          </w:p>
        </w:tc>
      </w:tr>
      <w:tr>
        <w:tc>
          <w:tcPr>
            <w:tcW w:type="dxa" w:w="2835"/>
            <w:shd w:val="clear" w:color="auto" w:fill="F4F4F4"/>
          </w:tcPr>
          <w:p>
            <w:r>
              <w:rPr>
                <w:sz w:val="18"/>
              </w:rPr>
              <w:t>0 new PO emails found</w:t>
            </w:r>
          </w:p>
        </w:tc>
        <w:tc>
          <w:tcPr>
            <w:tcW w:type="dxa" w:w="2835"/>
            <w:shd w:val="clear" w:color="auto" w:fill="F4F4F4"/>
          </w:tcPr>
          <w:p>
            <w:r>
              <w:rPr>
                <w:sz w:val="18"/>
              </w:rPr>
              <w:t>No unread emails in the shared mailbox, or already processed</w:t>
            </w:r>
          </w:p>
        </w:tc>
        <w:tc>
          <w:tcPr>
            <w:tcW w:type="dxa" w:w="3402"/>
            <w:shd w:val="clear" w:color="auto" w:fill="F4F4F4"/>
          </w:tcPr>
          <w:p>
            <w:r>
              <w:rPr>
                <w:sz w:val="18"/>
              </w:rPr>
              <w:t>Run with --all flag to reprocess all emails. Check the mailbox manually.</w:t>
            </w:r>
          </w:p>
        </w:tc>
      </w:tr>
      <w:tr>
        <w:tc>
          <w:tcPr>
            <w:tcW w:type="dxa" w:w="2835"/>
            <w:shd w:val="clear" w:color="auto" w:fill="FFFFFF"/>
          </w:tcPr>
          <w:p>
            <w:r>
              <w:rPr>
                <w:sz w:val="18"/>
              </w:rPr>
              <w:t>Exception email not received by CS team</w:t>
            </w:r>
          </w:p>
        </w:tc>
        <w:tc>
          <w:tcPr>
            <w:tcW w:type="dxa" w:w="2835"/>
            <w:shd w:val="clear" w:color="auto" w:fill="FFFFFF"/>
          </w:tcPr>
          <w:p>
            <w:r>
              <w:rPr>
                <w:sz w:val="18"/>
              </w:rPr>
              <w:t>CS_EXCEPTION_EMAIL not set or incorrect in .env</w:t>
            </w:r>
          </w:p>
        </w:tc>
        <w:tc>
          <w:tcPr>
            <w:tcW w:type="dxa" w:w="3402"/>
            <w:shd w:val="clear" w:color="auto" w:fill="FFFFFF"/>
          </w:tcPr>
          <w:p>
            <w:r>
              <w:rPr>
                <w:sz w:val="18"/>
              </w:rPr>
              <w:t>Verify CS_EXCEPTION_EMAIL in .env matches the correct CS team inbox.</w:t>
            </w:r>
          </w:p>
        </w:tc>
      </w:tr>
    </w:tbl>
    <w:p>
      <w:r>
        <w:br w:type="page"/>
      </w:r>
    </w:p>
    <w:p>
      <w:pPr>
        <w:pStyle w:val="Heading1"/>
        <w:jc w:val="left"/>
      </w:pPr>
      <w:r>
        <w:rPr>
          <w:b/>
          <w:color w:val="00356B"/>
        </w:rPr>
        <w:t>6.  Frequently Asked Questions (FAQ)</w:t>
      </w:r>
    </w:p>
    <w:p/>
    <w:tbl>
      <w:tblPr>
        <w:tblStyle w:val="TableGrid"/>
        <w:tblW w:type="auto" w:w="0"/>
        <w:tblLook w:firstColumn="1" w:firstRow="1" w:lastColumn="0" w:lastRow="0" w:noHBand="0" w:noVBand="1" w:val="04A0"/>
      </w:tblPr>
      <w:tblGrid>
        <w:gridCol w:w="9406"/>
      </w:tblGrid>
      <w:tr>
        <w:tc>
          <w:tcPr>
            <w:tcW w:type="dxa" w:w="9071"/>
            <w:shd w:val="clear" w:color="auto" w:fill="F4F4F4"/>
          </w:tcPr>
          <w:p>
            <w:r/>
          </w:p>
          <w:p>
            <w:r>
              <w:rPr>
                <w:b/>
                <w:color w:val="00356B"/>
                <w:sz w:val="19"/>
              </w:rPr>
              <w:t>Q: Will the system process all POs automatically, even from new customers?</w:t>
            </w:r>
          </w:p>
          <w:p>
            <w:r>
              <w:rPr>
                <w:sz w:val="18"/>
              </w:rPr>
              <w:t>A: No. If a customer does not exist in the SAP master data (Test MP from Celonis), the system will raise a Stage 1 exception and notify the CS team. The customer must first be added to SAP. Once added, the PO can be resubmitted.</w:t>
            </w:r>
          </w:p>
        </w:tc>
      </w:tr>
      <w:tr>
        <w:tc>
          <w:tcPr>
            <w:tcW w:type="dxa" w:w="9071"/>
            <w:shd w:val="clear" w:color="auto" w:fill="FFFFFF"/>
          </w:tcPr>
          <w:p>
            <w:r/>
          </w:p>
          <w:p>
            <w:r>
              <w:rPr>
                <w:b/>
                <w:color w:val="00356B"/>
                <w:sz w:val="19"/>
              </w:rPr>
              <w:t>Q: How do I resubmit a PO after fixing the master data?</w:t>
            </w:r>
          </w:p>
          <w:p>
            <w:r>
              <w:rPr>
                <w:sz w:val="18"/>
              </w:rPr>
              <w:t>A: Simply forward the original PO email to the shared mailbox again. The system will pick it up in the next polling cycle (within 60 seconds).</w:t>
            </w:r>
          </w:p>
        </w:tc>
      </w:tr>
      <w:tr>
        <w:tc>
          <w:tcPr>
            <w:tcW w:type="dxa" w:w="9071"/>
            <w:shd w:val="clear" w:color="auto" w:fill="F4F4F4"/>
          </w:tcPr>
          <w:p>
            <w:r/>
          </w:p>
          <w:p>
            <w:r>
              <w:rPr>
                <w:b/>
                <w:color w:val="00356B"/>
                <w:sz w:val="19"/>
              </w:rPr>
              <w:t>Q: Can the system handle POs in multiple languages?</w:t>
            </w:r>
          </w:p>
          <w:p>
            <w:r>
              <w:rPr>
                <w:sz w:val="18"/>
              </w:rPr>
              <w:t>A: Yes. Claude AI supports multiple languages. However, performance is best with English and Western European language POs. Non-Latin character sets (e.g. Chinese, Japanese) may have lower OCR accuracy.</w:t>
            </w:r>
          </w:p>
        </w:tc>
      </w:tr>
      <w:tr>
        <w:tc>
          <w:tcPr>
            <w:tcW w:type="dxa" w:w="9071"/>
            <w:shd w:val="clear" w:color="auto" w:fill="FFFFFF"/>
          </w:tcPr>
          <w:p>
            <w:r/>
          </w:p>
          <w:p>
            <w:r>
              <w:rPr>
                <w:b/>
                <w:color w:val="00356B"/>
                <w:sz w:val="19"/>
              </w:rPr>
              <w:t>Q: What happens if Claude AI is unavailable?</w:t>
            </w:r>
          </w:p>
          <w:p>
            <w:r>
              <w:rPr>
                <w:sz w:val="18"/>
              </w:rPr>
              <w:t>A: The system automatically falls back to the locally hosted Qwen 2.5 3B model. This fallback is fully automatic — no action required.</w:t>
            </w:r>
          </w:p>
        </w:tc>
      </w:tr>
      <w:tr>
        <w:tc>
          <w:tcPr>
            <w:tcW w:type="dxa" w:w="9071"/>
            <w:shd w:val="clear" w:color="auto" w:fill="F4F4F4"/>
          </w:tcPr>
          <w:p>
            <w:r/>
          </w:p>
          <w:p>
            <w:r>
              <w:rPr>
                <w:b/>
                <w:color w:val="00356B"/>
                <w:sz w:val="19"/>
              </w:rPr>
              <w:t>Q: Who is Robona? Do I need to do anything when Robona emails arrive?</w:t>
            </w:r>
          </w:p>
          <w:p>
            <w:r>
              <w:rPr>
                <w:sz w:val="18"/>
              </w:rPr>
              <w:t>A: Robona RPA is an automated robot that links the original PO email to the SAP Sales Order for auditing. You do not need to do anything — the Robona notification emails go directly to the Robona service mailbox, not to the CS team.</w:t>
            </w:r>
          </w:p>
        </w:tc>
      </w:tr>
      <w:tr>
        <w:tc>
          <w:tcPr>
            <w:tcW w:type="dxa" w:w="9071"/>
            <w:shd w:val="clear" w:color="auto" w:fill="FFFFFF"/>
          </w:tcPr>
          <w:p>
            <w:r/>
          </w:p>
          <w:p>
            <w:r>
              <w:rPr>
                <w:b/>
                <w:color w:val="00356B"/>
                <w:sz w:val="19"/>
              </w:rPr>
              <w:t>Q: Can I manually correct a mapping error and rerun without reprocessing from Outlook?</w:t>
            </w:r>
          </w:p>
          <w:p>
            <w:r>
              <w:rPr>
                <w:sz w:val="18"/>
              </w:rPr>
              <w:t>A: Yes. Use: python run_outlook_to_pipeline.py --skip-outlook to reprocess files already in the working folder without polling the mailbox again.</w:t>
            </w:r>
          </w:p>
        </w:tc>
      </w:tr>
      <w:tr>
        <w:tc>
          <w:tcPr>
            <w:tcW w:type="dxa" w:w="9071"/>
            <w:shd w:val="clear" w:color="auto" w:fill="F4F4F4"/>
          </w:tcPr>
          <w:p>
            <w:r/>
          </w:p>
          <w:p>
            <w:r>
              <w:rPr>
                <w:b/>
                <w:color w:val="00356B"/>
                <w:sz w:val="19"/>
              </w:rPr>
              <w:t>Q: What does the Order Type TA vs KB mean?</w:t>
            </w:r>
          </w:p>
          <w:p>
            <w:r>
              <w:rPr>
                <w:sz w:val="18"/>
              </w:rPr>
              <w:t>A: TA = Standard Sales Order (Transfer). KB = Consignment Fill-Up. The system automatically selects the correct type based on the customer's SAP order history (Sheet 3 from Celonis). If the history is ambiguous, the AI model infers it from the PO context.</w:t>
            </w:r>
          </w:p>
        </w:tc>
      </w:tr>
      <w:tr>
        <w:tc>
          <w:tcPr>
            <w:tcW w:type="dxa" w:w="9071"/>
            <w:shd w:val="clear" w:color="auto" w:fill="FFFFFF"/>
          </w:tcPr>
          <w:p>
            <w:r/>
          </w:p>
          <w:p>
            <w:r>
              <w:rPr>
                <w:b/>
                <w:color w:val="00356B"/>
                <w:sz w:val="19"/>
              </w:rPr>
              <w:t>Q: How current is the customer/material data used for mapping?</w:t>
            </w:r>
          </w:p>
          <w:p>
            <w:r>
              <w:rPr>
                <w:sz w:val="18"/>
              </w:rPr>
              <w:t>A: Very current. At the start of every pipeline run, the system downloads fresh data directly from Celonis (which mirrors SAP). This means any customer or material added to SAP today will be available for mapping in the same day's run.</w:t>
            </w:r>
          </w:p>
        </w:tc>
      </w:tr>
      <w:tr>
        <w:tc>
          <w:tcPr>
            <w:tcW w:type="dxa" w:w="9071"/>
            <w:shd w:val="clear" w:color="auto" w:fill="F4F4F4"/>
          </w:tcPr>
          <w:p>
            <w:r/>
          </w:p>
          <w:p>
            <w:r>
              <w:rPr>
                <w:b/>
                <w:color w:val="00356B"/>
                <w:sz w:val="19"/>
              </w:rPr>
              <w:t>Q: What should I do if the pipeline is not running?</w:t>
            </w:r>
          </w:p>
          <w:p>
            <w:r>
              <w:rPr>
                <w:sz w:val="18"/>
              </w:rPr>
              <w:t>A: Contact the Technical Administrator. Check that the Python environment is active and the .env file is correctly configured. Common issues: expired API credentials, network firewall blocking Celonis or Azure, or Windows PYTHONIOENCODING not set.</w:t>
            </w:r>
          </w:p>
        </w:tc>
      </w:tr>
    </w:tbl>
    <w:p/>
    <w:tbl>
      <w:tblPr>
        <w:tblStyle w:val="TableGrid"/>
        <w:tblW w:type="auto" w:w="0"/>
        <w:tblLook w:firstColumn="1" w:firstRow="1" w:lastColumn="0" w:lastRow="0" w:noHBand="0" w:noVBand="1" w:val="04A0"/>
      </w:tblPr>
      <w:tblGrid>
        <w:gridCol w:w="9406"/>
      </w:tblGrid>
      <w:tr>
        <w:tc>
          <w:tcPr>
            <w:tcW w:type="dxa" w:w="9406"/>
            <w:shd w:val="clear" w:color="auto" w:fill="D6E8F7"/>
          </w:tcPr>
          <w:p>
            <w:r>
              <w:rPr>
                <w:b/>
                <w:color w:val="00356B"/>
                <w:sz w:val="18"/>
              </w:rPr>
              <w:t xml:space="preserve">📞 Support:  </w:t>
            </w:r>
            <w:r>
              <w:rPr>
                <w:sz w:val="18"/>
              </w:rPr>
              <w:t>For any issues not covered in this guide, contact the AI Agent project team. Please include: the error message, the name of the PO file, and the pipeline step where the error occurred.</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