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2: Technical Architecture &amp; Middleware</w:t>
      </w:r>
    </w:p>
    <w:p>
      <w:pPr>
        <w:pStyle w:val="Heading1"/>
      </w:pPr>
      <w:r>
        <w:t>1. System Architecture</w:t>
      </w:r>
    </w:p>
    <w:p>
      <w:r>
        <w:t>[IMAGE PLACEHOLDER: TECHNICAL_ARCHITECTURE_DIAGRAM]</w:t>
      </w:r>
    </w:p>
    <w:p>
      <w:r>
        <w:t>The architecture is built on a hybrid cloud model using Azure, Celonis, and Envalior's SAP EPP environment.</w:t>
      </w:r>
    </w:p>
    <w:p>
      <w:pPr>
        <w:pStyle w:val="Heading1"/>
      </w:pPr>
      <w:r>
        <w:t>2. Core Infrastructure Components</w:t>
      </w:r>
    </w:p>
    <w:p>
      <w:pPr>
        <w:pStyle w:val="ListBullet"/>
      </w:pPr>
      <w:r>
        <w:rPr>
          <w:b/>
        </w:rPr>
        <w:t xml:space="preserve">Microsoft Graph API: </w:t>
      </w:r>
      <w:r>
        <w:t>Bridges the gap between the customer's email and our AI engine. Handles polling, archiving, and error-routing handed off to CS teams.</w:t>
      </w:r>
    </w:p>
    <w:p>
      <w:pPr>
        <w:pStyle w:val="ListBullet"/>
      </w:pPr>
      <w:r>
        <w:rPr>
          <w:b/>
        </w:rPr>
        <w:t xml:space="preserve">Azure Blob Storage: </w:t>
      </w:r>
      <w:r>
        <w:t>Acts as a scalable repository for all raw PO images and PDFs, ensuring high availability and persistence.</w:t>
      </w:r>
    </w:p>
    <w:p>
      <w:pPr>
        <w:pStyle w:val="ListBullet"/>
      </w:pPr>
      <w:r>
        <w:rPr>
          <w:b/>
        </w:rPr>
        <w:t xml:space="preserve">PaddleOCR &amp; Claude LLM: </w:t>
      </w:r>
      <w:r>
        <w:t>A powerful multi-stage extraction core. OCR handles the visual layer, and the LLM (Large Language Model) interprets the semantic data into structured JSON.</w:t>
      </w:r>
    </w:p>
    <w:p>
      <w:pPr>
        <w:pStyle w:val="ListBullet"/>
      </w:pPr>
      <w:r>
        <w:rPr>
          <w:b/>
        </w:rPr>
        <w:t xml:space="preserve">Robona RPA: </w:t>
      </w:r>
      <w:r>
        <w:t>Automates the final 'Attachment' step, ensuring the source of truth is always available within the SAP Sales Order record.</w:t>
      </w:r>
    </w:p>
    <w:p>
      <w:pPr>
        <w:pStyle w:val="Heading1"/>
      </w:pPr>
      <w:r>
        <w:t>3. Prerequisites for Deployment</w:t>
      </w:r>
    </w:p>
    <w:p>
      <w:pPr>
        <w:pStyle w:val="ListBullet"/>
      </w:pPr>
      <w:r>
        <w:t>Azure App Registration with Mail.ReadWrite permissions.</w:t>
      </w:r>
    </w:p>
    <w:p>
      <w:pPr>
        <w:pStyle w:val="ListBullet"/>
      </w:pPr>
      <w:r>
        <w:t>Active Celonis Sandbox/Production Data Pool access.</w:t>
      </w:r>
    </w:p>
    <w:p>
      <w:pPr>
        <w:pStyle w:val="ListBullet"/>
      </w:pPr>
      <w:r>
        <w:t>SAP Master Data Sync (KNA1, KNVP, KNMT) via pycelonis.</w:t>
      </w:r>
    </w:p>
    <w:p>
      <w:pPr>
        <w:pStyle w:val="ListBullet"/>
      </w:pPr>
      <w:r>
        <w:t>Microsoft Graph API credentials (Client ID, Secret, Tenant ID).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