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3: Functional Logic &amp; Decision Tree</w:t>
      </w:r>
    </w:p>
    <w:p>
      <w:pPr>
        <w:pStyle w:val="Heading1"/>
      </w:pPr>
      <w:r>
        <w:t>1. Order Type Decision Logic</w:t>
      </w:r>
    </w:p>
    <w:p>
      <w:r>
        <w:t>To achieve a touchless outcome, the system replaces manual Excel lookups with a dynamic Decision Tree. The Order Type (TA vs. KB) is determined based on real-time PO context.</w:t>
      </w:r>
    </w:p>
    <w:p>
      <w:r>
        <w:t>[IMAGE PLACEHOLDER: ORDER_TYPE_DECISION_TREE]</w:t>
      </w:r>
    </w:p>
    <w:p>
      <w:pPr>
        <w:pStyle w:val="Heading1"/>
      </w:pPr>
      <w:r>
        <w:t>2. Tiered Material Mapping</w:t>
      </w:r>
    </w:p>
    <w:p>
      <w:r>
        <w:t>Material mapping ensures that the customer's material terminology matches our internal SAP IDs through 3 fallback tiers:</w:t>
        <w:br/>
        <w:t>1. Direct Match: Exact alphanumeric comparison against the Knowledge Base.</w:t>
        <w:br/>
        <w:t>2. Aliasing: Using the CS-maintained Alias dictionary for known terminology differences.</w:t>
        <w:br/>
        <w:t>3. Fuzzy Search: Intelligent string matching to resolve typos or minor variations.</w:t>
      </w:r>
    </w:p>
    <w:p>
      <w:pPr>
        <w:pStyle w:val="Heading1"/>
      </w:pPr>
      <w:r>
        <w:t>3. SO Grouping Rules</w:t>
      </w:r>
    </w:p>
    <w:p>
      <w:r>
        <w:t>The logic supports business-defined splitting:</w:t>
        <w:br/>
        <w:t>- Rule X: One Sales Order created per Purchase Order.</w:t>
        <w:br/>
        <w:t>- Rule O: Each individual line item triggers a separate Sales Order (for multi-delivery scenarios).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