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spacing w:after="40" w:lineRule="auto"/>
        <w:ind w:left="720" w:hanging="360"/>
        <w:jc w:val="center"/>
        <w:rPr>
          <w:b w:val="1"/>
          <w:bCs w:val="1"/>
          <w:color w:val="ff6600"/>
          <w:sz w:val="18"/>
          <w:szCs w:val="18"/>
          <w:u w:val="none"/>
        </w:rPr>
      </w:pP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b w:val="1"/>
          <w:bCs w:val="1"/>
          <w:color w:val="ff6600"/>
          <w:sz w:val="18"/>
          <w:szCs w:val="18"/>
          <w:rtl w:val="0"/>
        </w:rPr>
        <w:t xml:space="preserve">TRÏNŪ BONDED WAREHOUSE</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b w:val="1"/>
          <w:bCs w:val="1"/>
          <w:color w:val="4e5157"/>
          <w:sz w:val="26"/>
          <w:szCs w:val="26"/>
          <w:rtl w:val="0"/>
        </w:rPr>
        <w:t xml:space="preserve">Overall Brand Strategy &amp; Positioning Decisions</w:t>
      </w:r>
      <w:r w:rsidDel="00000000" w:rsidR="00000000" w:rsidRPr="00000000">
        <w:rPr>
          <w:rtl w:val="0"/>
        </w:rPr>
      </w:r>
    </w:p>
    <w:p w:rsidR="00000000" w:rsidDel="00000000" w:rsidP="00000000" w:rsidRDefault="00000000" w:rsidRPr="00000000" w14:paraId="00000004">
      <w:pPr>
        <w:spacing w:after="110" w:lineRule="auto"/>
        <w:rPr/>
      </w:pPr>
      <w:r w:rsidDel="00000000" w:rsidR="00000000" w:rsidRPr="00000000">
        <w:rPr>
          <w:i w:val="1"/>
          <w:iCs w:val="1"/>
          <w:color w:val="2b2b2b"/>
          <w:sz w:val="19"/>
          <w:szCs w:val="19"/>
          <w:rtl w:val="0"/>
        </w:rPr>
        <w:t xml:space="preserve">Master strategy reference — Brand Manager. This is the single source of truth for positioning decisions and the reasoning behind them. The Creative Direction Document covers execution (how it looks/sounds); this covers strategy (why we chose it).</w:t>
      </w:r>
      <w:r w:rsidDel="00000000" w:rsidR="00000000" w:rsidRPr="00000000">
        <w:rPr>
          <w:rtl w:val="0"/>
        </w:rPr>
      </w:r>
    </w:p>
    <w:p w:rsidR="00000000" w:rsidDel="00000000" w:rsidP="00000000" w:rsidRDefault="00000000" w:rsidRPr="00000000" w14:paraId="00000005">
      <w:pPr>
        <w:pBdr>
          <w:bottom w:color="ff6600" w:space="4" w:sz="12" w:val="single"/>
        </w:pBdr>
        <w:spacing w:after="130" w:before="300" w:lineRule="auto"/>
        <w:rPr/>
      </w:pPr>
      <w:r w:rsidDel="00000000" w:rsidR="00000000" w:rsidRPr="00000000">
        <w:rPr>
          <w:b w:val="1"/>
          <w:bCs w:val="1"/>
          <w:color w:val="4e5157"/>
          <w:sz w:val="25"/>
          <w:szCs w:val="25"/>
          <w:rtl w:val="0"/>
        </w:rPr>
        <w:t xml:space="preserve">1. Purpose</w:t>
      </w:r>
      <w:r w:rsidDel="00000000" w:rsidR="00000000" w:rsidRPr="00000000">
        <w:rPr>
          <w:rtl w:val="0"/>
        </w:rPr>
      </w:r>
    </w:p>
    <w:p w:rsidR="00000000" w:rsidDel="00000000" w:rsidP="00000000" w:rsidRDefault="00000000" w:rsidRPr="00000000" w14:paraId="00000006">
      <w:pPr>
        <w:spacing w:after="110" w:lineRule="auto"/>
        <w:rPr/>
      </w:pPr>
      <w:r w:rsidDel="00000000" w:rsidR="00000000" w:rsidRPr="00000000">
        <w:rPr>
          <w:color w:val="2b2b2b"/>
          <w:sz w:val="19"/>
          <w:szCs w:val="19"/>
          <w:rtl w:val="0"/>
        </w:rPr>
        <w:t xml:space="preserve">As the team grows  agency, support staff, eventually new locations  this document keeps positioning consistent by capturing not just what was decided, but why. New people and vendors should be able to read this and understand the strategic logic, not just copy a tagline.</w:t>
      </w:r>
      <w:r w:rsidDel="00000000" w:rsidR="00000000" w:rsidRPr="00000000">
        <w:rPr>
          <w:rtl w:val="0"/>
        </w:rPr>
      </w:r>
    </w:p>
    <w:p w:rsidR="00000000" w:rsidDel="00000000" w:rsidP="00000000" w:rsidRDefault="00000000" w:rsidRPr="00000000" w14:paraId="00000007">
      <w:pPr>
        <w:pBdr>
          <w:bottom w:color="ff6600" w:space="4" w:sz="12" w:val="single"/>
        </w:pBdr>
        <w:spacing w:after="130" w:before="300" w:lineRule="auto"/>
        <w:rPr/>
      </w:pPr>
      <w:r w:rsidDel="00000000" w:rsidR="00000000" w:rsidRPr="00000000">
        <w:rPr>
          <w:b w:val="1"/>
          <w:bCs w:val="1"/>
          <w:color w:val="4e5157"/>
          <w:sz w:val="25"/>
          <w:szCs w:val="25"/>
          <w:rtl w:val="0"/>
        </w:rPr>
        <w:t xml:space="preserve">2. Brand Architecture — Built to Expand</w:t>
      </w:r>
      <w:r w:rsidDel="00000000" w:rsidR="00000000" w:rsidRPr="00000000">
        <w:rPr>
          <w:rtl w:val="0"/>
        </w:rPr>
      </w:r>
    </w:p>
    <w:p w:rsidR="00000000" w:rsidDel="00000000" w:rsidP="00000000" w:rsidRDefault="00000000" w:rsidRPr="00000000" w14:paraId="00000008">
      <w:pPr>
        <w:spacing w:after="110" w:lineRule="auto"/>
        <w:rPr/>
      </w:pPr>
      <w:r w:rsidDel="00000000" w:rsidR="00000000" w:rsidRPr="00000000">
        <w:rPr>
          <w:color w:val="2b2b2b"/>
          <w:sz w:val="19"/>
          <w:szCs w:val="19"/>
          <w:rtl w:val="0"/>
        </w:rPr>
        <w:t xml:space="preserve">Expansion beyond this single facility is part of the long-term plan. Positioning is deliberately built to extend, not to be rewritten later:</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b2b2b"/>
          <w:sz w:val="19"/>
          <w:szCs w:val="19"/>
          <w:u w:val="none"/>
          <w:shd w:fill="auto" w:val="clear"/>
          <w:vertAlign w:val="baseline"/>
          <w:rtl w:val="0"/>
        </w:rPr>
        <w:t xml:space="preserve">Refer to this as TRÏNŪ's Abuja facility or flagship facility, not "our warehouse" or "the only one"  leaves room for TRÏNŪ Location 2, TRÏNŪ Location 3</w:t>
      </w:r>
      <w:r w:rsidDel="00000000" w:rsidR="00000000" w:rsidRPr="00000000">
        <w:rPr>
          <w:color w:val="2b2b2b"/>
          <w:sz w:val="19"/>
          <w:szCs w:val="19"/>
          <w:rtl w:val="0"/>
        </w:rPr>
        <w:t xml:space="preserve"> </w:t>
      </w:r>
      <w:r w:rsidDel="00000000" w:rsidR="00000000" w:rsidRPr="00000000">
        <w:rPr>
          <w:rFonts w:ascii="Times New Roman" w:cs="Times New Roman" w:eastAsia="Times New Roman" w:hAnsi="Times New Roman"/>
          <w:b w:val="0"/>
          <w:bCs w:val="0"/>
          <w:i w:val="0"/>
          <w:iCs w:val="0"/>
          <w:smallCaps w:val="0"/>
          <w:strike w:val="0"/>
          <w:color w:val="2b2b2b"/>
          <w:sz w:val="19"/>
          <w:szCs w:val="19"/>
          <w:u w:val="none"/>
          <w:shd w:fill="auto" w:val="clear"/>
          <w:vertAlign w:val="baseline"/>
          <w:rtl w:val="0"/>
        </w:rPr>
        <w:t xml:space="preserve">later without contradicting earlier messaging</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b2b2b"/>
          <w:sz w:val="19"/>
          <w:szCs w:val="19"/>
          <w:u w:val="none"/>
          <w:shd w:fill="auto" w:val="clear"/>
          <w:vertAlign w:val="baseline"/>
          <w:rtl w:val="0"/>
        </w:rPr>
        <w:t xml:space="preserve">Vision and mission language already emphasizes Northern Nigeria broadly, not just Abuja  this was intentional and should stay that way</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b2b2b"/>
          <w:sz w:val="19"/>
          <w:szCs w:val="19"/>
          <w:u w:val="none"/>
          <w:shd w:fill="auto" w:val="clear"/>
          <w:vertAlign w:val="baseline"/>
          <w:rtl w:val="0"/>
        </w:rPr>
        <w:t xml:space="preserve">Avoid locking positioning into hyper-specific claims (e.g., exact size, exact capacity) that a second location might not match</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b2b2b"/>
          <w:sz w:val="19"/>
          <w:szCs w:val="19"/>
          <w:u w:val="none"/>
          <w:shd w:fill="auto" w:val="clear"/>
          <w:vertAlign w:val="baseline"/>
          <w:rtl w:val="0"/>
        </w:rPr>
        <w:t xml:space="preserve">"First of its kind in Abuja" is accurate and safe; "the only facility TRÏNŪ will ever build" is never accurate and should never be implied</w:t>
      </w:r>
      <w:r w:rsidDel="00000000" w:rsidR="00000000" w:rsidRPr="00000000">
        <w:rPr>
          <w:rtl w:val="0"/>
        </w:rPr>
      </w:r>
    </w:p>
    <w:p w:rsidR="00000000" w:rsidDel="00000000" w:rsidP="00000000" w:rsidRDefault="00000000" w:rsidRPr="00000000" w14:paraId="0000000D">
      <w:pPr>
        <w:pBdr>
          <w:bottom w:color="ff6600" w:space="4" w:sz="12" w:val="single"/>
        </w:pBdr>
        <w:spacing w:after="130" w:before="300" w:lineRule="auto"/>
        <w:rPr/>
      </w:pPr>
      <w:r w:rsidDel="00000000" w:rsidR="00000000" w:rsidRPr="00000000">
        <w:rPr>
          <w:b w:val="1"/>
          <w:bCs w:val="1"/>
          <w:color w:val="4e5157"/>
          <w:sz w:val="25"/>
          <w:szCs w:val="25"/>
          <w:rtl w:val="0"/>
        </w:rPr>
        <w:t xml:space="preserve">3. Competitive Landscape &amp; Positioning Rationale</w:t>
      </w:r>
      <w:r w:rsidDel="00000000" w:rsidR="00000000" w:rsidRPr="00000000">
        <w:rPr>
          <w:rtl w:val="0"/>
        </w:rPr>
      </w:r>
    </w:p>
    <w:p w:rsidR="00000000" w:rsidDel="00000000" w:rsidP="00000000" w:rsidRDefault="00000000" w:rsidRPr="00000000" w14:paraId="0000000E">
      <w:pPr>
        <w:spacing w:after="110" w:lineRule="auto"/>
        <w:rPr/>
      </w:pPr>
      <w:r w:rsidDel="00000000" w:rsidR="00000000" w:rsidRPr="00000000">
        <w:rPr>
          <w:color w:val="2b2b2b"/>
          <w:sz w:val="19"/>
          <w:szCs w:val="19"/>
          <w:rtl w:val="0"/>
        </w:rPr>
        <w:t xml:space="preserve">TRÏNŪ's competitors are the established bonded facilities in Lagos and Kano — but positioning deliberately avoids direct confrontation with them:</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b2b2b"/>
          <w:sz w:val="19"/>
          <w:szCs w:val="19"/>
          <w:u w:val="none"/>
          <w:shd w:fill="auto" w:val="clear"/>
          <w:vertAlign w:val="baseline"/>
          <w:rtl w:val="0"/>
        </w:rPr>
        <w:t xml:space="preserve">Framing: TRÏNŪ is not trying to replace Lagos or Kano — it's solving a specific, underserved problem for the Abuja/Northern Nigeria corridor</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b2b2b"/>
          <w:sz w:val="19"/>
          <w:szCs w:val="19"/>
          <w:u w:val="none"/>
          <w:shd w:fill="auto" w:val="clear"/>
          <w:vertAlign w:val="baseline"/>
          <w:rtl w:val="0"/>
        </w:rPr>
        <w:t xml:space="preserve">Rationale: direct competitive framing risks sounding defensive against much larger, established players; a complementary frame is both more accurate and more defensible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b2b2b"/>
          <w:sz w:val="19"/>
          <w:szCs w:val="19"/>
          <w:u w:val="none"/>
          <w:shd w:fill="auto" w:val="clear"/>
          <w:vertAlign w:val="baseline"/>
          <w:rtl w:val="0"/>
        </w:rPr>
        <w:t xml:space="preserve">This also protects the relationship with agents who already work with Lagos/Kano facilities — TRÏNŪ adds an option, it doesn't ask them to abandon existing relationships</w:t>
      </w:r>
      <w:r w:rsidDel="00000000" w:rsidR="00000000" w:rsidRPr="00000000">
        <w:rPr>
          <w:rtl w:val="0"/>
        </w:rPr>
      </w:r>
    </w:p>
    <w:p w:rsidR="00000000" w:rsidDel="00000000" w:rsidP="00000000" w:rsidRDefault="00000000" w:rsidRPr="00000000" w14:paraId="00000012">
      <w:pPr>
        <w:pBdr>
          <w:bottom w:color="ff6600" w:space="4" w:sz="12" w:val="single"/>
        </w:pBdr>
        <w:spacing w:after="130" w:before="300" w:lineRule="auto"/>
        <w:rPr/>
      </w:pPr>
      <w:r w:rsidDel="00000000" w:rsidR="00000000" w:rsidRPr="00000000">
        <w:rPr>
          <w:b w:val="1"/>
          <w:bCs w:val="1"/>
          <w:color w:val="4e5157"/>
          <w:sz w:val="25"/>
          <w:szCs w:val="25"/>
          <w:rtl w:val="0"/>
        </w:rPr>
        <w:t xml:space="preserve">4. The Big Idea &amp; Positioning Statement</w:t>
      </w:r>
      <w:r w:rsidDel="00000000" w:rsidR="00000000" w:rsidRPr="00000000">
        <w:rPr>
          <w:rtl w:val="0"/>
        </w:rPr>
      </w:r>
    </w:p>
    <w:p w:rsidR="00000000" w:rsidDel="00000000" w:rsidP="00000000" w:rsidRDefault="00000000" w:rsidRPr="00000000" w14:paraId="00000013">
      <w:pPr>
        <w:pBdr>
          <w:left w:color="ff6600" w:space="8" w:sz="16" w:val="single"/>
        </w:pBdr>
        <w:spacing w:after="100" w:lineRule="auto"/>
        <w:ind w:left="300" w:firstLine="0"/>
        <w:rPr/>
      </w:pPr>
      <w:r w:rsidDel="00000000" w:rsidR="00000000" w:rsidRPr="00000000">
        <w:rPr>
          <w:b w:val="1"/>
          <w:bCs w:val="1"/>
          <w:i w:val="1"/>
          <w:iCs w:val="1"/>
          <w:color w:val="b44d2f"/>
          <w:sz w:val="20"/>
          <w:szCs w:val="20"/>
          <w:rtl w:val="0"/>
        </w:rPr>
        <w:t xml:space="preserve">"TRÏNŪ brings the port closer — so trade in Abuja moves at Abuja's pace."</w:t>
      </w:r>
      <w:r w:rsidDel="00000000" w:rsidR="00000000" w:rsidRPr="00000000">
        <w:rPr>
          <w:rtl w:val="0"/>
        </w:rPr>
      </w:r>
    </w:p>
    <w:p w:rsidR="00000000" w:rsidDel="00000000" w:rsidP="00000000" w:rsidRDefault="00000000" w:rsidRPr="00000000" w14:paraId="00000014">
      <w:pPr>
        <w:spacing w:after="110" w:lineRule="auto"/>
        <w:rPr/>
      </w:pPr>
      <w:r w:rsidDel="00000000" w:rsidR="00000000" w:rsidRPr="00000000">
        <w:rPr>
          <w:color w:val="2b2b2b"/>
          <w:sz w:val="19"/>
          <w:szCs w:val="19"/>
          <w:rtl w:val="0"/>
        </w:rPr>
        <w:t xml:space="preserve">This is the authoritative positioning line. It flexes across three audiences without changing:</w:t>
      </w:r>
      <w:r w:rsidDel="00000000" w:rsidR="00000000" w:rsidRPr="00000000">
        <w:rPr>
          <w:rtl w:val="0"/>
        </w:rPr>
      </w:r>
    </w:p>
    <w:tbl>
      <w:tblPr>
        <w:tblStyle w:val="Table1"/>
        <w:tblW w:w="910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800"/>
        <w:gridCol w:w="6300"/>
        <w:tblGridChange w:id="0">
          <w:tblGrid>
            <w:gridCol w:w="2800"/>
            <w:gridCol w:w="6300"/>
          </w:tblGrid>
        </w:tblGridChange>
      </w:tblGrid>
      <w:tr>
        <w:trPr>
          <w:cantSplit w:val="0"/>
          <w:tblHeader w:val="0"/>
        </w:trPr>
        <w:tc>
          <w:tcPr>
            <w:shd w:fill="4e5157" w:val="clear"/>
            <w:tcMar>
              <w:top w:w="90.0" w:type="dxa"/>
              <w:left w:w="120.0" w:type="dxa"/>
              <w:bottom w:w="90.0" w:type="dxa"/>
              <w:right w:w="120.0" w:type="dxa"/>
            </w:tcMar>
            <w:vAlign w:val="center"/>
          </w:tcPr>
          <w:p w:rsidR="00000000" w:rsidDel="00000000" w:rsidP="00000000" w:rsidRDefault="00000000" w:rsidRPr="00000000" w14:paraId="00000015">
            <w:pPr>
              <w:rPr/>
            </w:pPr>
            <w:r w:rsidDel="00000000" w:rsidR="00000000" w:rsidRPr="00000000">
              <w:rPr>
                <w:b w:val="1"/>
                <w:bCs w:val="1"/>
                <w:color w:val="ffffff"/>
                <w:sz w:val="17"/>
                <w:szCs w:val="17"/>
                <w:rtl w:val="0"/>
              </w:rPr>
              <w:t xml:space="preserve">Audience</w:t>
            </w:r>
            <w:r w:rsidDel="00000000" w:rsidR="00000000" w:rsidRPr="00000000">
              <w:rPr>
                <w:rtl w:val="0"/>
              </w:rPr>
            </w:r>
          </w:p>
        </w:tc>
        <w:tc>
          <w:tcPr>
            <w:shd w:fill="4e5157" w:val="clear"/>
            <w:tcMar>
              <w:top w:w="90.0" w:type="dxa"/>
              <w:left w:w="120.0" w:type="dxa"/>
              <w:bottom w:w="90.0" w:type="dxa"/>
              <w:right w:w="120.0" w:type="dxa"/>
            </w:tcMar>
            <w:vAlign w:val="center"/>
          </w:tcPr>
          <w:p w:rsidR="00000000" w:rsidDel="00000000" w:rsidP="00000000" w:rsidRDefault="00000000" w:rsidRPr="00000000" w14:paraId="00000016">
            <w:pPr>
              <w:rPr/>
            </w:pPr>
            <w:r w:rsidDel="00000000" w:rsidR="00000000" w:rsidRPr="00000000">
              <w:rPr>
                <w:b w:val="1"/>
                <w:bCs w:val="1"/>
                <w:color w:val="ffffff"/>
                <w:sz w:val="17"/>
                <w:szCs w:val="17"/>
                <w:rtl w:val="0"/>
              </w:rPr>
              <w:t xml:space="preserve">What They Hear In It</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17">
            <w:pPr>
              <w:rPr/>
            </w:pPr>
            <w:r w:rsidDel="00000000" w:rsidR="00000000" w:rsidRPr="00000000">
              <w:rPr>
                <w:b w:val="0"/>
                <w:bCs w:val="0"/>
                <w:color w:val="2b2b2b"/>
                <w:sz w:val="17"/>
                <w:szCs w:val="17"/>
                <w:rtl w:val="0"/>
              </w:rPr>
              <w:t xml:space="preserve">Importers &amp; Traders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8">
            <w:pPr>
              <w:rPr/>
            </w:pPr>
            <w:r w:rsidDel="00000000" w:rsidR="00000000" w:rsidRPr="00000000">
              <w:rPr>
                <w:b w:val="0"/>
                <w:bCs w:val="0"/>
                <w:color w:val="2b2b2b"/>
                <w:sz w:val="17"/>
                <w:szCs w:val="17"/>
                <w:rtl w:val="0"/>
              </w:rPr>
              <w:t xml:space="preserve">Speed and convenience — closer means less time, less cost</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19">
            <w:pPr>
              <w:rPr/>
            </w:pPr>
            <w:r w:rsidDel="00000000" w:rsidR="00000000" w:rsidRPr="00000000">
              <w:rPr>
                <w:b w:val="0"/>
                <w:bCs w:val="0"/>
                <w:color w:val="2b2b2b"/>
                <w:sz w:val="17"/>
                <w:szCs w:val="17"/>
                <w:rtl w:val="0"/>
              </w:rPr>
              <w:t xml:space="preserve">Forwarders &amp; Agents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A">
            <w:pPr>
              <w:rPr/>
            </w:pPr>
            <w:r w:rsidDel="00000000" w:rsidR="00000000" w:rsidRPr="00000000">
              <w:rPr>
                <w:b w:val="0"/>
                <w:bCs w:val="0"/>
                <w:color w:val="2b2b2b"/>
                <w:sz w:val="17"/>
                <w:szCs w:val="17"/>
                <w:rtl w:val="0"/>
              </w:rPr>
              <w:t xml:space="preserve">Partnership — a tool that helps their business, not a threat to it</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1B">
            <w:pPr>
              <w:rPr/>
            </w:pPr>
            <w:r w:rsidDel="00000000" w:rsidR="00000000" w:rsidRPr="00000000">
              <w:rPr>
                <w:b w:val="0"/>
                <w:bCs w:val="0"/>
                <w:color w:val="2b2b2b"/>
                <w:sz w:val="17"/>
                <w:szCs w:val="17"/>
                <w:rtl w:val="0"/>
              </w:rPr>
              <w:t xml:space="preserve">Regulators &amp; Government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C">
            <w:pPr>
              <w:rPr/>
            </w:pPr>
            <w:r w:rsidDel="00000000" w:rsidR="00000000" w:rsidRPr="00000000">
              <w:rPr>
                <w:b w:val="0"/>
                <w:bCs w:val="0"/>
                <w:color w:val="2b2b2b"/>
                <w:sz w:val="17"/>
                <w:szCs w:val="17"/>
                <w:rtl w:val="0"/>
              </w:rPr>
              <w:t xml:space="preserve">Trust and compliance — orderly, controlled, not a shortcut</w:t>
            </w:r>
            <w:r w:rsidDel="00000000" w:rsidR="00000000" w:rsidRPr="00000000">
              <w:rPr>
                <w:rtl w:val="0"/>
              </w:rPr>
            </w:r>
          </w:p>
        </w:tc>
      </w:tr>
    </w:tbl>
    <w:p w:rsidR="00000000" w:rsidDel="00000000" w:rsidP="00000000" w:rsidRDefault="00000000" w:rsidRPr="00000000" w14:paraId="0000001D">
      <w:pPr>
        <w:spacing w:after="110" w:lineRule="auto"/>
        <w:rPr/>
      </w:pPr>
      <w:r w:rsidDel="00000000" w:rsidR="00000000" w:rsidRPr="00000000">
        <w:rPr>
          <w:color w:val="2b2b2b"/>
          <w:sz w:val="19"/>
          <w:szCs w:val="19"/>
          <w:rtl w:val="0"/>
        </w:rPr>
        <w:t xml:space="preserve">Approved tagline variants and their specific use cases are documented in the Creative Direction Document this is the strategic anchor those variants all trace back to.</w:t>
      </w:r>
      <w:r w:rsidDel="00000000" w:rsidR="00000000" w:rsidRPr="00000000">
        <w:rPr>
          <w:rtl w:val="0"/>
        </w:rPr>
      </w:r>
    </w:p>
    <w:p w:rsidR="00000000" w:rsidDel="00000000" w:rsidP="00000000" w:rsidRDefault="00000000" w:rsidRPr="00000000" w14:paraId="0000001E">
      <w:pPr>
        <w:pBdr>
          <w:bottom w:color="ff6600" w:space="4" w:sz="12" w:val="single"/>
        </w:pBdr>
        <w:spacing w:after="130" w:before="300" w:lineRule="auto"/>
        <w:rPr/>
      </w:pPr>
      <w:r w:rsidDel="00000000" w:rsidR="00000000" w:rsidRPr="00000000">
        <w:rPr>
          <w:b w:val="1"/>
          <w:bCs w:val="1"/>
          <w:color w:val="4e5157"/>
          <w:sz w:val="25"/>
          <w:szCs w:val="25"/>
          <w:rtl w:val="0"/>
        </w:rPr>
        <w:t xml:space="preserve">5. Brand Pillars &amp; Voice</w:t>
      </w:r>
      <w:r w:rsidDel="00000000" w:rsidR="00000000" w:rsidRPr="00000000">
        <w:rPr>
          <w:rtl w:val="0"/>
        </w:rPr>
      </w:r>
    </w:p>
    <w:p w:rsidR="00000000" w:rsidDel="00000000" w:rsidP="00000000" w:rsidRDefault="00000000" w:rsidRPr="00000000" w14:paraId="0000001F">
      <w:pPr>
        <w:spacing w:after="110" w:lineRule="auto"/>
        <w:rPr/>
      </w:pPr>
      <w:r w:rsidDel="00000000" w:rsidR="00000000" w:rsidRPr="00000000">
        <w:rPr>
          <w:color w:val="2b2b2b"/>
          <w:sz w:val="19"/>
          <w:szCs w:val="19"/>
          <w:rtl w:val="0"/>
        </w:rPr>
        <w:t xml:space="preserve">From TRÏNŪ's existing brand guidelines, carried through consistently: Expertise, Proactive, Authoritative, Solutions-Oriented, Systematic, Secure. Every strategic decision should be checked against whether it reinforces these — if a message choice feels more "aggressive" or "flashy" than these words suggest, it's likely off-brand regardless of how effective it seems short-term.</w:t>
      </w:r>
      <w:r w:rsidDel="00000000" w:rsidR="00000000" w:rsidRPr="00000000">
        <w:rPr>
          <w:rtl w:val="0"/>
        </w:rPr>
      </w:r>
    </w:p>
    <w:p w:rsidR="00000000" w:rsidDel="00000000" w:rsidP="00000000" w:rsidRDefault="00000000" w:rsidRPr="00000000" w14:paraId="00000020">
      <w:pPr>
        <w:pBdr>
          <w:bottom w:color="ff6600" w:space="4" w:sz="12" w:val="single"/>
        </w:pBdr>
        <w:spacing w:after="130" w:before="300" w:lineRule="auto"/>
        <w:rPr/>
      </w:pPr>
      <w:r w:rsidDel="00000000" w:rsidR="00000000" w:rsidRPr="00000000">
        <w:rPr>
          <w:b w:val="1"/>
          <w:bCs w:val="1"/>
          <w:color w:val="4e5157"/>
          <w:sz w:val="25"/>
          <w:szCs w:val="25"/>
          <w:rtl w:val="0"/>
        </w:rPr>
        <w:t xml:space="preserve">6. Audience Priority by Phase</w:t>
      </w:r>
      <w:r w:rsidDel="00000000" w:rsidR="00000000" w:rsidRPr="00000000">
        <w:rPr>
          <w:rtl w:val="0"/>
        </w:rPr>
      </w:r>
    </w:p>
    <w:tbl>
      <w:tblPr>
        <w:tblStyle w:val="Table2"/>
        <w:tblW w:w="910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800"/>
        <w:gridCol w:w="2800"/>
        <w:gridCol w:w="4500"/>
        <w:tblGridChange w:id="0">
          <w:tblGrid>
            <w:gridCol w:w="1800"/>
            <w:gridCol w:w="2800"/>
            <w:gridCol w:w="4500"/>
          </w:tblGrid>
        </w:tblGridChange>
      </w:tblGrid>
      <w:tr>
        <w:trPr>
          <w:cantSplit w:val="0"/>
          <w:tblHeader w:val="0"/>
        </w:trPr>
        <w:tc>
          <w:tcPr>
            <w:shd w:fill="4e5157" w:val="clear"/>
            <w:tcMar>
              <w:top w:w="90.0" w:type="dxa"/>
              <w:left w:w="120.0" w:type="dxa"/>
              <w:bottom w:w="90.0" w:type="dxa"/>
              <w:right w:w="120.0" w:type="dxa"/>
            </w:tcMar>
            <w:vAlign w:val="center"/>
          </w:tcPr>
          <w:p w:rsidR="00000000" w:rsidDel="00000000" w:rsidP="00000000" w:rsidRDefault="00000000" w:rsidRPr="00000000" w14:paraId="00000021">
            <w:pPr>
              <w:rPr/>
            </w:pPr>
            <w:r w:rsidDel="00000000" w:rsidR="00000000" w:rsidRPr="00000000">
              <w:rPr>
                <w:b w:val="1"/>
                <w:bCs w:val="1"/>
                <w:color w:val="ffffff"/>
                <w:sz w:val="17"/>
                <w:szCs w:val="17"/>
                <w:rtl w:val="0"/>
              </w:rPr>
              <w:t xml:space="preserve">Phase</w:t>
            </w:r>
            <w:r w:rsidDel="00000000" w:rsidR="00000000" w:rsidRPr="00000000">
              <w:rPr>
                <w:rtl w:val="0"/>
              </w:rPr>
            </w:r>
          </w:p>
        </w:tc>
        <w:tc>
          <w:tcPr>
            <w:shd w:fill="4e5157" w:val="clear"/>
            <w:tcMar>
              <w:top w:w="90.0" w:type="dxa"/>
              <w:left w:w="120.0" w:type="dxa"/>
              <w:bottom w:w="90.0" w:type="dxa"/>
              <w:right w:w="120.0" w:type="dxa"/>
            </w:tcMar>
            <w:vAlign w:val="center"/>
          </w:tcPr>
          <w:p w:rsidR="00000000" w:rsidDel="00000000" w:rsidP="00000000" w:rsidRDefault="00000000" w:rsidRPr="00000000" w14:paraId="00000022">
            <w:pPr>
              <w:rPr/>
            </w:pPr>
            <w:r w:rsidDel="00000000" w:rsidR="00000000" w:rsidRPr="00000000">
              <w:rPr>
                <w:b w:val="1"/>
                <w:bCs w:val="1"/>
                <w:color w:val="ffffff"/>
                <w:sz w:val="17"/>
                <w:szCs w:val="17"/>
                <w:rtl w:val="0"/>
              </w:rPr>
              <w:t xml:space="preserve">Priority Audience</w:t>
            </w:r>
            <w:r w:rsidDel="00000000" w:rsidR="00000000" w:rsidRPr="00000000">
              <w:rPr>
                <w:rtl w:val="0"/>
              </w:rPr>
            </w:r>
          </w:p>
        </w:tc>
        <w:tc>
          <w:tcPr>
            <w:shd w:fill="4e5157" w:val="clear"/>
            <w:tcMar>
              <w:top w:w="90.0" w:type="dxa"/>
              <w:left w:w="120.0" w:type="dxa"/>
              <w:bottom w:w="90.0" w:type="dxa"/>
              <w:right w:w="120.0" w:type="dxa"/>
            </w:tcMar>
            <w:vAlign w:val="center"/>
          </w:tcPr>
          <w:p w:rsidR="00000000" w:rsidDel="00000000" w:rsidP="00000000" w:rsidRDefault="00000000" w:rsidRPr="00000000" w14:paraId="00000023">
            <w:pPr>
              <w:rPr/>
            </w:pPr>
            <w:r w:rsidDel="00000000" w:rsidR="00000000" w:rsidRPr="00000000">
              <w:rPr>
                <w:b w:val="1"/>
                <w:bCs w:val="1"/>
                <w:color w:val="ffffff"/>
                <w:sz w:val="17"/>
                <w:szCs w:val="17"/>
                <w:rtl w:val="0"/>
              </w:rPr>
              <w:t xml:space="preserve">Why</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24">
            <w:pPr>
              <w:rPr/>
            </w:pPr>
            <w:r w:rsidDel="00000000" w:rsidR="00000000" w:rsidRPr="00000000">
              <w:rPr>
                <w:b w:val="0"/>
                <w:bCs w:val="0"/>
                <w:color w:val="2b2b2b"/>
                <w:sz w:val="17"/>
                <w:szCs w:val="17"/>
                <w:rtl w:val="0"/>
              </w:rPr>
              <w:t xml:space="preserve">Pre-Launch</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5">
            <w:pPr>
              <w:rPr/>
            </w:pPr>
            <w:r w:rsidDel="00000000" w:rsidR="00000000" w:rsidRPr="00000000">
              <w:rPr>
                <w:b w:val="0"/>
                <w:bCs w:val="0"/>
                <w:color w:val="2b2b2b"/>
                <w:sz w:val="17"/>
                <w:szCs w:val="17"/>
                <w:rtl w:val="0"/>
              </w:rPr>
              <w:t xml:space="preserve">Freight forwarders &amp; agents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6">
            <w:pPr>
              <w:rPr/>
            </w:pPr>
            <w:r w:rsidDel="00000000" w:rsidR="00000000" w:rsidRPr="00000000">
              <w:rPr>
                <w:b w:val="0"/>
                <w:bCs w:val="0"/>
                <w:color w:val="2b2b2b"/>
                <w:sz w:val="17"/>
                <w:szCs w:val="17"/>
                <w:rtl w:val="0"/>
              </w:rPr>
              <w:t xml:space="preserve">Their buy-in prevents resistance that would undermine everything else</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27">
            <w:pPr>
              <w:rPr/>
            </w:pPr>
            <w:r w:rsidDel="00000000" w:rsidR="00000000" w:rsidRPr="00000000">
              <w:rPr>
                <w:b w:val="0"/>
                <w:bCs w:val="0"/>
                <w:color w:val="2b2b2b"/>
                <w:sz w:val="17"/>
                <w:szCs w:val="17"/>
                <w:rtl w:val="0"/>
              </w:rPr>
              <w:t xml:space="preserve">Launch</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8">
            <w:pPr>
              <w:rPr/>
            </w:pPr>
            <w:r w:rsidDel="00000000" w:rsidR="00000000" w:rsidRPr="00000000">
              <w:rPr>
                <w:b w:val="0"/>
                <w:bCs w:val="0"/>
                <w:color w:val="2b2b2b"/>
                <w:sz w:val="17"/>
                <w:szCs w:val="17"/>
                <w:rtl w:val="0"/>
              </w:rPr>
              <w:t xml:space="preserve">Media &amp; general trade audience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9">
            <w:pPr>
              <w:rPr/>
            </w:pPr>
            <w:r w:rsidDel="00000000" w:rsidR="00000000" w:rsidRPr="00000000">
              <w:rPr>
                <w:b w:val="0"/>
                <w:bCs w:val="0"/>
                <w:color w:val="2b2b2b"/>
                <w:sz w:val="17"/>
                <w:szCs w:val="17"/>
                <w:rtl w:val="0"/>
              </w:rPr>
              <w:t xml:space="preserve">Visibility and credibility at the moment of maximum attention</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2A">
            <w:pPr>
              <w:rPr/>
            </w:pPr>
            <w:r w:rsidDel="00000000" w:rsidR="00000000" w:rsidRPr="00000000">
              <w:rPr>
                <w:b w:val="0"/>
                <w:bCs w:val="0"/>
                <w:color w:val="2b2b2b"/>
                <w:sz w:val="17"/>
                <w:szCs w:val="17"/>
                <w:rtl w:val="0"/>
              </w:rPr>
              <w:t xml:space="preserve">Months 2–6</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B">
            <w:pPr>
              <w:rPr/>
            </w:pPr>
            <w:r w:rsidDel="00000000" w:rsidR="00000000" w:rsidRPr="00000000">
              <w:rPr>
                <w:b w:val="0"/>
                <w:bCs w:val="0"/>
                <w:color w:val="2b2b2b"/>
                <w:sz w:val="17"/>
                <w:szCs w:val="17"/>
                <w:rtl w:val="0"/>
              </w:rPr>
              <w:t xml:space="preserve">Importers/traders directly + regulators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C">
            <w:pPr>
              <w:rPr/>
            </w:pPr>
            <w:r w:rsidDel="00000000" w:rsidR="00000000" w:rsidRPr="00000000">
              <w:rPr>
                <w:b w:val="0"/>
                <w:bCs w:val="0"/>
                <w:color w:val="2b2b2b"/>
                <w:sz w:val="17"/>
                <w:szCs w:val="17"/>
                <w:rtl w:val="0"/>
              </w:rPr>
              <w:t xml:space="preserve">Conversion to actual clients, sustained regulatory trust</w:t>
            </w:r>
            <w:r w:rsidDel="00000000" w:rsidR="00000000" w:rsidRPr="00000000">
              <w:rPr>
                <w:rtl w:val="0"/>
              </w:rPr>
            </w:r>
          </w:p>
        </w:tc>
      </w:tr>
    </w:tbl>
    <w:p w:rsidR="00000000" w:rsidDel="00000000" w:rsidP="00000000" w:rsidRDefault="00000000" w:rsidRPr="00000000" w14:paraId="0000002D">
      <w:pPr>
        <w:pBdr>
          <w:bottom w:color="ff6600" w:space="4" w:sz="12" w:val="single"/>
        </w:pBdr>
        <w:spacing w:after="130" w:before="300" w:lineRule="auto"/>
        <w:rPr/>
      </w:pPr>
      <w:r w:rsidDel="00000000" w:rsidR="00000000" w:rsidRPr="00000000">
        <w:rPr>
          <w:b w:val="1"/>
          <w:bCs w:val="1"/>
          <w:color w:val="4e5157"/>
          <w:sz w:val="25"/>
          <w:szCs w:val="25"/>
          <w:rtl w:val="0"/>
        </w:rPr>
        <w:t xml:space="preserve">7. Key Strategic Decisions Log</w:t>
      </w:r>
      <w:r w:rsidDel="00000000" w:rsidR="00000000" w:rsidRPr="00000000">
        <w:rPr>
          <w:rtl w:val="0"/>
        </w:rPr>
      </w:r>
    </w:p>
    <w:p w:rsidR="00000000" w:rsidDel="00000000" w:rsidP="00000000" w:rsidRDefault="00000000" w:rsidRPr="00000000" w14:paraId="0000002E">
      <w:pPr>
        <w:spacing w:after="110" w:lineRule="auto"/>
        <w:rPr/>
      </w:pPr>
      <w:r w:rsidDel="00000000" w:rsidR="00000000" w:rsidRPr="00000000">
        <w:rPr>
          <w:color w:val="2b2b2b"/>
          <w:sz w:val="19"/>
          <w:szCs w:val="19"/>
          <w:rtl w:val="0"/>
        </w:rPr>
        <w:t xml:space="preserve">A running record of major positioning decisions and their rationale. Add to this over time rather than starting a new document each time a decision is made.</w:t>
      </w:r>
      <w:r w:rsidDel="00000000" w:rsidR="00000000" w:rsidRPr="00000000">
        <w:rPr>
          <w:rtl w:val="0"/>
        </w:rPr>
      </w:r>
    </w:p>
    <w:tbl>
      <w:tblPr>
        <w:tblStyle w:val="Table3"/>
        <w:tblW w:w="910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3200"/>
        <w:gridCol w:w="5900"/>
        <w:tblGridChange w:id="0">
          <w:tblGrid>
            <w:gridCol w:w="3200"/>
            <w:gridCol w:w="5900"/>
          </w:tblGrid>
        </w:tblGridChange>
      </w:tblGrid>
      <w:tr>
        <w:trPr>
          <w:cantSplit w:val="0"/>
          <w:tblHeader w:val="0"/>
        </w:trPr>
        <w:tc>
          <w:tcPr>
            <w:shd w:fill="4e5157" w:val="clear"/>
            <w:tcMar>
              <w:top w:w="90.0" w:type="dxa"/>
              <w:left w:w="120.0" w:type="dxa"/>
              <w:bottom w:w="90.0" w:type="dxa"/>
              <w:right w:w="120.0" w:type="dxa"/>
            </w:tcMar>
            <w:vAlign w:val="center"/>
          </w:tcPr>
          <w:p w:rsidR="00000000" w:rsidDel="00000000" w:rsidP="00000000" w:rsidRDefault="00000000" w:rsidRPr="00000000" w14:paraId="0000002F">
            <w:pPr>
              <w:rPr/>
            </w:pPr>
            <w:r w:rsidDel="00000000" w:rsidR="00000000" w:rsidRPr="00000000">
              <w:rPr>
                <w:b w:val="1"/>
                <w:bCs w:val="1"/>
                <w:color w:val="ffffff"/>
                <w:sz w:val="17"/>
                <w:szCs w:val="17"/>
                <w:rtl w:val="0"/>
              </w:rPr>
              <w:t xml:space="preserve">Decision</w:t>
            </w:r>
            <w:r w:rsidDel="00000000" w:rsidR="00000000" w:rsidRPr="00000000">
              <w:rPr>
                <w:rtl w:val="0"/>
              </w:rPr>
            </w:r>
          </w:p>
        </w:tc>
        <w:tc>
          <w:tcPr>
            <w:shd w:fill="4e5157" w:val="clear"/>
            <w:tcMar>
              <w:top w:w="90.0" w:type="dxa"/>
              <w:left w:w="120.0" w:type="dxa"/>
              <w:bottom w:w="90.0" w:type="dxa"/>
              <w:right w:w="120.0" w:type="dxa"/>
            </w:tcMar>
            <w:vAlign w:val="center"/>
          </w:tcPr>
          <w:p w:rsidR="00000000" w:rsidDel="00000000" w:rsidP="00000000" w:rsidRDefault="00000000" w:rsidRPr="00000000" w14:paraId="00000030">
            <w:pPr>
              <w:rPr/>
            </w:pPr>
            <w:r w:rsidDel="00000000" w:rsidR="00000000" w:rsidRPr="00000000">
              <w:rPr>
                <w:b w:val="1"/>
                <w:bCs w:val="1"/>
                <w:color w:val="ffffff"/>
                <w:sz w:val="17"/>
                <w:szCs w:val="17"/>
                <w:rtl w:val="0"/>
              </w:rPr>
              <w:t xml:space="preserve">Rationale</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1">
            <w:pPr>
              <w:rPr/>
            </w:pPr>
            <w:r w:rsidDel="00000000" w:rsidR="00000000" w:rsidRPr="00000000">
              <w:rPr>
                <w:b w:val="0"/>
                <w:bCs w:val="0"/>
                <w:color w:val="2b2b2b"/>
                <w:sz w:val="17"/>
                <w:szCs w:val="17"/>
                <w:rtl w:val="0"/>
              </w:rPr>
              <w:t xml:space="preserve">CEO's age is never a headline message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2">
            <w:pPr>
              <w:rPr/>
            </w:pPr>
            <w:r w:rsidDel="00000000" w:rsidR="00000000" w:rsidRPr="00000000">
              <w:rPr>
                <w:b w:val="0"/>
                <w:bCs w:val="0"/>
                <w:color w:val="2b2b2b"/>
                <w:sz w:val="17"/>
                <w:szCs w:val="17"/>
                <w:rtl w:val="0"/>
              </w:rPr>
              <w:t xml:space="preserve">Results and vision carry more credibility than framing built around age; age comes through implicitly, not as a stated pitch</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3">
            <w:pPr>
              <w:rPr/>
            </w:pPr>
            <w:r w:rsidDel="00000000" w:rsidR="00000000" w:rsidRPr="00000000">
              <w:rPr>
                <w:b w:val="0"/>
                <w:bCs w:val="0"/>
                <w:color w:val="2b2b2b"/>
                <w:sz w:val="17"/>
                <w:szCs w:val="17"/>
                <w:rtl w:val="0"/>
              </w:rPr>
              <w:t xml:space="preserve">Partnership framing over competitive framing with agents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4">
            <w:pPr>
              <w:rPr/>
            </w:pPr>
            <w:r w:rsidDel="00000000" w:rsidR="00000000" w:rsidRPr="00000000">
              <w:rPr>
                <w:b w:val="0"/>
                <w:bCs w:val="0"/>
                <w:color w:val="2b2b2b"/>
                <w:sz w:val="17"/>
                <w:szCs w:val="17"/>
                <w:rtl w:val="0"/>
              </w:rPr>
              <w:t xml:space="preserve">Agents are essential to adoption — positioning as competition would create resistance that outweighs any short-term messaging benefit</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5">
            <w:pPr>
              <w:rPr/>
            </w:pPr>
            <w:sdt>
              <w:sdtPr>
                <w:id w:val="-547989216"/>
                <w:tag w:val="goog_rdk_0"/>
              </w:sdtPr>
              <w:sdtContent>
                <w:r w:rsidDel="00000000" w:rsidR="00000000" w:rsidRPr="00000000">
                  <w:rPr>
                    <w:rFonts w:ascii="Cardo" w:cs="Cardo" w:eastAsia="Cardo" w:hAnsi="Cardo"/>
                    <w:b w:val="0"/>
                    <w:bCs w:val="0"/>
                    <w:color w:val="2b2b2b"/>
                    <w:sz w:val="17"/>
                    <w:szCs w:val="17"/>
                    <w:rtl w:val="0"/>
                  </w:rPr>
                  <w:t xml:space="preserve">Staged budget approach (Option A → B/C)</w:t>
                </w:r>
              </w:sdtContent>
            </w:sdt>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6">
            <w:pPr>
              <w:rPr/>
            </w:pPr>
            <w:r w:rsidDel="00000000" w:rsidR="00000000" w:rsidRPr="00000000">
              <w:rPr>
                <w:b w:val="0"/>
                <w:bCs w:val="0"/>
                <w:color w:val="2b2b2b"/>
                <w:sz w:val="17"/>
                <w:szCs w:val="17"/>
                <w:rtl w:val="0"/>
              </w:rPr>
              <w:t xml:space="preserve">Protects the relationship with the CEO by not demanding a large commitment upfront, while preserving the case for more investment once results show</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7">
            <w:pPr>
              <w:rPr/>
            </w:pPr>
            <w:r w:rsidDel="00000000" w:rsidR="00000000" w:rsidRPr="00000000">
              <w:rPr>
                <w:b w:val="0"/>
                <w:bCs w:val="0"/>
                <w:color w:val="2b2b2b"/>
                <w:sz w:val="17"/>
                <w:szCs w:val="17"/>
                <w:rtl w:val="0"/>
              </w:rPr>
              <w:t xml:space="preserve">Deferential-only regulatory posture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8">
            <w:pPr>
              <w:rPr/>
            </w:pPr>
            <w:r w:rsidDel="00000000" w:rsidR="00000000" w:rsidRPr="00000000">
              <w:rPr>
                <w:b w:val="0"/>
                <w:bCs w:val="0"/>
                <w:color w:val="2b2b2b"/>
                <w:sz w:val="17"/>
                <w:szCs w:val="17"/>
                <w:rtl w:val="0"/>
              </w:rPr>
              <w:t xml:space="preserve">The business's entire model depends on regulatory goodwill — no message is worth risking that relationship</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9">
            <w:pPr>
              <w:rPr/>
            </w:pPr>
            <w:r w:rsidDel="00000000" w:rsidR="00000000" w:rsidRPr="00000000">
              <w:rPr>
                <w:b w:val="0"/>
                <w:bCs w:val="0"/>
                <w:color w:val="2b2b2b"/>
                <w:sz w:val="17"/>
                <w:szCs w:val="17"/>
                <w:rtl w:val="0"/>
              </w:rPr>
              <w:t xml:space="preserve">"Flagship facility" language, not "our only facility"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A">
            <w:pPr>
              <w:rPr/>
            </w:pPr>
            <w:r w:rsidDel="00000000" w:rsidR="00000000" w:rsidRPr="00000000">
              <w:rPr>
                <w:b w:val="0"/>
                <w:bCs w:val="0"/>
                <w:color w:val="2b2b2b"/>
                <w:sz w:val="17"/>
                <w:szCs w:val="17"/>
                <w:rtl w:val="0"/>
              </w:rPr>
              <w:t xml:space="preserve">Preserves flexibility for planned future expansion without needing to rework core positioning later</w:t>
            </w:r>
            <w:r w:rsidDel="00000000" w:rsidR="00000000" w:rsidRPr="00000000">
              <w:rPr>
                <w:rtl w:val="0"/>
              </w:rPr>
            </w:r>
          </w:p>
        </w:tc>
      </w:tr>
    </w:tbl>
    <w:p w:rsidR="00000000" w:rsidDel="00000000" w:rsidP="00000000" w:rsidRDefault="00000000" w:rsidRPr="00000000" w14:paraId="0000003B">
      <w:pPr>
        <w:spacing w:after="110" w:lineRule="auto"/>
        <w:rPr>
          <w:i w:val="1"/>
          <w:iCs w:val="1"/>
          <w:color w:val="2b2b2b"/>
          <w:sz w:val="19"/>
          <w:szCs w:val="19"/>
        </w:rPr>
      </w:pPr>
      <w:r w:rsidDel="00000000" w:rsidR="00000000" w:rsidRPr="00000000">
        <w:rPr>
          <w:rtl w:val="0"/>
        </w:rPr>
      </w:r>
    </w:p>
    <w:p w:rsidR="00000000" w:rsidDel="00000000" w:rsidP="00000000" w:rsidRDefault="00000000" w:rsidRPr="00000000" w14:paraId="0000003C">
      <w:pPr>
        <w:spacing w:after="110" w:lineRule="auto"/>
        <w:rPr/>
      </w:pPr>
      <w:r w:rsidDel="00000000" w:rsidR="00000000" w:rsidRPr="00000000">
        <w:rPr>
          <w:i w:val="1"/>
          <w:iCs w:val="1"/>
          <w:color w:val="2b2b2b"/>
          <w:sz w:val="19"/>
          <w:szCs w:val="19"/>
          <w:rtl w:val="0"/>
        </w:rPr>
        <w:t xml:space="preserve">Add new rows as future strategic decisions are made  keep this log current.</w:t>
      </w:r>
      <w:r w:rsidDel="00000000" w:rsidR="00000000" w:rsidRPr="00000000">
        <w:rPr>
          <w:rtl w:val="0"/>
        </w:rPr>
      </w:r>
    </w:p>
    <w:p w:rsidR="00000000" w:rsidDel="00000000" w:rsidP="00000000" w:rsidRDefault="00000000" w:rsidRPr="00000000" w14:paraId="0000003D">
      <w:pPr>
        <w:pBdr>
          <w:bottom w:color="ff6600" w:space="4" w:sz="12" w:val="single"/>
        </w:pBdr>
        <w:spacing w:after="130" w:before="300" w:lineRule="auto"/>
        <w:rPr/>
      </w:pPr>
      <w:r w:rsidDel="00000000" w:rsidR="00000000" w:rsidRPr="00000000">
        <w:rPr>
          <w:b w:val="1"/>
          <w:bCs w:val="1"/>
          <w:color w:val="4e5157"/>
          <w:sz w:val="25"/>
          <w:szCs w:val="25"/>
          <w:rtl w:val="0"/>
        </w:rPr>
        <w:t xml:space="preserve">8. Guardrails for Future Decisions</w:t>
      </w:r>
      <w:r w:rsidDel="00000000" w:rsidR="00000000" w:rsidRPr="00000000">
        <w:rPr>
          <w:rtl w:val="0"/>
        </w:rPr>
      </w:r>
    </w:p>
    <w:p w:rsidR="00000000" w:rsidDel="00000000" w:rsidP="00000000" w:rsidRDefault="00000000" w:rsidRPr="00000000" w14:paraId="0000003E">
      <w:pPr>
        <w:spacing w:after="110" w:lineRule="auto"/>
        <w:rPr/>
      </w:pPr>
      <w:r w:rsidDel="00000000" w:rsidR="00000000" w:rsidRPr="00000000">
        <w:rPr>
          <w:color w:val="2b2b2b"/>
          <w:sz w:val="19"/>
          <w:szCs w:val="19"/>
          <w:rtl w:val="0"/>
        </w:rPr>
        <w:t xml:space="preserve">Before finalizing any new brand or messaging decision, check it against these questions:</w:t>
      </w:r>
      <w:r w:rsidDel="00000000" w:rsidR="00000000" w:rsidRPr="00000000">
        <w:rPr>
          <w:rtl w:val="0"/>
        </w:rPr>
      </w:r>
    </w:p>
    <w:p w:rsidR="00000000" w:rsidDel="00000000" w:rsidP="00000000" w:rsidRDefault="00000000" w:rsidRPr="00000000" w14:paraId="0000003F">
      <w:pPr>
        <w:spacing w:after="70" w:lineRule="auto"/>
        <w:ind w:left="200" w:firstLine="0"/>
        <w:rPr/>
      </w:pPr>
      <w:r w:rsidDel="00000000" w:rsidR="00000000" w:rsidRPr="00000000">
        <w:rPr>
          <w:b w:val="1"/>
          <w:bCs w:val="1"/>
          <w:color w:val="4e5157"/>
          <w:sz w:val="19"/>
          <w:szCs w:val="19"/>
          <w:rtl w:val="0"/>
        </w:rPr>
        <w:t xml:space="preserve">☐  </w:t>
      </w:r>
      <w:r w:rsidDel="00000000" w:rsidR="00000000" w:rsidRPr="00000000">
        <w:rPr>
          <w:color w:val="2b2b2b"/>
          <w:sz w:val="19"/>
          <w:szCs w:val="19"/>
          <w:rtl w:val="0"/>
        </w:rPr>
        <w:t xml:space="preserve">Does it stay consistent with the core positioning line and the three-audience framing?</w:t>
      </w:r>
      <w:r w:rsidDel="00000000" w:rsidR="00000000" w:rsidRPr="00000000">
        <w:rPr>
          <w:rtl w:val="0"/>
        </w:rPr>
      </w:r>
    </w:p>
    <w:p w:rsidR="00000000" w:rsidDel="00000000" w:rsidP="00000000" w:rsidRDefault="00000000" w:rsidRPr="00000000" w14:paraId="00000040">
      <w:pPr>
        <w:spacing w:after="70" w:lineRule="auto"/>
        <w:ind w:left="200" w:firstLine="0"/>
        <w:rPr/>
      </w:pPr>
      <w:r w:rsidDel="00000000" w:rsidR="00000000" w:rsidRPr="00000000">
        <w:rPr>
          <w:b w:val="1"/>
          <w:bCs w:val="1"/>
          <w:color w:val="4e5157"/>
          <w:sz w:val="19"/>
          <w:szCs w:val="19"/>
          <w:rtl w:val="0"/>
        </w:rPr>
        <w:t xml:space="preserve">☐  </w:t>
      </w:r>
      <w:r w:rsidDel="00000000" w:rsidR="00000000" w:rsidRPr="00000000">
        <w:rPr>
          <w:color w:val="2b2b2b"/>
          <w:sz w:val="19"/>
          <w:szCs w:val="19"/>
          <w:rtl w:val="0"/>
        </w:rPr>
        <w:t xml:space="preserve">Would it still make sense if TRÏNŪ opens a second location next year?</w:t>
      </w:r>
      <w:r w:rsidDel="00000000" w:rsidR="00000000" w:rsidRPr="00000000">
        <w:rPr>
          <w:rtl w:val="0"/>
        </w:rPr>
      </w:r>
    </w:p>
    <w:p w:rsidR="00000000" w:rsidDel="00000000" w:rsidP="00000000" w:rsidRDefault="00000000" w:rsidRPr="00000000" w14:paraId="00000041">
      <w:pPr>
        <w:spacing w:after="70" w:lineRule="auto"/>
        <w:ind w:left="200" w:firstLine="0"/>
        <w:rPr/>
      </w:pPr>
      <w:r w:rsidDel="00000000" w:rsidR="00000000" w:rsidRPr="00000000">
        <w:rPr>
          <w:b w:val="1"/>
          <w:bCs w:val="1"/>
          <w:color w:val="4e5157"/>
          <w:sz w:val="19"/>
          <w:szCs w:val="19"/>
          <w:rtl w:val="0"/>
        </w:rPr>
        <w:t xml:space="preserve">☐  </w:t>
      </w:r>
      <w:r w:rsidDel="00000000" w:rsidR="00000000" w:rsidRPr="00000000">
        <w:rPr>
          <w:color w:val="2b2b2b"/>
          <w:sz w:val="19"/>
          <w:szCs w:val="19"/>
          <w:rtl w:val="0"/>
        </w:rPr>
        <w:t xml:space="preserve">Does it maintain the partnership stance with agents, not undermine it?</w:t>
      </w:r>
      <w:r w:rsidDel="00000000" w:rsidR="00000000" w:rsidRPr="00000000">
        <w:rPr>
          <w:rtl w:val="0"/>
        </w:rPr>
      </w:r>
    </w:p>
    <w:p w:rsidR="00000000" w:rsidDel="00000000" w:rsidP="00000000" w:rsidRDefault="00000000" w:rsidRPr="00000000" w14:paraId="00000042">
      <w:pPr>
        <w:spacing w:after="70" w:lineRule="auto"/>
        <w:ind w:left="200" w:firstLine="0"/>
        <w:rPr/>
      </w:pPr>
      <w:r w:rsidDel="00000000" w:rsidR="00000000" w:rsidRPr="00000000">
        <w:rPr>
          <w:b w:val="1"/>
          <w:bCs w:val="1"/>
          <w:color w:val="4e5157"/>
          <w:sz w:val="19"/>
          <w:szCs w:val="19"/>
          <w:rtl w:val="0"/>
        </w:rPr>
        <w:t xml:space="preserve">☐  </w:t>
      </w:r>
      <w:r w:rsidDel="00000000" w:rsidR="00000000" w:rsidRPr="00000000">
        <w:rPr>
          <w:color w:val="2b2b2b"/>
          <w:sz w:val="19"/>
          <w:szCs w:val="19"/>
          <w:rtl w:val="0"/>
        </w:rPr>
        <w:t xml:space="preserve">Is the regulatory tone still fully deferential?</w:t>
      </w:r>
      <w:r w:rsidDel="00000000" w:rsidR="00000000" w:rsidRPr="00000000">
        <w:rPr>
          <w:rtl w:val="0"/>
        </w:rPr>
      </w:r>
    </w:p>
    <w:p w:rsidR="00000000" w:rsidDel="00000000" w:rsidP="00000000" w:rsidRDefault="00000000" w:rsidRPr="00000000" w14:paraId="00000043">
      <w:pPr>
        <w:spacing w:after="70" w:lineRule="auto"/>
        <w:ind w:left="200" w:firstLine="0"/>
        <w:rPr/>
      </w:pPr>
      <w:r w:rsidDel="00000000" w:rsidR="00000000" w:rsidRPr="00000000">
        <w:rPr>
          <w:b w:val="1"/>
          <w:bCs w:val="1"/>
          <w:color w:val="4e5157"/>
          <w:sz w:val="19"/>
          <w:szCs w:val="19"/>
          <w:rtl w:val="0"/>
        </w:rPr>
        <w:t xml:space="preserve">☐  </w:t>
      </w:r>
      <w:r w:rsidDel="00000000" w:rsidR="00000000" w:rsidRPr="00000000">
        <w:rPr>
          <w:color w:val="2b2b2b"/>
          <w:sz w:val="19"/>
          <w:szCs w:val="19"/>
          <w:rtl w:val="0"/>
        </w:rPr>
        <w:t xml:space="preserve">Does it reflect the brand pillars (Expertise, Proactive, Authoritative, Solutions-Oriented, Systematic, Secure)?</w:t>
      </w:r>
      <w:r w:rsidDel="00000000" w:rsidR="00000000" w:rsidRPr="00000000">
        <w:rPr>
          <w:rtl w:val="0"/>
        </w:rPr>
      </w:r>
    </w:p>
    <w:p w:rsidR="00000000" w:rsidDel="00000000" w:rsidP="00000000" w:rsidRDefault="00000000" w:rsidRPr="00000000" w14:paraId="00000044">
      <w:pPr>
        <w:spacing w:after="70" w:lineRule="auto"/>
        <w:ind w:left="200" w:firstLine="0"/>
        <w:rPr/>
      </w:pPr>
      <w:r w:rsidDel="00000000" w:rsidR="00000000" w:rsidRPr="00000000">
        <w:rPr>
          <w:b w:val="1"/>
          <w:bCs w:val="1"/>
          <w:color w:val="4e5157"/>
          <w:sz w:val="19"/>
          <w:szCs w:val="19"/>
          <w:rtl w:val="0"/>
        </w:rPr>
        <w:t xml:space="preserve">☐  </w:t>
      </w:r>
      <w:r w:rsidDel="00000000" w:rsidR="00000000" w:rsidRPr="00000000">
        <w:rPr>
          <w:color w:val="2b2b2b"/>
          <w:sz w:val="19"/>
          <w:szCs w:val="19"/>
          <w:rtl w:val="0"/>
        </w:rPr>
        <w:t xml:space="preserve">Has it been checked against the CEO's approval process before going external?</w:t>
      </w:r>
      <w:r w:rsidDel="00000000" w:rsidR="00000000" w:rsidRPr="00000000">
        <w:rPr>
          <w:rtl w:val="0"/>
        </w:rPr>
      </w:r>
    </w:p>
    <w:p w:rsidR="00000000" w:rsidDel="00000000" w:rsidP="00000000" w:rsidRDefault="00000000" w:rsidRPr="00000000" w14:paraId="00000045">
      <w:pPr>
        <w:pBdr>
          <w:bottom w:color="ff6600" w:space="4" w:sz="12" w:val="single"/>
        </w:pBdr>
        <w:spacing w:after="130" w:before="300" w:lineRule="auto"/>
        <w:rPr/>
      </w:pPr>
      <w:r w:rsidDel="00000000" w:rsidR="00000000" w:rsidRPr="00000000">
        <w:rPr>
          <w:b w:val="1"/>
          <w:bCs w:val="1"/>
          <w:color w:val="4e5157"/>
          <w:sz w:val="25"/>
          <w:szCs w:val="25"/>
          <w:rtl w:val="0"/>
        </w:rPr>
        <w:t xml:space="preserve">9. What This Document Is Not</w:t>
      </w:r>
      <w:r w:rsidDel="00000000" w:rsidR="00000000" w:rsidRPr="00000000">
        <w:rPr>
          <w:rtl w:val="0"/>
        </w:rPr>
      </w:r>
    </w:p>
    <w:p w:rsidR="00000000" w:rsidDel="00000000" w:rsidP="00000000" w:rsidRDefault="00000000" w:rsidRPr="00000000" w14:paraId="00000046">
      <w:pPr>
        <w:spacing w:after="110" w:lineRule="auto"/>
        <w:rPr/>
      </w:pPr>
      <w:r w:rsidDel="00000000" w:rsidR="00000000" w:rsidRPr="00000000">
        <w:rPr>
          <w:color w:val="2b2b2b"/>
          <w:sz w:val="19"/>
          <w:szCs w:val="19"/>
          <w:rtl w:val="0"/>
        </w:rPr>
        <w:t xml:space="preserve">This is not a creative execution guide — for visual direction, tone of voice examples, and channel-specific guidance, use the Creative Direction Document. This document is the reasoning behind the strategy; that one is the expression of it.</w:t>
      </w:r>
      <w:r w:rsidDel="00000000" w:rsidR="00000000" w:rsidRPr="00000000">
        <w:rPr>
          <w:rtl w:val="0"/>
        </w:rPr>
      </w:r>
    </w:p>
    <w:p w:rsidR="00000000" w:rsidDel="00000000" w:rsidP="00000000" w:rsidRDefault="00000000" w:rsidRPr="00000000" w14:paraId="00000047">
      <w:pPr>
        <w:pBdr>
          <w:top w:color="d9d9d9" w:space="4" w:sz="4" w:val="single"/>
        </w:pBdr>
        <w:spacing w:before="260" w:lineRule="auto"/>
        <w:rPr/>
      </w:pPr>
      <w:r w:rsidDel="00000000" w:rsidR="00000000" w:rsidRPr="00000000">
        <w:rPr>
          <w:i w:val="1"/>
          <w:iCs w:val="1"/>
          <w:color w:val="4e5157"/>
          <w:sz w:val="17"/>
          <w:szCs w:val="17"/>
          <w:rtl w:val="0"/>
        </w:rPr>
        <w:t xml:space="preserve">Contact: Muktar Mahdi | 09012494493 | mukkysmahdi@gmail.com</w:t>
      </w:r>
      <w:r w:rsidDel="00000000" w:rsidR="00000000" w:rsidRPr="00000000">
        <w:rPr>
          <w:rtl w:val="0"/>
        </w:rPr>
      </w:r>
    </w:p>
    <w:sectPr>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Xne+Vn+uEjbMcEQY2pdpPVUR4w==">CgMxLjAaEgoBMBINCgsIB0IHEgVDYXJkbzgAciExcngwNXlNRC1Pb0h3WW5JelNmVXdxN1k3U0MxSTBJc1Q=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2026-08-29T13:27:07.801Z</dcterms:created>
  <dc:creator>Un-named</dc:creator>
</cp:coreProperties>
</file>

<file path=docProps/custom.xml><?xml version="1.0" encoding="utf-8"?>
<Properties xmlns="http://schemas.openxmlformats.org/officeDocument/2006/custom-properties" xmlns:vt="http://schemas.openxmlformats.org/officeDocument/2006/docPropsVTypes"/>
</file>