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0"/>
      </w:pPr>
    </w:p>
    <w:p>
      <w:pPr>
        <w:jc w:val="center"/>
      </w:pPr>
      <w:r>
        <w:rPr>
          <w:rFonts w:ascii="Calibri" w:hAnsi="Calibri"/>
          <w:b/>
          <w:color w:val="0F172A"/>
          <w:sz w:val="72"/>
        </w:rPr>
        <w:t>CASEFLOW</w:t>
      </w:r>
    </w:p>
    <w:p>
      <w:pPr>
        <w:spacing w:after="80"/>
        <w:jc w:val="center"/>
      </w:pPr>
      <w:r>
        <w:rPr>
          <w:rFonts w:ascii="Calibri" w:hAnsi="Calibri"/>
          <w:b w:val="0"/>
          <w:color w:val="2563EB"/>
          <w:sz w:val="40"/>
        </w:rPr>
        <w:t>Product Datasheet</w:t>
      </w:r>
    </w:p>
    <w:p>
      <w:pPr>
        <w:spacing w:after="40"/>
        <w:jc w:val="center"/>
      </w:pPr>
      <w:r>
        <w:rPr>
          <w:rFonts w:ascii="Calibri" w:hAnsi="Calibri"/>
          <w:color w:val="64748B"/>
          <w:sz w:val="22"/>
        </w:rPr>
        <w:t>Version 2.5 · Intelligent Legal Practice Management Platform</w:t>
      </w:r>
    </w:p>
    <w:p>
      <w:pPr>
        <w:spacing w:after="120"/>
        <w:jc w:val="center"/>
      </w:pPr>
      <w:r>
        <w:rPr>
          <w:rFonts w:ascii="Calibri" w:hAnsi="Calibri"/>
          <w:i/>
          <w:color w:val="94A3B8"/>
          <w:sz w:val="20"/>
        </w:rPr>
        <w:t>August 2026 · Confidential</w:t>
      </w:r>
    </w:p>
    <w:p>
      <w:pPr>
        <w:spacing w:after="400"/>
        <w:jc w:val="center"/>
        <w:pBdr>
          <w:bottom w:val="single" w:sz="8" w:color="2563EB" w:space="1"/>
        </w:pBdr>
      </w:pPr>
    </w:p>
    <w:p>
      <w:pPr>
        <w:spacing w:before="360" w:after="160"/>
      </w:pPr>
      <w:r>
        <w:rPr>
          <w:rFonts w:ascii="Calibri" w:hAnsi="Calibri"/>
          <w:b/>
          <w:color w:val="2563EB"/>
          <w:sz w:val="32"/>
        </w:rPr>
        <w:t xml:space="preserve">01. </w:t>
      </w:r>
      <w:r>
        <w:rPr>
          <w:rFonts w:ascii="Calibri" w:hAnsi="Calibri"/>
          <w:b/>
          <w:color w:val="0F172A"/>
          <w:sz w:val="32"/>
        </w:rPr>
        <w:t>Executive Overview</w:t>
      </w:r>
    </w:p>
    <w:p>
      <w:pPr>
        <w:spacing w:after="80" w:before="0"/>
        <w:pBdr>
          <w:bottom w:val="single" w:sz="6" w:color="2563EB" w:space="1"/>
        </w:pBdr>
      </w:pPr>
    </w:p>
    <w:p>
      <w:pPr>
        <w:spacing w:after="200" w:before="0"/>
      </w:pPr>
      <w:r>
        <w:rPr>
          <w:rFonts w:ascii="Calibri" w:hAnsi="Calibri"/>
          <w:b w:val="0"/>
          <w:i w:val="0"/>
          <w:color w:val="334155"/>
          <w:sz w:val="21"/>
        </w:rPr>
        <w:t>CaseFlow is an AI-powered, offline-first legal practice management platform built specifically for Indian Advocates, Law Firms, and Bar Associations. It serves as the Operating System for Indian Legal Practice — unifying case management, courtroom scheduling, financial ledgers, evidence documentation, AI-assisted legal research, and bar community governance into a single production-grade mobile experience.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shd w:fill="1E293B" w:val="clear"/>
            <w:tcBorders>
              <w:top w:val="single" w:sz="4" w:color="1E293B"/>
              <w:left w:val="single" w:sz="4" w:color="1E293B"/>
              <w:bottom w:val="single" w:sz="4" w:color="1E293B"/>
              <w:right w:val="single" w:sz="4" w:color="1E293B"/>
            </w:tcBorders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7200"/>
            <w:shd w:fill="1E293B" w:val="clear"/>
            <w:tcBorders>
              <w:top w:val="single" w:sz="4" w:color="1E293B"/>
              <w:left w:val="single" w:sz="4" w:color="1E293B"/>
              <w:bottom w:val="single" w:sz="4" w:color="1E293B"/>
              <w:right w:val="single" w:sz="4" w:color="1E293B"/>
            </w:tcBorders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288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Platform</w:t>
            </w:r>
          </w:p>
        </w:tc>
        <w:tc>
          <w:tcPr>
            <w:tcW w:type="dxa" w:w="720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Android (iOS roadmap Q1 2027)</w:t>
            </w:r>
          </w:p>
        </w:tc>
      </w:tr>
      <w:tr>
        <w:tc>
          <w:tcPr>
            <w:tcW w:type="dxa" w:w="288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Stage</w:t>
            </w:r>
          </w:p>
        </w:tc>
        <w:tc>
          <w:tcPr>
            <w:tcW w:type="dxa" w:w="720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Beta — All features free during beta</w:t>
            </w:r>
          </w:p>
        </w:tc>
      </w:tr>
      <w:tr>
        <w:tc>
          <w:tcPr>
            <w:tcW w:type="dxa" w:w="288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Codebase</w:t>
            </w:r>
          </w:p>
        </w:tc>
        <w:tc>
          <w:tcPr>
            <w:tcW w:type="dxa" w:w="720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80,000+ lines · 36 screens · 40+ components</w:t>
            </w:r>
          </w:p>
        </w:tc>
      </w:tr>
      <w:tr>
        <w:tc>
          <w:tcPr>
            <w:tcW w:type="dxa" w:w="288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Architecture</w:t>
            </w:r>
          </w:p>
        </w:tc>
        <w:tc>
          <w:tcPr>
            <w:tcW w:type="dxa" w:w="720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Offline-first, distributed client-server with edge computing</w:t>
            </w:r>
          </w:p>
        </w:tc>
      </w:tr>
      <w:tr>
        <w:tc>
          <w:tcPr>
            <w:tcW w:type="dxa" w:w="288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AI Engine</w:t>
            </w:r>
          </w:p>
        </w:tc>
        <w:tc>
          <w:tcPr>
            <w:tcW w:type="dxa" w:w="720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Google Gemini 2.0 Flash (server-side secure proxy)</w:t>
            </w:r>
          </w:p>
        </w:tc>
      </w:tr>
      <w:tr>
        <w:tc>
          <w:tcPr>
            <w:tcW w:type="dxa" w:w="288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Target Market</w:t>
            </w:r>
          </w:p>
        </w:tc>
        <w:tc>
          <w:tcPr>
            <w:tcW w:type="dxa" w:w="720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1.7M+ registered advocates in India</w:t>
            </w:r>
          </w:p>
        </w:tc>
      </w:tr>
    </w:tbl>
    <w:p>
      <w:pPr>
        <w:spacing w:after="80"/>
      </w:pPr>
    </w:p>
    <w:p>
      <w:pPr>
        <w:spacing w:before="360" w:after="160"/>
      </w:pPr>
      <w:r>
        <w:rPr>
          <w:rFonts w:ascii="Calibri" w:hAnsi="Calibri"/>
          <w:b/>
          <w:color w:val="2563EB"/>
          <w:sz w:val="32"/>
        </w:rPr>
        <w:t xml:space="preserve">02. </w:t>
      </w:r>
      <w:r>
        <w:rPr>
          <w:rFonts w:ascii="Calibri" w:hAnsi="Calibri"/>
          <w:b/>
          <w:color w:val="0F172A"/>
          <w:sz w:val="32"/>
        </w:rPr>
        <w:t>The Problem</w:t>
      </w:r>
    </w:p>
    <w:p>
      <w:pPr>
        <w:spacing w:after="80" w:before="0"/>
        <w:pBdr>
          <w:bottom w:val="single" w:sz="6" w:color="2563EB" w:space="1"/>
        </w:pBdr>
      </w:pPr>
    </w:p>
    <w:p>
      <w:pPr>
        <w:spacing w:after="160" w:before="0"/>
      </w:pPr>
      <w:r>
        <w:rPr>
          <w:rFonts w:ascii="Calibri" w:hAnsi="Calibri"/>
          <w:b w:val="0"/>
          <w:i w:val="0"/>
          <w:color w:val="334155"/>
          <w:sz w:val="21"/>
        </w:rPr>
        <w:t>India's 1.7 million registered advocates manage litigation using paper dockets, scattered WhatsApp groups, and unreliable government portals. This creates systemic inefficiencies: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shd w:fill="1E293B" w:val="clear"/>
            <w:tcBorders>
              <w:top w:val="single" w:sz="4" w:color="1E293B"/>
              <w:left w:val="single" w:sz="4" w:color="1E293B"/>
              <w:bottom w:val="single" w:sz="4" w:color="1E293B"/>
              <w:right w:val="single" w:sz="4" w:color="1E293B"/>
            </w:tcBorders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Pain Point</w:t>
            </w:r>
          </w:p>
        </w:tc>
        <w:tc>
          <w:tcPr>
            <w:tcW w:type="dxa" w:w="7200"/>
            <w:shd w:fill="1E293B" w:val="clear"/>
            <w:tcBorders>
              <w:top w:val="single" w:sz="4" w:color="1E293B"/>
              <w:left w:val="single" w:sz="4" w:color="1E293B"/>
              <w:bottom w:val="single" w:sz="4" w:color="1E293B"/>
              <w:right w:val="single" w:sz="4" w:color="1E293B"/>
            </w:tcBorders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Impact</w:t>
            </w:r>
          </w:p>
        </w:tc>
      </w:tr>
      <w:tr>
        <w:tc>
          <w:tcPr>
            <w:tcW w:type="dxa" w:w="288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Missed Hearings</w:t>
            </w:r>
          </w:p>
        </w:tc>
        <w:tc>
          <w:tcPr>
            <w:tcW w:type="dxa" w:w="720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No centralized tracking across courts → default orders against clients</w:t>
            </w:r>
          </w:p>
        </w:tc>
      </w:tr>
      <w:tr>
        <w:tc>
          <w:tcPr>
            <w:tcW w:type="dxa" w:w="288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Network Dead Zones</w:t>
            </w:r>
          </w:p>
        </w:tc>
        <w:tc>
          <w:tcPr>
            <w:tcW w:type="dxa" w:w="720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Courtrooms have zero connectivity → cloud-dependent apps fail</w:t>
            </w:r>
          </w:p>
        </w:tc>
      </w:tr>
      <w:tr>
        <w:tc>
          <w:tcPr>
            <w:tcW w:type="dxa" w:w="288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Fragmented Tools</w:t>
            </w:r>
          </w:p>
        </w:tc>
        <w:tc>
          <w:tcPr>
            <w:tcW w:type="dxa" w:w="720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Case data scattered across 5-6 apps and paper systems</w:t>
            </w:r>
          </w:p>
        </w:tc>
      </w:tr>
      <w:tr>
        <w:tc>
          <w:tcPr>
            <w:tcW w:type="dxa" w:w="288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Evidence Integrity</w:t>
            </w:r>
          </w:p>
        </w:tc>
        <w:tc>
          <w:tcPr>
            <w:tcW w:type="dxa" w:w="720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No digital chain-of-custody → evidence easily challenged</w:t>
            </w:r>
          </w:p>
        </w:tc>
      </w:tr>
      <w:tr>
        <w:tc>
          <w:tcPr>
            <w:tcW w:type="dxa" w:w="288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Research Bottleneck</w:t>
            </w:r>
          </w:p>
        </w:tc>
        <w:tc>
          <w:tcPr>
            <w:tcW w:type="dxa" w:w="720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Manual legal research takes 2-4 hours per case</w:t>
            </w:r>
          </w:p>
        </w:tc>
      </w:tr>
    </w:tbl>
    <w:p>
      <w:pPr>
        <w:spacing w:after="80"/>
      </w:pPr>
    </w:p>
    <w:p>
      <w:pPr>
        <w:spacing w:before="120" w:after="120"/>
        <w:ind w:left="288"/>
        <w:pBdr>
          <w:left w:val="single" w:sz="18" w:color="2563EB" w:space="8"/>
        </w:pBdr>
        <w:shd w:fill="EFF6FF" w:val="clear"/>
      </w:pPr>
      <w:r>
        <w:rPr>
          <w:rFonts w:ascii="Calibri" w:hAnsi="Calibri"/>
          <w:i/>
          <w:color w:val="334155"/>
          <w:sz w:val="20"/>
        </w:rPr>
        <w:t>Market Opportunity: India's legal tech market is projected to reach $2.2B by 2028 (NASSCOM). CaseFlow targets the largest underserved segment — individual practitioners and small firms (85% of all advocates).</w:t>
      </w:r>
    </w:p>
    <w:p>
      <w:pPr>
        <w:spacing w:before="360" w:after="160"/>
      </w:pPr>
      <w:r>
        <w:rPr>
          <w:rFonts w:ascii="Calibri" w:hAnsi="Calibri"/>
          <w:b/>
          <w:color w:val="2563EB"/>
          <w:sz w:val="32"/>
        </w:rPr>
        <w:t xml:space="preserve">03. </w:t>
      </w:r>
      <w:r>
        <w:rPr>
          <w:rFonts w:ascii="Calibri" w:hAnsi="Calibri"/>
          <w:b/>
          <w:color w:val="0F172A"/>
          <w:sz w:val="32"/>
        </w:rPr>
        <w:t>Core Product Modules</w:t>
      </w:r>
    </w:p>
    <w:p>
      <w:pPr>
        <w:spacing w:after="80" w:before="0"/>
        <w:pBdr>
          <w:bottom w:val="single" w:sz="6" w:color="2563EB" w:space="1"/>
        </w:pBdr>
      </w:pPr>
    </w:p>
    <w:p>
      <w:pPr>
        <w:spacing w:before="200" w:after="80"/>
      </w:pPr>
      <w:r>
        <w:rPr>
          <w:rFonts w:ascii="Calibri" w:hAnsi="Calibri"/>
          <w:b/>
          <w:color w:val="312E81"/>
          <w:sz w:val="24"/>
        </w:rPr>
        <w:t>Case &amp; Dossier Management</w:t>
      </w:r>
    </w:p>
    <w:p>
      <w:pPr>
        <w:pStyle w:val="ListBullet"/>
        <w:spacing w:after="40" w:before="20"/>
      </w:pPr>
      <w:r>
        <w:rPr>
          <w:rFonts w:ascii="Calibri" w:hAnsi="Calibri"/>
          <w:color w:val="334155"/>
          <w:sz w:val="20"/>
        </w:rPr>
        <w:t>CNR-linked case creation with full lifecycle tracking (Filing → Evidence → Arguments → Judgment)</w:t>
      </w:r>
    </w:p>
    <w:p>
      <w:pPr>
        <w:pStyle w:val="ListBullet"/>
        <w:spacing w:after="40" w:before="20"/>
      </w:pPr>
      <w:r>
        <w:rPr>
          <w:rFonts w:ascii="Calibri" w:hAnsi="Calibri"/>
          <w:color w:val="334155"/>
          <w:sz w:val="20"/>
        </w:rPr>
        <w:t>Case collaboration across firm members with role-based access</w:t>
      </w:r>
    </w:p>
    <w:p>
      <w:pPr>
        <w:pStyle w:val="ListBullet"/>
        <w:spacing w:after="40" w:before="20"/>
      </w:pPr>
      <w:r>
        <w:rPr>
          <w:rFonts w:ascii="Calibri" w:hAnsi="Calibri"/>
          <w:color w:val="334155"/>
          <w:sz w:val="20"/>
        </w:rPr>
        <w:t>Sub-modules: Bare Acts, Interim Applications, Interim Orders with PDF preview</w:t>
      </w:r>
    </w:p>
    <w:p>
      <w:pPr>
        <w:pStyle w:val="ListBullet"/>
        <w:spacing w:after="40" w:before="20"/>
      </w:pPr>
      <w:r>
        <w:rPr>
          <w:rFonts w:ascii="Calibri" w:hAnsi="Calibri"/>
          <w:color w:val="334155"/>
          <w:sz w:val="20"/>
        </w:rPr>
        <w:t>Audit trails with soft-delete mechanisms</w:t>
      </w:r>
    </w:p>
    <w:p>
      <w:pPr>
        <w:spacing w:before="200" w:after="80"/>
      </w:pPr>
      <w:r>
        <w:rPr>
          <w:rFonts w:ascii="Calibri" w:hAnsi="Calibri"/>
          <w:b/>
          <w:color w:val="312E81"/>
          <w:sz w:val="24"/>
        </w:rPr>
        <w:t>Court Hearing Calendar &amp; Daily Board</w:t>
      </w:r>
    </w:p>
    <w:p>
      <w:pPr>
        <w:pStyle w:val="ListBullet"/>
        <w:spacing w:after="40" w:before="20"/>
      </w:pPr>
      <w:r>
        <w:rPr>
          <w:rFonts w:ascii="Calibri" w:hAnsi="Calibri"/>
          <w:color w:val="334155"/>
          <w:sz w:val="20"/>
        </w:rPr>
        <w:t>Date-aware calendar grouped by judicial forum (High Court, District Court, Tribunals)</w:t>
      </w:r>
    </w:p>
    <w:p>
      <w:pPr>
        <w:pStyle w:val="ListBullet"/>
        <w:spacing w:after="40" w:before="20"/>
      </w:pPr>
      <w:r>
        <w:rPr>
          <w:rFonts w:ascii="Calibri" w:hAnsi="Calibri"/>
          <w:color w:val="334155"/>
          <w:sz w:val="20"/>
        </w:rPr>
        <w:t>1-tap adjournment workflow with reason tracking and next-date logging</w:t>
      </w:r>
    </w:p>
    <w:p>
      <w:pPr>
        <w:pStyle w:val="ListBullet"/>
        <w:spacing w:after="40" w:before="20"/>
      </w:pPr>
      <w:r>
        <w:rPr>
          <w:rFonts w:ascii="Calibri" w:hAnsi="Calibri"/>
          <w:color w:val="334155"/>
          <w:sz w:val="20"/>
        </w:rPr>
        <w:t>Real-time Daily Board widget with hearing status flags</w:t>
      </w:r>
    </w:p>
    <w:p>
      <w:pPr>
        <w:pStyle w:val="ListBullet"/>
        <w:spacing w:after="40" w:before="20"/>
      </w:pPr>
      <w:r>
        <w:rPr>
          <w:rFonts w:ascii="Calibri" w:hAnsi="Calibri"/>
          <w:color w:val="334155"/>
          <w:sz w:val="20"/>
        </w:rPr>
        <w:t>Automated FCM push reminders via serverless cron job</w:t>
      </w:r>
    </w:p>
    <w:p>
      <w:pPr>
        <w:spacing w:before="200" w:after="80"/>
      </w:pPr>
      <w:r>
        <w:rPr>
          <w:rFonts w:ascii="Calibri" w:hAnsi="Calibri"/>
          <w:b/>
          <w:color w:val="312E81"/>
          <w:sz w:val="24"/>
        </w:rPr>
        <w:t>Financial Ledger &amp; ePay</w:t>
      </w:r>
    </w:p>
    <w:p>
      <w:pPr>
        <w:pStyle w:val="ListBullet"/>
        <w:spacing w:after="40" w:before="20"/>
      </w:pPr>
      <w:r>
        <w:rPr>
          <w:rFonts w:ascii="Calibri" w:hAnsi="Calibri"/>
          <w:color w:val="334155"/>
          <w:sz w:val="20"/>
        </w:rPr>
        <w:t>Itemized fee agreements, installments, and expense tracking per case</w:t>
      </w:r>
    </w:p>
    <w:p>
      <w:pPr>
        <w:pStyle w:val="ListBullet"/>
        <w:spacing w:after="40" w:before="20"/>
      </w:pPr>
      <w:r>
        <w:rPr>
          <w:rFonts w:ascii="Calibri" w:hAnsi="Calibri"/>
          <w:color w:val="334155"/>
          <w:sz w:val="20"/>
        </w:rPr>
        <w:t>Auto-generated branded PDF receipts with QR verification</w:t>
      </w:r>
    </w:p>
    <w:p>
      <w:pPr>
        <w:pStyle w:val="ListBullet"/>
        <w:spacing w:after="40" w:before="20"/>
      </w:pPr>
      <w:r>
        <w:rPr>
          <w:rFonts w:ascii="Calibri" w:hAnsi="Calibri"/>
          <w:color w:val="334155"/>
          <w:sz w:val="20"/>
        </w:rPr>
        <w:t>Court fee ePay integration with smart payment capture</w:t>
      </w:r>
    </w:p>
    <w:p>
      <w:pPr>
        <w:spacing w:before="200" w:after="80"/>
      </w:pPr>
      <w:r>
        <w:rPr>
          <w:rFonts w:ascii="Calibri" w:hAnsi="Calibri"/>
          <w:b/>
          <w:color w:val="312E81"/>
          <w:sz w:val="24"/>
        </w:rPr>
        <w:t>Evidence Lab &amp; Commissioner Module</w:t>
      </w:r>
    </w:p>
    <w:p>
      <w:pPr>
        <w:pStyle w:val="ListBullet"/>
        <w:spacing w:after="40" w:before="20"/>
      </w:pPr>
      <w:r>
        <w:rPr>
          <w:rFonts w:ascii="Calibri" w:hAnsi="Calibri"/>
          <w:color w:val="334155"/>
          <w:sz w:val="20"/>
        </w:rPr>
        <w:t>GPS geotagged + timestamped evidence photos with SHA-256 cryptographic hashing</w:t>
      </w:r>
    </w:p>
    <w:p>
      <w:pPr>
        <w:pStyle w:val="ListBullet"/>
        <w:spacing w:after="40" w:before="20"/>
      </w:pPr>
      <w:r>
        <w:rPr>
          <w:rFonts w:ascii="Calibri" w:hAnsi="Calibri"/>
          <w:color w:val="334155"/>
          <w:sz w:val="20"/>
        </w:rPr>
        <w:t>Commissioner toolkit: field visit logs, canvas sketch, witness audio</w:t>
      </w:r>
    </w:p>
    <w:p>
      <w:pPr>
        <w:pStyle w:val="ListBullet"/>
        <w:spacing w:after="40" w:before="20"/>
      </w:pPr>
      <w:r>
        <w:rPr>
          <w:rFonts w:ascii="Calibri" w:hAnsi="Calibri"/>
          <w:color w:val="334155"/>
          <w:sz w:val="20"/>
        </w:rPr>
        <w:t>Full report generator with chain-of-custody verification</w:t>
      </w:r>
    </w:p>
    <w:p>
      <w:pPr>
        <w:spacing w:before="200" w:after="80"/>
      </w:pPr>
      <w:r>
        <w:rPr>
          <w:rFonts w:ascii="Calibri" w:hAnsi="Calibri"/>
          <w:b/>
          <w:color w:val="312E81"/>
          <w:sz w:val="24"/>
        </w:rPr>
        <w:t>AI Legal Assistant (Gemini 2.0 Flash)</w:t>
      </w:r>
    </w:p>
    <w:p>
      <w:pPr>
        <w:pStyle w:val="ListBullet"/>
        <w:spacing w:after="40" w:before="20"/>
      </w:pPr>
      <w:r>
        <w:rPr>
          <w:rFonts w:ascii="Calibri" w:hAnsi="Calibri"/>
          <w:color w:val="334155"/>
          <w:sz w:val="20"/>
        </w:rPr>
        <w:t>Natural language Q&amp;A across BNS, BNSS, BSA, CPC, Constitution</w:t>
      </w:r>
    </w:p>
    <w:p>
      <w:pPr>
        <w:pStyle w:val="ListBullet"/>
        <w:spacing w:after="40" w:before="20"/>
      </w:pPr>
      <w:r>
        <w:rPr>
          <w:rFonts w:ascii="Calibri" w:hAnsi="Calibri"/>
          <w:color w:val="334155"/>
          <w:sz w:val="20"/>
        </w:rPr>
        <w:t>Zero client-side API key exposure — all calls via secure Edge Functions</w:t>
      </w:r>
    </w:p>
    <w:p>
      <w:pPr>
        <w:pStyle w:val="ListBullet"/>
        <w:spacing w:after="40" w:before="20"/>
      </w:pPr>
      <w:r>
        <w:rPr>
          <w:rFonts w:ascii="Calibri" w:hAnsi="Calibri"/>
          <w:color w:val="334155"/>
          <w:sz w:val="20"/>
        </w:rPr>
        <w:t>Context-aware case research and draft generation</w:t>
      </w:r>
    </w:p>
    <w:p>
      <w:pPr>
        <w:spacing w:before="200" w:after="80"/>
      </w:pPr>
      <w:r>
        <w:rPr>
          <w:rFonts w:ascii="Calibri" w:hAnsi="Calibri"/>
          <w:b/>
          <w:color w:val="312E81"/>
          <w:sz w:val="24"/>
        </w:rPr>
        <w:t>Legal Library &amp; Calculators</w:t>
      </w:r>
    </w:p>
    <w:p>
      <w:pPr>
        <w:pStyle w:val="ListBullet"/>
        <w:spacing w:after="40" w:before="20"/>
      </w:pPr>
      <w:r>
        <w:rPr>
          <w:rFonts w:ascii="Calibri" w:hAnsi="Calibri"/>
          <w:color w:val="334155"/>
          <w:sz w:val="20"/>
        </w:rPr>
        <w:t>Full searchable text of 9 Indian statutes</w:t>
      </w:r>
    </w:p>
    <w:p>
      <w:pPr>
        <w:pStyle w:val="ListBullet"/>
        <w:spacing w:after="40" w:before="20"/>
      </w:pPr>
      <w:r>
        <w:rPr>
          <w:rFonts w:ascii="Calibri" w:hAnsi="Calibri"/>
          <w:color w:val="334155"/>
          <w:sz w:val="20"/>
        </w:rPr>
        <w:t>8 interactive calculators: Court Fee, Stamp Duty, Limitation, MACT, Maintenance, Partition, Interest, Delay</w:t>
      </w:r>
    </w:p>
    <w:p>
      <w:pPr>
        <w:spacing w:before="200" w:after="80"/>
      </w:pPr>
      <w:r>
        <w:rPr>
          <w:rFonts w:ascii="Calibri" w:hAnsi="Calibri"/>
          <w:b/>
          <w:color w:val="312E81"/>
          <w:sz w:val="24"/>
        </w:rPr>
        <w:t>Communication Suite</w:t>
      </w:r>
    </w:p>
    <w:p>
      <w:pPr>
        <w:pStyle w:val="ListBullet"/>
        <w:spacing w:after="40" w:before="20"/>
      </w:pPr>
      <w:r>
        <w:rPr>
          <w:rFonts w:ascii="Calibri" w:hAnsi="Calibri"/>
          <w:color w:val="334155"/>
          <w:sz w:val="20"/>
        </w:rPr>
        <w:t>Chambers Chat: Real-time firm-wide messaging (WebSockets)</w:t>
      </w:r>
    </w:p>
    <w:p>
      <w:pPr>
        <w:pStyle w:val="ListBullet"/>
        <w:spacing w:after="40" w:before="20"/>
      </w:pPr>
      <w:r>
        <w:rPr>
          <w:rFonts w:ascii="Calibri" w:hAnsi="Calibri"/>
          <w:color w:val="334155"/>
          <w:sz w:val="20"/>
        </w:rPr>
        <w:t>Direct Messages: Advocate-to-advocate chat with attachments</w:t>
      </w:r>
    </w:p>
    <w:p>
      <w:pPr>
        <w:pStyle w:val="ListBullet"/>
        <w:spacing w:after="40" w:before="20"/>
      </w:pPr>
      <w:r>
        <w:rPr>
          <w:rFonts w:ascii="Calibri" w:hAnsi="Calibri"/>
          <w:color w:val="334155"/>
          <w:sz w:val="20"/>
        </w:rPr>
        <w:t>Broadcast System: Push notices to all firm members</w:t>
      </w:r>
    </w:p>
    <w:p>
      <w:pPr>
        <w:spacing w:before="200" w:after="80"/>
      </w:pPr>
      <w:r>
        <w:rPr>
          <w:rFonts w:ascii="Calibri" w:hAnsi="Calibri"/>
          <w:b/>
          <w:color w:val="312E81"/>
          <w:sz w:val="24"/>
        </w:rPr>
        <w:t>Bar Association Platform (BarDesk)</w:t>
      </w:r>
    </w:p>
    <w:p>
      <w:pPr>
        <w:pStyle w:val="ListBullet"/>
        <w:spacing w:after="40" w:before="20"/>
      </w:pPr>
      <w:r>
        <w:rPr>
          <w:rFonts w:ascii="Calibri" w:hAnsi="Calibri"/>
          <w:color w:val="334155"/>
          <w:sz w:val="20"/>
        </w:rPr>
        <w:t>Digital membership cards with QR verification</w:t>
      </w:r>
    </w:p>
    <w:p>
      <w:pPr>
        <w:pStyle w:val="ListBullet"/>
        <w:spacing w:after="40" w:before="20"/>
      </w:pPr>
      <w:r>
        <w:rPr>
          <w:rFonts w:ascii="Calibri" w:hAnsi="Calibri"/>
          <w:color w:val="334155"/>
          <w:sz w:val="20"/>
        </w:rPr>
        <w:t>Election nominee voting, public notices, event management</w:t>
      </w:r>
    </w:p>
    <w:p>
      <w:pPr>
        <w:spacing w:before="200" w:after="80"/>
      </w:pPr>
      <w:r>
        <w:rPr>
          <w:rFonts w:ascii="Calibri" w:hAnsi="Calibri"/>
          <w:b/>
          <w:color w:val="312E81"/>
          <w:sz w:val="24"/>
        </w:rPr>
        <w:t>Citizen Portal</w:t>
      </w:r>
    </w:p>
    <w:p>
      <w:pPr>
        <w:pStyle w:val="ListBullet"/>
        <w:spacing w:after="40" w:before="20"/>
      </w:pPr>
      <w:r>
        <w:rPr>
          <w:rFonts w:ascii="Calibri" w:hAnsi="Calibri"/>
          <w:color w:val="334155"/>
          <w:sz w:val="20"/>
        </w:rPr>
        <w:t>Case status tracking for litigants</w:t>
      </w:r>
    </w:p>
    <w:p>
      <w:pPr>
        <w:pStyle w:val="ListBullet"/>
        <w:spacing w:after="40" w:before="20"/>
      </w:pPr>
      <w:r>
        <w:rPr>
          <w:rFonts w:ascii="Calibri" w:hAnsi="Calibri"/>
          <w:color w:val="334155"/>
          <w:sz w:val="20"/>
        </w:rPr>
        <w:t>Know Your Rights guide and legal tools access</w:t>
      </w:r>
    </w:p>
    <w:p>
      <w:pPr>
        <w:spacing w:before="360" w:after="160"/>
      </w:pPr>
      <w:r>
        <w:rPr>
          <w:rFonts w:ascii="Calibri" w:hAnsi="Calibri"/>
          <w:b/>
          <w:color w:val="2563EB"/>
          <w:sz w:val="32"/>
        </w:rPr>
        <w:t xml:space="preserve">04. </w:t>
      </w:r>
      <w:r>
        <w:rPr>
          <w:rFonts w:ascii="Calibri" w:hAnsi="Calibri"/>
          <w:b/>
          <w:color w:val="0F172A"/>
          <w:sz w:val="32"/>
        </w:rPr>
        <w:t>Technology Stack</w:t>
      </w:r>
    </w:p>
    <w:p>
      <w:pPr>
        <w:spacing w:after="80" w:before="0"/>
        <w:pBdr>
          <w:bottom w:val="single" w:sz="6" w:color="2563EB" w:space="1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304"/>
            <w:shd w:fill="1E293B" w:val="clear"/>
            <w:tcBorders>
              <w:top w:val="single" w:sz="4" w:color="1E293B"/>
              <w:left w:val="single" w:sz="4" w:color="1E293B"/>
              <w:bottom w:val="single" w:sz="4" w:color="1E293B"/>
              <w:right w:val="single" w:sz="4" w:color="1E293B"/>
            </w:tcBorders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Layer</w:t>
            </w:r>
          </w:p>
        </w:tc>
        <w:tc>
          <w:tcPr>
            <w:tcW w:type="dxa" w:w="3456"/>
            <w:shd w:fill="1E293B" w:val="clear"/>
            <w:tcBorders>
              <w:top w:val="single" w:sz="4" w:color="1E293B"/>
              <w:left w:val="single" w:sz="4" w:color="1E293B"/>
              <w:bottom w:val="single" w:sz="4" w:color="1E293B"/>
              <w:right w:val="single" w:sz="4" w:color="1E293B"/>
            </w:tcBorders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Technology</w:t>
            </w:r>
          </w:p>
        </w:tc>
        <w:tc>
          <w:tcPr>
            <w:tcW w:type="dxa" w:w="4320"/>
            <w:shd w:fill="1E293B" w:val="clear"/>
            <w:tcBorders>
              <w:top w:val="single" w:sz="4" w:color="1E293B"/>
              <w:left w:val="single" w:sz="4" w:color="1E293B"/>
              <w:bottom w:val="single" w:sz="4" w:color="1E293B"/>
              <w:right w:val="single" w:sz="4" w:color="1E293B"/>
            </w:tcBorders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Rationale</w:t>
            </w:r>
          </w:p>
        </w:tc>
      </w:tr>
      <w:tr>
        <w:tc>
          <w:tcPr>
            <w:tcW w:type="dxa" w:w="2304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Mobile</w:t>
            </w:r>
          </w:p>
        </w:tc>
        <w:tc>
          <w:tcPr>
            <w:tcW w:type="dxa" w:w="345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Flutter 3.29 / Dart 3.7</w:t>
            </w:r>
          </w:p>
        </w:tc>
        <w:tc>
          <w:tcPr>
            <w:tcW w:type="dxa" w:w="432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Single codebase, 60 FPS native performance</w:t>
            </w:r>
          </w:p>
        </w:tc>
      </w:tr>
      <w:tr>
        <w:tc>
          <w:tcPr>
            <w:tcW w:type="dxa" w:w="2304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State Management</w:t>
            </w:r>
          </w:p>
        </w:tc>
        <w:tc>
          <w:tcPr>
            <w:tcW w:type="dxa" w:w="345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Riverpod</w:t>
            </w:r>
          </w:p>
        </w:tc>
        <w:tc>
          <w:tcPr>
            <w:tcW w:type="dxa" w:w="432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Type-safe, testable, compile-time checked</w:t>
            </w:r>
          </w:p>
        </w:tc>
      </w:tr>
      <w:tr>
        <w:tc>
          <w:tcPr>
            <w:tcW w:type="dxa" w:w="2304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Routing</w:t>
            </w:r>
          </w:p>
        </w:tc>
        <w:tc>
          <w:tcPr>
            <w:tcW w:type="dxa" w:w="345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GoRouter 14.x</w:t>
            </w:r>
          </w:p>
        </w:tc>
        <w:tc>
          <w:tcPr>
            <w:tcW w:type="dxa" w:w="432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Declarative navigation with auth guards</w:t>
            </w:r>
          </w:p>
        </w:tc>
      </w:tr>
      <w:tr>
        <w:tc>
          <w:tcPr>
            <w:tcW w:type="dxa" w:w="2304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Offline Database</w:t>
            </w:r>
          </w:p>
        </w:tc>
        <w:tc>
          <w:tcPr>
            <w:tcW w:type="dxa" w:w="345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SQLite (sqflite)</w:t>
            </w:r>
          </w:p>
        </w:tc>
        <w:tc>
          <w:tcPr>
            <w:tcW w:type="dxa" w:w="432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Full offline case/hearing/client access</w:t>
            </w:r>
          </w:p>
        </w:tc>
      </w:tr>
      <w:tr>
        <w:tc>
          <w:tcPr>
            <w:tcW w:type="dxa" w:w="2304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Backend</w:t>
            </w:r>
          </w:p>
        </w:tc>
        <w:tc>
          <w:tcPr>
            <w:tcW w:type="dxa" w:w="345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Supabase (PostgreSQL 15)</w:t>
            </w:r>
          </w:p>
        </w:tc>
        <w:tc>
          <w:tcPr>
            <w:tcW w:type="dxa" w:w="432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Managed infra, built-in RLS, auth, realtime</w:t>
            </w:r>
          </w:p>
        </w:tc>
      </w:tr>
      <w:tr>
        <w:tc>
          <w:tcPr>
            <w:tcW w:type="dxa" w:w="2304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Authentication</w:t>
            </w:r>
          </w:p>
        </w:tc>
        <w:tc>
          <w:tcPr>
            <w:tcW w:type="dxa" w:w="345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PKCE + JWT + OAuth 2.0</w:t>
            </w:r>
          </w:p>
        </w:tc>
        <w:tc>
          <w:tcPr>
            <w:tcW w:type="dxa" w:w="432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Industry-standard, refresh token rotation</w:t>
            </w:r>
          </w:p>
        </w:tc>
      </w:tr>
      <w:tr>
        <w:tc>
          <w:tcPr>
            <w:tcW w:type="dxa" w:w="2304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AI Engine</w:t>
            </w:r>
          </w:p>
        </w:tc>
        <w:tc>
          <w:tcPr>
            <w:tcW w:type="dxa" w:w="345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Google Gemini 2.0 Flash</w:t>
            </w:r>
          </w:p>
        </w:tc>
        <w:tc>
          <w:tcPr>
            <w:tcW w:type="dxa" w:w="432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Low-latency legal NLP via server-side proxy</w:t>
            </w:r>
          </w:p>
        </w:tc>
      </w:tr>
      <w:tr>
        <w:tc>
          <w:tcPr>
            <w:tcW w:type="dxa" w:w="2304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PDF Engine</w:t>
            </w:r>
          </w:p>
        </w:tc>
        <w:tc>
          <w:tcPr>
            <w:tcW w:type="dxa" w:w="345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iLovePDF API (proxied)</w:t>
            </w:r>
          </w:p>
        </w:tc>
        <w:tc>
          <w:tcPr>
            <w:tcW w:type="dxa" w:w="432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Compress, merge, convert, OCR</w:t>
            </w:r>
          </w:p>
        </w:tc>
      </w:tr>
      <w:tr>
        <w:tc>
          <w:tcPr>
            <w:tcW w:type="dxa" w:w="2304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Object Storage</w:t>
            </w:r>
          </w:p>
        </w:tc>
        <w:tc>
          <w:tcPr>
            <w:tcW w:type="dxa" w:w="345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Cloudflare R2</w:t>
            </w:r>
          </w:p>
        </w:tc>
        <w:tc>
          <w:tcPr>
            <w:tcW w:type="dxa" w:w="432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S3-compatible, zero egress cost</w:t>
            </w:r>
          </w:p>
        </w:tc>
      </w:tr>
      <w:tr>
        <w:tc>
          <w:tcPr>
            <w:tcW w:type="dxa" w:w="2304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Push Notifications</w:t>
            </w:r>
          </w:p>
        </w:tc>
        <w:tc>
          <w:tcPr>
            <w:tcW w:type="dxa" w:w="345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Firebase Cloud Messaging</w:t>
            </w:r>
          </w:p>
        </w:tc>
        <w:tc>
          <w:tcPr>
            <w:tcW w:type="dxa" w:w="432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V1 HTTP API with topic routing</w:t>
            </w:r>
          </w:p>
        </w:tc>
      </w:tr>
      <w:tr>
        <w:tc>
          <w:tcPr>
            <w:tcW w:type="dxa" w:w="2304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CI/CD</w:t>
            </w:r>
          </w:p>
        </w:tc>
        <w:tc>
          <w:tcPr>
            <w:tcW w:type="dxa" w:w="345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GitHub Actions</w:t>
            </w:r>
          </w:p>
        </w:tc>
        <w:tc>
          <w:tcPr>
            <w:tcW w:type="dxa" w:w="432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Auto-build signed APK on every push</w:t>
            </w:r>
          </w:p>
        </w:tc>
      </w:tr>
      <w:tr>
        <w:tc>
          <w:tcPr>
            <w:tcW w:type="dxa" w:w="2304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Responsive UI</w:t>
            </w:r>
          </w:p>
        </w:tc>
        <w:tc>
          <w:tcPr>
            <w:tcW w:type="dxa" w:w="345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flutter_screenutil</w:t>
            </w:r>
          </w:p>
        </w:tc>
        <w:tc>
          <w:tcPr>
            <w:tcW w:type="dxa" w:w="432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390×844 baseline, tested 320dp–430dp+</w:t>
            </w:r>
          </w:p>
        </w:tc>
      </w:tr>
    </w:tbl>
    <w:p>
      <w:pPr>
        <w:spacing w:after="80"/>
      </w:pPr>
    </w:p>
    <w:p>
      <w:pPr>
        <w:spacing w:before="360" w:after="160"/>
      </w:pPr>
      <w:r>
        <w:rPr>
          <w:rFonts w:ascii="Calibri" w:hAnsi="Calibri"/>
          <w:b/>
          <w:color w:val="2563EB"/>
          <w:sz w:val="32"/>
        </w:rPr>
        <w:t xml:space="preserve">05. </w:t>
      </w:r>
      <w:r>
        <w:rPr>
          <w:rFonts w:ascii="Calibri" w:hAnsi="Calibri"/>
          <w:b/>
          <w:color w:val="0F172A"/>
          <w:sz w:val="32"/>
        </w:rPr>
        <w:t>System Architecture</w:t>
      </w:r>
    </w:p>
    <w:p>
      <w:pPr>
        <w:spacing w:after="80" w:before="0"/>
        <w:pBdr>
          <w:bottom w:val="single" w:sz="6" w:color="2563EB" w:space="1"/>
        </w:pBdr>
      </w:pPr>
    </w:p>
    <w:p>
      <w:pPr>
        <w:spacing w:after="200" w:before="0"/>
      </w:pPr>
      <w:r>
        <w:rPr>
          <w:rFonts w:ascii="Calibri" w:hAnsi="Calibri"/>
          <w:b w:val="0"/>
          <w:i w:val="0"/>
          <w:color w:val="334155"/>
          <w:sz w:val="21"/>
        </w:rPr>
        <w:t>CaseFlow employs a Distributed Client-Server &amp; Edge Architecture. The client is a reactive Flutter application with Riverpod state management and SQLite offline storage. The backend leverages Supabase (PostgreSQL, Realtime, Auth) with Deno Edge Functions and Cloudflare R2.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304"/>
            <w:shd w:fill="1E293B" w:val="clear"/>
            <w:tcBorders>
              <w:top w:val="single" w:sz="4" w:color="1E293B"/>
              <w:left w:val="single" w:sz="4" w:color="1E293B"/>
              <w:bottom w:val="single" w:sz="4" w:color="1E293B"/>
              <w:right w:val="single" w:sz="4" w:color="1E293B"/>
            </w:tcBorders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Layer</w:t>
            </w:r>
          </w:p>
        </w:tc>
        <w:tc>
          <w:tcPr>
            <w:tcW w:type="dxa" w:w="3456"/>
            <w:shd w:fill="1E293B" w:val="clear"/>
            <w:tcBorders>
              <w:top w:val="single" w:sz="4" w:color="1E293B"/>
              <w:left w:val="single" w:sz="4" w:color="1E293B"/>
              <w:bottom w:val="single" w:sz="4" w:color="1E293B"/>
              <w:right w:val="single" w:sz="4" w:color="1E293B"/>
            </w:tcBorders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Components</w:t>
            </w:r>
          </w:p>
        </w:tc>
        <w:tc>
          <w:tcPr>
            <w:tcW w:type="dxa" w:w="4320"/>
            <w:shd w:fill="1E293B" w:val="clear"/>
            <w:tcBorders>
              <w:top w:val="single" w:sz="4" w:color="1E293B"/>
              <w:left w:val="single" w:sz="4" w:color="1E293B"/>
              <w:bottom w:val="single" w:sz="4" w:color="1E293B"/>
              <w:right w:val="single" w:sz="4" w:color="1E293B"/>
            </w:tcBorders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Responsibilities</w:t>
            </w:r>
          </w:p>
        </w:tc>
      </w:tr>
      <w:tr>
        <w:tc>
          <w:tcPr>
            <w:tcW w:type="dxa" w:w="2304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Client (Mobile)</w:t>
            </w:r>
          </w:p>
        </w:tc>
        <w:tc>
          <w:tcPr>
            <w:tcW w:type="dxa" w:w="345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Flutter 3.29 · Riverpod · SQLite</w:t>
            </w:r>
          </w:p>
        </w:tc>
        <w:tc>
          <w:tcPr>
            <w:tcW w:type="dxa" w:w="432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UI rendering, offline caching, state management</w:t>
            </w:r>
          </w:p>
        </w:tc>
      </w:tr>
      <w:tr>
        <w:tc>
          <w:tcPr>
            <w:tcW w:type="dxa" w:w="2304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Client (Web)</w:t>
            </w:r>
          </w:p>
        </w:tc>
        <w:tc>
          <w:tcPr>
            <w:tcW w:type="dxa" w:w="345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React 18 · Vite</w:t>
            </w:r>
          </w:p>
        </w:tc>
        <w:tc>
          <w:tcPr>
            <w:tcW w:type="dxa" w:w="432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Admin dashboard, analytics, firm management</w:t>
            </w:r>
          </w:p>
        </w:tc>
      </w:tr>
      <w:tr>
        <w:tc>
          <w:tcPr>
            <w:tcW w:type="dxa" w:w="2304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API Gateway</w:t>
            </w:r>
          </w:p>
        </w:tc>
        <w:tc>
          <w:tcPr>
            <w:tcW w:type="dxa" w:w="345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Supabase PostgREST · Realtime</w:t>
            </w:r>
          </w:p>
        </w:tc>
        <w:tc>
          <w:tcPr>
            <w:tcW w:type="dxa" w:w="432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REST APIs, WebSocket streams, auth middleware</w:t>
            </w:r>
          </w:p>
        </w:tc>
      </w:tr>
      <w:tr>
        <w:tc>
          <w:tcPr>
            <w:tcW w:type="dxa" w:w="2304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Database</w:t>
            </w:r>
          </w:p>
        </w:tc>
        <w:tc>
          <w:tcPr>
            <w:tcW w:type="dxa" w:w="345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PostgreSQL 15 · RLS</w:t>
            </w:r>
          </w:p>
        </w:tc>
        <w:tc>
          <w:tcPr>
            <w:tcW w:type="dxa" w:w="432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Data persistence, row-level security enforcement</w:t>
            </w:r>
          </w:p>
        </w:tc>
      </w:tr>
      <w:tr>
        <w:tc>
          <w:tcPr>
            <w:tcW w:type="dxa" w:w="2304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Edge Functions</w:t>
            </w:r>
          </w:p>
        </w:tc>
        <w:tc>
          <w:tcPr>
            <w:tcW w:type="dxa" w:w="345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Deno Serverless (3 functions)</w:t>
            </w:r>
          </w:p>
        </w:tc>
        <w:tc>
          <w:tcPr>
            <w:tcW w:type="dxa" w:w="432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Gemini proxy, PDF proxy, FCM cron</w:t>
            </w:r>
          </w:p>
        </w:tc>
      </w:tr>
      <w:tr>
        <w:tc>
          <w:tcPr>
            <w:tcW w:type="dxa" w:w="2304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Storage</w:t>
            </w:r>
          </w:p>
        </w:tc>
        <w:tc>
          <w:tcPr>
            <w:tcW w:type="dxa" w:w="345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Cloudflare R2 + Supabase Storage</w:t>
            </w:r>
          </w:p>
        </w:tc>
        <w:tc>
          <w:tcPr>
            <w:tcW w:type="dxa" w:w="432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Documents, evidence photos, chat attachments</w:t>
            </w:r>
          </w:p>
        </w:tc>
      </w:tr>
      <w:tr>
        <w:tc>
          <w:tcPr>
            <w:tcW w:type="dxa" w:w="2304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Notifications</w:t>
            </w:r>
          </w:p>
        </w:tc>
        <w:tc>
          <w:tcPr>
            <w:tcW w:type="dxa" w:w="345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Firebase Cloud Messaging</w:t>
            </w:r>
          </w:p>
        </w:tc>
        <w:tc>
          <w:tcPr>
            <w:tcW w:type="dxa" w:w="432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Push reminders, hearing alerts, DM notifications</w:t>
            </w:r>
          </w:p>
        </w:tc>
      </w:tr>
    </w:tbl>
    <w:p>
      <w:pPr>
        <w:spacing w:after="80"/>
      </w:pPr>
    </w:p>
    <w:p>
      <w:pPr>
        <w:spacing w:before="360" w:after="160"/>
      </w:pPr>
      <w:r>
        <w:rPr>
          <w:rFonts w:ascii="Calibri" w:hAnsi="Calibri"/>
          <w:b/>
          <w:color w:val="2563EB"/>
          <w:sz w:val="32"/>
        </w:rPr>
        <w:t xml:space="preserve">06. </w:t>
      </w:r>
      <w:r>
        <w:rPr>
          <w:rFonts w:ascii="Calibri" w:hAnsi="Calibri"/>
          <w:b/>
          <w:color w:val="0F172A"/>
          <w:sz w:val="32"/>
        </w:rPr>
        <w:t>Security &amp; Compliance</w:t>
      </w:r>
    </w:p>
    <w:p>
      <w:pPr>
        <w:spacing w:after="80" w:before="0"/>
        <w:pBdr>
          <w:bottom w:val="single" w:sz="6" w:color="2563EB" w:space="1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600"/>
            <w:shd w:fill="1E293B" w:val="clear"/>
            <w:tcBorders>
              <w:top w:val="single" w:sz="4" w:color="1E293B"/>
              <w:left w:val="single" w:sz="4" w:color="1E293B"/>
              <w:bottom w:val="single" w:sz="4" w:color="1E293B"/>
              <w:right w:val="single" w:sz="4" w:color="1E293B"/>
            </w:tcBorders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Security Feature</w:t>
            </w:r>
          </w:p>
        </w:tc>
        <w:tc>
          <w:tcPr>
            <w:tcW w:type="dxa" w:w="6480"/>
            <w:shd w:fill="1E293B" w:val="clear"/>
            <w:tcBorders>
              <w:top w:val="single" w:sz="4" w:color="1E293B"/>
              <w:left w:val="single" w:sz="4" w:color="1E293B"/>
              <w:bottom w:val="single" w:sz="4" w:color="1E293B"/>
              <w:right w:val="single" w:sz="4" w:color="1E293B"/>
            </w:tcBorders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Implementation</w:t>
            </w:r>
          </w:p>
        </w:tc>
      </w:tr>
      <w:tr>
        <w:tc>
          <w:tcPr>
            <w:tcW w:type="dxa" w:w="360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Row Level Security (RLS)</w:t>
            </w:r>
          </w:p>
        </w:tc>
        <w:tc>
          <w:tcPr>
            <w:tcW w:type="dxa" w:w="648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Enforced on 100% of database tables</w:t>
            </w:r>
          </w:p>
        </w:tc>
      </w:tr>
      <w:tr>
        <w:tc>
          <w:tcPr>
            <w:tcW w:type="dxa" w:w="360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API Key Isolation</w:t>
            </w:r>
          </w:p>
        </w:tc>
        <w:tc>
          <w:tcPr>
            <w:tcW w:type="dxa" w:w="648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Gemini &amp; PDF keys stored as Edge Function secrets — never in client binary</w:t>
            </w:r>
          </w:p>
        </w:tc>
      </w:tr>
      <w:tr>
        <w:tc>
          <w:tcPr>
            <w:tcW w:type="dxa" w:w="360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Evidence Integrity</w:t>
            </w:r>
          </w:p>
        </w:tc>
        <w:tc>
          <w:tcPr>
            <w:tcW w:type="dxa" w:w="648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SHA-256 cryptographic hashing on all evidence photos</w:t>
            </w:r>
          </w:p>
        </w:tc>
      </w:tr>
      <w:tr>
        <w:tc>
          <w:tcPr>
            <w:tcW w:type="dxa" w:w="360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Authentication</w:t>
            </w:r>
          </w:p>
        </w:tc>
        <w:tc>
          <w:tcPr>
            <w:tcW w:type="dxa" w:w="648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PKCE flow with refresh token rotation</w:t>
            </w:r>
          </w:p>
        </w:tc>
      </w:tr>
      <w:tr>
        <w:tc>
          <w:tcPr>
            <w:tcW w:type="dxa" w:w="360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Data Isolation</w:t>
            </w:r>
          </w:p>
        </w:tc>
        <w:tc>
          <w:tcPr>
            <w:tcW w:type="dxa" w:w="648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Firm-visibility OR-filter — users see only own + firm data</w:t>
            </w:r>
          </w:p>
        </w:tc>
      </w:tr>
      <w:tr>
        <w:tc>
          <w:tcPr>
            <w:tcW w:type="dxa" w:w="360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Encrypted Storage</w:t>
            </w:r>
          </w:p>
        </w:tc>
        <w:tc>
          <w:tcPr>
            <w:tcW w:type="dxa" w:w="648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At-rest encryption on all backend storage</w:t>
            </w:r>
          </w:p>
        </w:tc>
      </w:tr>
      <w:tr>
        <w:tc>
          <w:tcPr>
            <w:tcW w:type="dxa" w:w="360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Audit Logging</w:t>
            </w:r>
          </w:p>
        </w:tc>
        <w:tc>
          <w:tcPr>
            <w:tcW w:type="dxa" w:w="648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Full operation audit trail with user attribution</w:t>
            </w:r>
          </w:p>
        </w:tc>
      </w:tr>
      <w:tr>
        <w:tc>
          <w:tcPr>
            <w:tcW w:type="dxa" w:w="360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Architecture</w:t>
            </w:r>
          </w:p>
        </w:tc>
        <w:tc>
          <w:tcPr>
            <w:tcW w:type="dxa" w:w="648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ISO/IEC 27001 compliant design patterns</w:t>
            </w:r>
          </w:p>
        </w:tc>
      </w:tr>
    </w:tbl>
    <w:p>
      <w:pPr>
        <w:spacing w:after="80"/>
      </w:pPr>
    </w:p>
    <w:p>
      <w:pPr>
        <w:spacing w:before="360" w:after="160"/>
      </w:pPr>
      <w:r>
        <w:rPr>
          <w:rFonts w:ascii="Calibri" w:hAnsi="Calibri"/>
          <w:b/>
          <w:color w:val="2563EB"/>
          <w:sz w:val="32"/>
        </w:rPr>
        <w:t xml:space="preserve">07. </w:t>
      </w:r>
      <w:r>
        <w:rPr>
          <w:rFonts w:ascii="Calibri" w:hAnsi="Calibri"/>
          <w:b/>
          <w:color w:val="0F172A"/>
          <w:sz w:val="32"/>
        </w:rPr>
        <w:t>Performance Benchmarks</w:t>
      </w:r>
    </w:p>
    <w:p>
      <w:pPr>
        <w:spacing w:after="80" w:before="0"/>
        <w:pBdr>
          <w:bottom w:val="single" w:sz="6" w:color="2563EB" w:space="1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592"/>
            <w:shd w:fill="1E293B" w:val="clear"/>
            <w:tcBorders>
              <w:top w:val="single" w:sz="4" w:color="1E293B"/>
              <w:left w:val="single" w:sz="4" w:color="1E293B"/>
              <w:bottom w:val="single" w:sz="4" w:color="1E293B"/>
              <w:right w:val="single" w:sz="4" w:color="1E293B"/>
            </w:tcBorders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fill="1E293B" w:val="clear"/>
            <w:tcBorders>
              <w:top w:val="single" w:sz="4" w:color="1E293B"/>
              <w:left w:val="single" w:sz="4" w:color="1E293B"/>
              <w:bottom w:val="single" w:sz="4" w:color="1E293B"/>
              <w:right w:val="single" w:sz="4" w:color="1E293B"/>
            </w:tcBorders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Target</w:t>
            </w:r>
          </w:p>
        </w:tc>
        <w:tc>
          <w:tcPr>
            <w:tcW w:type="dxa" w:w="5328"/>
            <w:shd w:fill="1E293B" w:val="clear"/>
            <w:tcBorders>
              <w:top w:val="single" w:sz="4" w:color="1E293B"/>
              <w:left w:val="single" w:sz="4" w:color="1E293B"/>
              <w:bottom w:val="single" w:sz="4" w:color="1E293B"/>
              <w:right w:val="single" w:sz="4" w:color="1E293B"/>
            </w:tcBorders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Implementation</w:t>
            </w:r>
          </w:p>
        </w:tc>
      </w:tr>
      <w:tr>
        <w:tc>
          <w:tcPr>
            <w:tcW w:type="dxa" w:w="2592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Cold Start</w:t>
            </w:r>
          </w:p>
        </w:tc>
        <w:tc>
          <w:tcPr>
            <w:tcW w:type="dxa" w:w="216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&lt; 2.0 seconds</w:t>
            </w:r>
          </w:p>
        </w:tc>
        <w:tc>
          <w:tcPr>
            <w:tcW w:type="dxa" w:w="5328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Riverpod lazy initialization</w:t>
            </w:r>
          </w:p>
        </w:tc>
      </w:tr>
      <w:tr>
        <w:tc>
          <w:tcPr>
            <w:tcW w:type="dxa" w:w="2592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Screen Navigation</w:t>
            </w:r>
          </w:p>
        </w:tc>
        <w:tc>
          <w:tcPr>
            <w:tcW w:type="dxa" w:w="216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&lt; 100ms</w:t>
            </w:r>
          </w:p>
        </w:tc>
        <w:tc>
          <w:tcPr>
            <w:tcW w:type="dxa" w:w="5328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State caching + pre-built routes</w:t>
            </w:r>
          </w:p>
        </w:tc>
      </w:tr>
      <w:tr>
        <w:tc>
          <w:tcPr>
            <w:tcW w:type="dxa" w:w="2592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Scroll Performance</w:t>
            </w:r>
          </w:p>
        </w:tc>
        <w:tc>
          <w:tcPr>
            <w:tcW w:type="dxa" w:w="216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60 FPS</w:t>
            </w:r>
          </w:p>
        </w:tc>
        <w:tc>
          <w:tcPr>
            <w:tcW w:type="dxa" w:w="5328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Paginated lists, cached network images</w:t>
            </w:r>
          </w:p>
        </w:tc>
      </w:tr>
      <w:tr>
        <w:tc>
          <w:tcPr>
            <w:tcW w:type="dxa" w:w="2592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Dashboard Load</w:t>
            </w:r>
          </w:p>
        </w:tc>
        <w:tc>
          <w:tcPr>
            <w:tcW w:type="dxa" w:w="216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~3× faster</w:t>
            </w:r>
          </w:p>
        </w:tc>
        <w:tc>
          <w:tcPr>
            <w:tcW w:type="dxa" w:w="5328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Future.wait() parallel stat queries</w:t>
            </w:r>
          </w:p>
        </w:tc>
      </w:tr>
      <w:tr>
        <w:tc>
          <w:tcPr>
            <w:tcW w:type="dxa" w:w="2592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Offline Access</w:t>
            </w:r>
          </w:p>
        </w:tc>
        <w:tc>
          <w:tcPr>
            <w:tcW w:type="dxa" w:w="216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100% reads</w:t>
            </w:r>
          </w:p>
        </w:tc>
        <w:tc>
          <w:tcPr>
            <w:tcW w:type="dxa" w:w="5328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SQLite-backed complete offline mode</w:t>
            </w:r>
          </w:p>
        </w:tc>
      </w:tr>
      <w:tr>
        <w:tc>
          <w:tcPr>
            <w:tcW w:type="dxa" w:w="2592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Push Delivery</w:t>
            </w:r>
          </w:p>
        </w:tc>
        <w:tc>
          <w:tcPr>
            <w:tcW w:type="dxa" w:w="216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&lt; 5 seconds</w:t>
            </w:r>
          </w:p>
        </w:tc>
        <w:tc>
          <w:tcPr>
            <w:tcW w:type="dxa" w:w="5328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FCM V1 HTTP API + topic routing</w:t>
            </w:r>
          </w:p>
        </w:tc>
      </w:tr>
      <w:tr>
        <w:tc>
          <w:tcPr>
            <w:tcW w:type="dxa" w:w="2592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Uptime</w:t>
            </w:r>
          </w:p>
        </w:tc>
        <w:tc>
          <w:tcPr>
            <w:tcW w:type="dxa" w:w="216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99.9%</w:t>
            </w:r>
          </w:p>
        </w:tc>
        <w:tc>
          <w:tcPr>
            <w:tcW w:type="dxa" w:w="5328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Supabase managed + Cloudflare edge</w:t>
            </w:r>
          </w:p>
        </w:tc>
      </w:tr>
    </w:tbl>
    <w:p>
      <w:pPr>
        <w:spacing w:after="80"/>
      </w:pPr>
    </w:p>
    <w:p>
      <w:pPr>
        <w:spacing w:before="360" w:after="160"/>
      </w:pPr>
      <w:r>
        <w:rPr>
          <w:rFonts w:ascii="Calibri" w:hAnsi="Calibri"/>
          <w:b/>
          <w:color w:val="2563EB"/>
          <w:sz w:val="32"/>
        </w:rPr>
        <w:t xml:space="preserve">08. </w:t>
      </w:r>
      <w:r>
        <w:rPr>
          <w:rFonts w:ascii="Calibri" w:hAnsi="Calibri"/>
          <w:b/>
          <w:color w:val="0F172A"/>
          <w:sz w:val="32"/>
        </w:rPr>
        <w:t>User Personas &amp; Market Fit</w:t>
      </w:r>
    </w:p>
    <w:p>
      <w:pPr>
        <w:spacing w:after="80" w:before="0"/>
        <w:pBdr>
          <w:bottom w:val="single" w:sz="6" w:color="2563EB" w:space="1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880"/>
            <w:shd w:fill="1E293B" w:val="clear"/>
            <w:tcBorders>
              <w:top w:val="single" w:sz="4" w:color="1E293B"/>
              <w:left w:val="single" w:sz="4" w:color="1E293B"/>
              <w:bottom w:val="single" w:sz="4" w:color="1E293B"/>
              <w:right w:val="single" w:sz="4" w:color="1E293B"/>
            </w:tcBorders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Persona</w:t>
            </w:r>
          </w:p>
        </w:tc>
        <w:tc>
          <w:tcPr>
            <w:tcW w:type="dxa" w:w="3600"/>
            <w:shd w:fill="1E293B" w:val="clear"/>
            <w:tcBorders>
              <w:top w:val="single" w:sz="4" w:color="1E293B"/>
              <w:left w:val="single" w:sz="4" w:color="1E293B"/>
              <w:bottom w:val="single" w:sz="4" w:color="1E293B"/>
              <w:right w:val="single" w:sz="4" w:color="1E293B"/>
            </w:tcBorders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Pain Points Solved</w:t>
            </w:r>
          </w:p>
        </w:tc>
        <w:tc>
          <w:tcPr>
            <w:tcW w:type="dxa" w:w="3600"/>
            <w:shd w:fill="1E293B" w:val="clear"/>
            <w:tcBorders>
              <w:top w:val="single" w:sz="4" w:color="1E293B"/>
              <w:left w:val="single" w:sz="4" w:color="1E293B"/>
              <w:bottom w:val="single" w:sz="4" w:color="1E293B"/>
              <w:right w:val="single" w:sz="4" w:color="1E293B"/>
            </w:tcBorders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Success Metrics</w:t>
            </w:r>
          </w:p>
        </w:tc>
      </w:tr>
      <w:tr>
        <w:tc>
          <w:tcPr>
            <w:tcW w:type="dxa" w:w="288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Senior Advocate / Partner</w:t>
            </w:r>
          </w:p>
        </w:tc>
        <w:tc>
          <w:tcPr>
            <w:tcW w:type="dxa" w:w="360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Firm oversight, revenue tracking</w:t>
            </w:r>
          </w:p>
        </w:tc>
        <w:tc>
          <w:tcPr>
            <w:tcW w:type="dxa" w:w="360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&lt; 2s daily oversight per case</w:t>
            </w:r>
          </w:p>
        </w:tc>
      </w:tr>
      <w:tr>
        <w:tc>
          <w:tcPr>
            <w:tcW w:type="dxa" w:w="288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Junior Advocate</w:t>
            </w:r>
          </w:p>
        </w:tc>
        <w:tc>
          <w:tcPr>
            <w:tcW w:type="dxa" w:w="360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Research bottleneck, court diary chaos</w:t>
            </w:r>
          </w:p>
        </w:tc>
        <w:tc>
          <w:tcPr>
            <w:tcW w:type="dxa" w:w="360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50% faster research &amp; drafting</w:t>
            </w:r>
          </w:p>
        </w:tc>
      </w:tr>
      <w:tr>
        <w:tc>
          <w:tcPr>
            <w:tcW w:type="dxa" w:w="288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Court Clerk / Assistant</w:t>
            </w:r>
          </w:p>
        </w:tc>
        <w:tc>
          <w:tcPr>
            <w:tcW w:type="dxa" w:w="360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Filing deadlines, document management</w:t>
            </w:r>
          </w:p>
        </w:tc>
        <w:tc>
          <w:tcPr>
            <w:tcW w:type="dxa" w:w="360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0 missed filing deadlines</w:t>
            </w:r>
          </w:p>
        </w:tc>
      </w:tr>
      <w:tr>
        <w:tc>
          <w:tcPr>
            <w:tcW w:type="dxa" w:w="288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Citizen Litigant</w:t>
            </w:r>
          </w:p>
        </w:tc>
        <w:tc>
          <w:tcPr>
            <w:tcW w:type="dxa" w:w="360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Case opacity, legal awareness</w:t>
            </w:r>
          </w:p>
        </w:tc>
        <w:tc>
          <w:tcPr>
            <w:tcW w:type="dxa" w:w="360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Transparent real-time updates</w:t>
            </w:r>
          </w:p>
        </w:tc>
      </w:tr>
    </w:tbl>
    <w:p>
      <w:pPr>
        <w:spacing w:after="80"/>
      </w:pPr>
    </w:p>
    <w:p>
      <w:pPr>
        <w:spacing w:before="360" w:after="160"/>
      </w:pPr>
      <w:r>
        <w:rPr>
          <w:rFonts w:ascii="Calibri" w:hAnsi="Calibri"/>
          <w:b/>
          <w:color w:val="2563EB"/>
          <w:sz w:val="32"/>
        </w:rPr>
        <w:t xml:space="preserve">09. </w:t>
      </w:r>
      <w:r>
        <w:rPr>
          <w:rFonts w:ascii="Calibri" w:hAnsi="Calibri"/>
          <w:b/>
          <w:color w:val="0F172A"/>
          <w:sz w:val="32"/>
        </w:rPr>
        <w:t>Competitive Differentiation</w:t>
      </w:r>
    </w:p>
    <w:p>
      <w:pPr>
        <w:spacing w:after="80" w:before="0"/>
        <w:pBdr>
          <w:bottom w:val="single" w:sz="6" w:color="2563EB" w:space="1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880"/>
            <w:shd w:fill="1E293B" w:val="clear"/>
            <w:tcBorders>
              <w:top w:val="single" w:sz="4" w:color="1E293B"/>
              <w:left w:val="single" w:sz="4" w:color="1E293B"/>
              <w:bottom w:val="single" w:sz="4" w:color="1E293B"/>
              <w:right w:val="single" w:sz="4" w:color="1E293B"/>
            </w:tcBorders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Feature</w:t>
            </w:r>
          </w:p>
        </w:tc>
        <w:tc>
          <w:tcPr>
            <w:tcW w:type="dxa" w:w="4032"/>
            <w:shd w:fill="1E293B" w:val="clear"/>
            <w:tcBorders>
              <w:top w:val="single" w:sz="4" w:color="1E293B"/>
              <w:left w:val="single" w:sz="4" w:color="1E293B"/>
              <w:bottom w:val="single" w:sz="4" w:color="1E293B"/>
              <w:right w:val="single" w:sz="4" w:color="1E293B"/>
            </w:tcBorders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CaseFlow</w:t>
            </w:r>
          </w:p>
        </w:tc>
        <w:tc>
          <w:tcPr>
            <w:tcW w:type="dxa" w:w="3168"/>
            <w:shd w:fill="1E293B" w:val="clear"/>
            <w:tcBorders>
              <w:top w:val="single" w:sz="4" w:color="1E293B"/>
              <w:left w:val="single" w:sz="4" w:color="1E293B"/>
              <w:bottom w:val="single" w:sz="4" w:color="1E293B"/>
              <w:right w:val="single" w:sz="4" w:color="1E293B"/>
            </w:tcBorders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Traditional Apps</w:t>
            </w:r>
          </w:p>
        </w:tc>
      </w:tr>
      <w:tr>
        <w:tc>
          <w:tcPr>
            <w:tcW w:type="dxa" w:w="288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Offline-First</w:t>
            </w:r>
          </w:p>
        </w:tc>
        <w:tc>
          <w:tcPr>
            <w:tcW w:type="dxa" w:w="4032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✓ Full SQLite cache — works in court</w:t>
            </w:r>
          </w:p>
        </w:tc>
        <w:tc>
          <w:tcPr>
            <w:tcW w:type="dxa" w:w="3168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✗ Requires internet</w:t>
            </w:r>
          </w:p>
        </w:tc>
      </w:tr>
      <w:tr>
        <w:tc>
          <w:tcPr>
            <w:tcW w:type="dxa" w:w="288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AI Legal Research</w:t>
            </w:r>
          </w:p>
        </w:tc>
        <w:tc>
          <w:tcPr>
            <w:tcW w:type="dxa" w:w="4032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✓ Gemini 2.0 Flash with secure proxy</w:t>
            </w:r>
          </w:p>
        </w:tc>
        <w:tc>
          <w:tcPr>
            <w:tcW w:type="dxa" w:w="3168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✗ No AI integration</w:t>
            </w:r>
          </w:p>
        </w:tc>
      </w:tr>
      <w:tr>
        <w:tc>
          <w:tcPr>
            <w:tcW w:type="dxa" w:w="288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Evidence Hashing</w:t>
            </w:r>
          </w:p>
        </w:tc>
        <w:tc>
          <w:tcPr>
            <w:tcW w:type="dxa" w:w="4032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✓ SHA-256 chain-of-custody</w:t>
            </w:r>
          </w:p>
        </w:tc>
        <w:tc>
          <w:tcPr>
            <w:tcW w:type="dxa" w:w="3168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✗ No integrity verification</w:t>
            </w:r>
          </w:p>
        </w:tc>
      </w:tr>
      <w:tr>
        <w:tc>
          <w:tcPr>
            <w:tcW w:type="dxa" w:w="288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Real-time Chat</w:t>
            </w:r>
          </w:p>
        </w:tc>
        <w:tc>
          <w:tcPr>
            <w:tcW w:type="dxa" w:w="4032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✓ WebSocket chambers + DMs</w:t>
            </w:r>
          </w:p>
        </w:tc>
        <w:tc>
          <w:tcPr>
            <w:tcW w:type="dxa" w:w="3168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✗ Relies on WhatsApp</w:t>
            </w:r>
          </w:p>
        </w:tc>
      </w:tr>
      <w:tr>
        <w:tc>
          <w:tcPr>
            <w:tcW w:type="dxa" w:w="288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Bar Association</w:t>
            </w:r>
          </w:p>
        </w:tc>
        <w:tc>
          <w:tcPr>
            <w:tcW w:type="dxa" w:w="4032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✓ Full governance platform</w:t>
            </w:r>
          </w:p>
        </w:tc>
        <w:tc>
          <w:tcPr>
            <w:tcW w:type="dxa" w:w="3168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✗ Not covered</w:t>
            </w:r>
          </w:p>
        </w:tc>
      </w:tr>
      <w:tr>
        <w:tc>
          <w:tcPr>
            <w:tcW w:type="dxa" w:w="288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Citizen Portal</w:t>
            </w:r>
          </w:p>
        </w:tc>
        <w:tc>
          <w:tcPr>
            <w:tcW w:type="dxa" w:w="4032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✓ Case tracking + Know Your Rights</w:t>
            </w:r>
          </w:p>
        </w:tc>
        <w:tc>
          <w:tcPr>
            <w:tcW w:type="dxa" w:w="3168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✗ Advocate-only</w:t>
            </w:r>
          </w:p>
        </w:tc>
      </w:tr>
      <w:tr>
        <w:tc>
          <w:tcPr>
            <w:tcW w:type="dxa" w:w="288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Indian Legal Focus</w:t>
            </w:r>
          </w:p>
        </w:tc>
        <w:tc>
          <w:tcPr>
            <w:tcW w:type="dxa" w:w="4032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✓ BNS/BNSS/BSA/CPC native</w:t>
            </w:r>
          </w:p>
        </w:tc>
        <w:tc>
          <w:tcPr>
            <w:tcW w:type="dxa" w:w="3168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✗ Generic or Western-focused</w:t>
            </w:r>
          </w:p>
        </w:tc>
      </w:tr>
    </w:tbl>
    <w:p>
      <w:pPr>
        <w:spacing w:after="80"/>
      </w:pPr>
    </w:p>
    <w:p>
      <w:pPr>
        <w:spacing w:before="360" w:after="160"/>
      </w:pPr>
      <w:r>
        <w:rPr>
          <w:rFonts w:ascii="Calibri" w:hAnsi="Calibri"/>
          <w:b/>
          <w:color w:val="2563EB"/>
          <w:sz w:val="32"/>
        </w:rPr>
        <w:t xml:space="preserve">10. </w:t>
      </w:r>
      <w:r>
        <w:rPr>
          <w:rFonts w:ascii="Calibri" w:hAnsi="Calibri"/>
          <w:b/>
          <w:color w:val="0F172A"/>
          <w:sz w:val="32"/>
        </w:rPr>
        <w:t>Product Scale</w:t>
      </w:r>
    </w:p>
    <w:p>
      <w:pPr>
        <w:spacing w:after="80" w:before="0"/>
        <w:pBdr>
          <w:bottom w:val="single" w:sz="6" w:color="2563EB" w:space="1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shd w:fill="1E293B" w:val="clear"/>
            <w:tcBorders>
              <w:top w:val="single" w:sz="4" w:color="1E293B"/>
              <w:left w:val="single" w:sz="4" w:color="1E293B"/>
              <w:bottom w:val="single" w:sz="4" w:color="1E293B"/>
              <w:right w:val="single" w:sz="4" w:color="1E293B"/>
            </w:tcBorders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Dimension</w:t>
            </w:r>
          </w:p>
        </w:tc>
        <w:tc>
          <w:tcPr>
            <w:tcW w:type="dxa" w:w="7200"/>
            <w:shd w:fill="1E293B" w:val="clear"/>
            <w:tcBorders>
              <w:top w:val="single" w:sz="4" w:color="1E293B"/>
              <w:left w:val="single" w:sz="4" w:color="1E293B"/>
              <w:bottom w:val="single" w:sz="4" w:color="1E293B"/>
              <w:right w:val="single" w:sz="4" w:color="1E293B"/>
            </w:tcBorders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Current State</w:t>
            </w:r>
          </w:p>
        </w:tc>
      </w:tr>
      <w:tr>
        <w:tc>
          <w:tcPr>
            <w:tcW w:type="dxa" w:w="288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Codebase</w:t>
            </w:r>
          </w:p>
        </w:tc>
        <w:tc>
          <w:tcPr>
            <w:tcW w:type="dxa" w:w="720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80,000+ lines of production Dart/Flutter code</w:t>
            </w:r>
          </w:p>
        </w:tc>
      </w:tr>
      <w:tr>
        <w:tc>
          <w:tcPr>
            <w:tcW w:type="dxa" w:w="288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Screens</w:t>
            </w:r>
          </w:p>
        </w:tc>
        <w:tc>
          <w:tcPr>
            <w:tcW w:type="dxa" w:w="720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36 fully functional screens</w:t>
            </w:r>
          </w:p>
        </w:tc>
      </w:tr>
      <w:tr>
        <w:tc>
          <w:tcPr>
            <w:tcW w:type="dxa" w:w="288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Components</w:t>
            </w:r>
          </w:p>
        </w:tc>
        <w:tc>
          <w:tcPr>
            <w:tcW w:type="dxa" w:w="720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40+ reusable widget library</w:t>
            </w:r>
          </w:p>
        </w:tc>
      </w:tr>
      <w:tr>
        <w:tc>
          <w:tcPr>
            <w:tcW w:type="dxa" w:w="288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Database Tables</w:t>
            </w:r>
          </w:p>
        </w:tc>
        <w:tc>
          <w:tcPr>
            <w:tcW w:type="dxa" w:w="720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15+ with full RLS policies</w:t>
            </w:r>
          </w:p>
        </w:tc>
      </w:tr>
      <w:tr>
        <w:tc>
          <w:tcPr>
            <w:tcW w:type="dxa" w:w="288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Edge Functions</w:t>
            </w:r>
          </w:p>
        </w:tc>
        <w:tc>
          <w:tcPr>
            <w:tcW w:type="dxa" w:w="720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3 serverless functions (AI, PDF, Push)</w:t>
            </w:r>
          </w:p>
        </w:tc>
      </w:tr>
      <w:tr>
        <w:tc>
          <w:tcPr>
            <w:tcW w:type="dxa" w:w="288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Legal Content</w:t>
            </w:r>
          </w:p>
        </w:tc>
        <w:tc>
          <w:tcPr>
            <w:tcW w:type="dxa" w:w="720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9 Indian statutes fully digitized</w:t>
            </w:r>
          </w:p>
        </w:tc>
      </w:tr>
      <w:tr>
        <w:tc>
          <w:tcPr>
            <w:tcW w:type="dxa" w:w="288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Calculators</w:t>
            </w:r>
          </w:p>
        </w:tc>
        <w:tc>
          <w:tcPr>
            <w:tcW w:type="dxa" w:w="720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8 interactive legal calculators</w:t>
            </w:r>
          </w:p>
        </w:tc>
      </w:tr>
      <w:tr>
        <w:tc>
          <w:tcPr>
            <w:tcW w:type="dxa" w:w="288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CI/CD</w:t>
            </w:r>
          </w:p>
        </w:tc>
        <w:tc>
          <w:tcPr>
            <w:tcW w:type="dxa" w:w="720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Fully automated push-to-APK pipeline</w:t>
            </w:r>
          </w:p>
        </w:tc>
      </w:tr>
    </w:tbl>
    <w:p>
      <w:pPr>
        <w:spacing w:after="80"/>
      </w:pPr>
    </w:p>
    <w:p>
      <w:pPr>
        <w:spacing w:before="360" w:after="160"/>
      </w:pPr>
      <w:r>
        <w:rPr>
          <w:rFonts w:ascii="Calibri" w:hAnsi="Calibri"/>
          <w:b/>
          <w:color w:val="2563EB"/>
          <w:sz w:val="32"/>
        </w:rPr>
        <w:t xml:space="preserve">11. </w:t>
      </w:r>
      <w:r>
        <w:rPr>
          <w:rFonts w:ascii="Calibri" w:hAnsi="Calibri"/>
          <w:b/>
          <w:color w:val="0F172A"/>
          <w:sz w:val="32"/>
        </w:rPr>
        <w:t>Roadmap</w:t>
      </w:r>
    </w:p>
    <w:p>
      <w:pPr>
        <w:spacing w:after="80" w:before="0"/>
        <w:pBdr>
          <w:bottom w:val="single" w:sz="6" w:color="2563EB" w:space="1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160"/>
            <w:shd w:fill="1E293B" w:val="clear"/>
            <w:tcBorders>
              <w:top w:val="single" w:sz="4" w:color="1E293B"/>
              <w:left w:val="single" w:sz="4" w:color="1E293B"/>
              <w:bottom w:val="single" w:sz="4" w:color="1E293B"/>
              <w:right w:val="single" w:sz="4" w:color="1E293B"/>
            </w:tcBorders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Timeline</w:t>
            </w:r>
          </w:p>
        </w:tc>
        <w:tc>
          <w:tcPr>
            <w:tcW w:type="dxa" w:w="7920"/>
            <w:shd w:fill="1E293B" w:val="clear"/>
            <w:tcBorders>
              <w:top w:val="single" w:sz="4" w:color="1E293B"/>
              <w:left w:val="single" w:sz="4" w:color="1E293B"/>
              <w:bottom w:val="single" w:sz="4" w:color="1E293B"/>
              <w:right w:val="single" w:sz="4" w:color="1E293B"/>
            </w:tcBorders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Milestone</w:t>
            </w:r>
          </w:p>
        </w:tc>
      </w:tr>
      <w:tr>
        <w:tc>
          <w:tcPr>
            <w:tcW w:type="dxa" w:w="216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Q3 2026</w:t>
            </w:r>
          </w:p>
        </w:tc>
        <w:tc>
          <w:tcPr>
            <w:tcW w:type="dxa" w:w="792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Public Beta launch on Google Play Store</w:t>
            </w:r>
          </w:p>
        </w:tc>
      </w:tr>
      <w:tr>
        <w:tc>
          <w:tcPr>
            <w:tcW w:type="dxa" w:w="216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Q4 2026</w:t>
            </w:r>
          </w:p>
        </w:tc>
        <w:tc>
          <w:tcPr>
            <w:tcW w:type="dxa" w:w="792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Bar Association pilot programs (3–5 associations)</w:t>
            </w:r>
          </w:p>
        </w:tc>
      </w:tr>
      <w:tr>
        <w:tc>
          <w:tcPr>
            <w:tcW w:type="dxa" w:w="216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Q1 2027</w:t>
            </w:r>
          </w:p>
        </w:tc>
        <w:tc>
          <w:tcPr>
            <w:tcW w:type="dxa" w:w="792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iOS release, advanced analytics dashboard</w:t>
            </w:r>
          </w:p>
        </w:tc>
      </w:tr>
      <w:tr>
        <w:tc>
          <w:tcPr>
            <w:tcW w:type="dxa" w:w="216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Q2 2027</w:t>
            </w:r>
          </w:p>
        </w:tc>
        <w:tc>
          <w:tcPr>
            <w:tcW w:type="dxa" w:w="792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eCourts API deep integration, multi-language support</w:t>
            </w:r>
          </w:p>
        </w:tc>
      </w:tr>
      <w:tr>
        <w:tc>
          <w:tcPr>
            <w:tcW w:type="dxa" w:w="216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Q3 2027</w:t>
            </w:r>
          </w:p>
        </w:tc>
        <w:tc>
          <w:tcPr>
            <w:tcW w:type="dxa" w:w="792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SaaS monetization — Professional &amp; Enterprise tiers</w:t>
            </w:r>
          </w:p>
        </w:tc>
      </w:tr>
    </w:tbl>
    <w:p>
      <w:pPr>
        <w:spacing w:after="80"/>
      </w:pPr>
    </w:p>
    <w:p>
      <w:pPr>
        <w:spacing w:before="360" w:after="160"/>
      </w:pPr>
      <w:r>
        <w:rPr>
          <w:rFonts w:ascii="Calibri" w:hAnsi="Calibri"/>
          <w:b/>
          <w:color w:val="2563EB"/>
          <w:sz w:val="32"/>
        </w:rPr>
        <w:t xml:space="preserve">12. </w:t>
      </w:r>
      <w:r>
        <w:rPr>
          <w:rFonts w:ascii="Calibri" w:hAnsi="Calibri"/>
          <w:b/>
          <w:color w:val="0F172A"/>
          <w:sz w:val="32"/>
        </w:rPr>
        <w:t>Team &amp; Contact</w:t>
      </w:r>
    </w:p>
    <w:p>
      <w:pPr>
        <w:spacing w:after="80" w:before="0"/>
        <w:pBdr>
          <w:bottom w:val="single" w:sz="6" w:color="2563EB" w:space="1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600"/>
            <w:shd w:fill="1E293B" w:val="clear"/>
            <w:tcBorders>
              <w:top w:val="single" w:sz="4" w:color="1E293B"/>
              <w:left w:val="single" w:sz="4" w:color="1E293B"/>
              <w:bottom w:val="single" w:sz="4" w:color="1E293B"/>
              <w:right w:val="single" w:sz="4" w:color="1E293B"/>
            </w:tcBorders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6480"/>
            <w:shd w:fill="1E293B" w:val="clear"/>
            <w:tcBorders>
              <w:top w:val="single" w:sz="4" w:color="1E293B"/>
              <w:left w:val="single" w:sz="4" w:color="1E293B"/>
              <w:bottom w:val="single" w:sz="4" w:color="1E293B"/>
              <w:right w:val="single" w:sz="4" w:color="1E293B"/>
            </w:tcBorders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Name</w:t>
            </w:r>
          </w:p>
        </w:tc>
      </w:tr>
      <w:tr>
        <w:tc>
          <w:tcPr>
            <w:tcW w:type="dxa" w:w="360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Founder &amp; Lead Developer</w:t>
            </w:r>
          </w:p>
        </w:tc>
        <w:tc>
          <w:tcPr>
            <w:tcW w:type="dxa" w:w="648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Amjath</w:t>
            </w:r>
          </w:p>
        </w:tc>
      </w:tr>
      <w:tr>
        <w:tc>
          <w:tcPr>
            <w:tcW w:type="dxa" w:w="360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Mentored By</w:t>
            </w:r>
          </w:p>
        </w:tc>
        <w:tc>
          <w:tcPr>
            <w:tcW w:type="dxa" w:w="6480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Ananthan Ayyasamy</w:t>
            </w:r>
          </w:p>
        </w:tc>
      </w:tr>
    </w:tbl>
    <w:p>
      <w:pPr>
        <w:spacing w:after="80"/>
      </w:pPr>
    </w:p>
    <w:p>
      <w:pPr>
        <w:spacing w:after="120" w:before="120"/>
      </w:pPr>
      <w:r>
        <w:rPr>
          <w:rFonts w:ascii="Calibri" w:hAnsi="Calibri"/>
          <w:b w:val="0"/>
          <w:i w:val="0"/>
          <w:color w:val="2563EB"/>
          <w:sz w:val="20"/>
        </w:rPr>
        <w:t>Repository: github.com/AMJATH604/Caseflow_Final</w:t>
      </w:r>
    </w:p>
    <w:p>
      <w:pPr>
        <w:spacing w:before="360" w:after="160"/>
      </w:pPr>
      <w:r>
        <w:rPr>
          <w:rFonts w:ascii="Calibri" w:hAnsi="Calibri"/>
          <w:b/>
          <w:color w:val="2563EB"/>
          <w:sz w:val="32"/>
        </w:rPr>
        <w:t xml:space="preserve">A. </w:t>
      </w:r>
      <w:r>
        <w:rPr>
          <w:rFonts w:ascii="Calibri" w:hAnsi="Calibri"/>
          <w:b/>
          <w:color w:val="0F172A"/>
          <w:sz w:val="32"/>
        </w:rPr>
        <w:t>Appendix — Documentation Suite</w:t>
      </w:r>
    </w:p>
    <w:p>
      <w:pPr>
        <w:spacing w:after="80" w:before="0"/>
        <w:pBdr>
          <w:bottom w:val="single" w:sz="6" w:color="2563EB" w:space="1"/>
        </w:pBdr>
      </w:pPr>
    </w:p>
    <w:p>
      <w:pPr>
        <w:spacing w:after="160" w:before="0"/>
      </w:pPr>
      <w:r>
        <w:rPr>
          <w:rFonts w:ascii="Calibri" w:hAnsi="Calibri"/>
          <w:b w:val="0"/>
          <w:i w:val="0"/>
          <w:color w:val="334155"/>
          <w:sz w:val="21"/>
        </w:rPr>
        <w:t>For deep-dive technical details, the following documents are available on request: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576"/>
            <w:shd w:fill="1E293B" w:val="clear"/>
            <w:tcBorders>
              <w:top w:val="single" w:sz="4" w:color="1E293B"/>
              <w:left w:val="single" w:sz="4" w:color="1E293B"/>
              <w:bottom w:val="single" w:sz="4" w:color="1E293B"/>
              <w:right w:val="single" w:sz="4" w:color="1E293B"/>
            </w:tcBorders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4032"/>
            <w:shd w:fill="1E293B" w:val="clear"/>
            <w:tcBorders>
              <w:top w:val="single" w:sz="4" w:color="1E293B"/>
              <w:left w:val="single" w:sz="4" w:color="1E293B"/>
              <w:bottom w:val="single" w:sz="4" w:color="1E293B"/>
              <w:right w:val="single" w:sz="4" w:color="1E293B"/>
            </w:tcBorders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Document</w:t>
            </w:r>
          </w:p>
        </w:tc>
        <w:tc>
          <w:tcPr>
            <w:tcW w:type="dxa" w:w="5472"/>
            <w:shd w:fill="1E293B" w:val="clear"/>
            <w:tcBorders>
              <w:top w:val="single" w:sz="4" w:color="1E293B"/>
              <w:left w:val="single" w:sz="4" w:color="1E293B"/>
              <w:bottom w:val="single" w:sz="4" w:color="1E293B"/>
              <w:right w:val="single" w:sz="4" w:color="1E293B"/>
            </w:tcBorders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Contents</w:t>
            </w:r>
          </w:p>
        </w:tc>
      </w:tr>
      <w:tr>
        <w:tc>
          <w:tcPr>
            <w:tcW w:type="dxa" w:w="57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1</w:t>
            </w:r>
          </w:p>
        </w:tc>
        <w:tc>
          <w:tcPr>
            <w:tcW w:type="dxa" w:w="4032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Product Requirement Document (PRD)</w:t>
            </w:r>
          </w:p>
        </w:tc>
        <w:tc>
          <w:tcPr>
            <w:tcW w:type="dxa" w:w="5472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User personas, feature specs, RICE priority matrix</w:t>
            </w:r>
          </w:p>
        </w:tc>
      </w:tr>
      <w:tr>
        <w:tc>
          <w:tcPr>
            <w:tcW w:type="dxa" w:w="57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2</w:t>
            </w:r>
          </w:p>
        </w:tc>
        <w:tc>
          <w:tcPr>
            <w:tcW w:type="dxa" w:w="4032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Technical Requirement Document (TRD)</w:t>
            </w:r>
          </w:p>
        </w:tc>
        <w:tc>
          <w:tcPr>
            <w:tcW w:type="dxa" w:w="5472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System architecture, data flow, repository pattern</w:t>
            </w:r>
          </w:p>
        </w:tc>
      </w:tr>
      <w:tr>
        <w:tc>
          <w:tcPr>
            <w:tcW w:type="dxa" w:w="57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3</w:t>
            </w:r>
          </w:p>
        </w:tc>
        <w:tc>
          <w:tcPr>
            <w:tcW w:type="dxa" w:w="4032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App Flow &amp; UI/UX Design Brief</w:t>
            </w:r>
          </w:p>
        </w:tc>
        <w:tc>
          <w:tcPr>
            <w:tcW w:type="dxa" w:w="5472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Screen navigation, interaction patterns, design system</w:t>
            </w:r>
          </w:p>
        </w:tc>
      </w:tr>
      <w:tr>
        <w:tc>
          <w:tcPr>
            <w:tcW w:type="dxa" w:w="57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4</w:t>
            </w:r>
          </w:p>
        </w:tc>
        <w:tc>
          <w:tcPr>
            <w:tcW w:type="dxa" w:w="4032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Backend Schema Specification</w:t>
            </w:r>
          </w:p>
        </w:tc>
        <w:tc>
          <w:tcPr>
            <w:tcW w:type="dxa" w:w="5472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PostgreSQL tables, RLS policies, relationships</w:t>
            </w:r>
          </w:p>
        </w:tc>
      </w:tr>
      <w:tr>
        <w:tc>
          <w:tcPr>
            <w:tcW w:type="dxa" w:w="57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5</w:t>
            </w:r>
          </w:p>
        </w:tc>
        <w:tc>
          <w:tcPr>
            <w:tcW w:type="dxa" w:w="4032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Implementation Chronology</w:t>
            </w:r>
          </w:p>
        </w:tc>
        <w:tc>
          <w:tcPr>
            <w:tcW w:type="dxa" w:w="5472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Sprint-by-sprint build timeline</w:t>
            </w:r>
          </w:p>
        </w:tc>
      </w:tr>
      <w:tr>
        <w:tc>
          <w:tcPr>
            <w:tcW w:type="dxa" w:w="576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6</w:t>
            </w:r>
          </w:p>
        </w:tc>
        <w:tc>
          <w:tcPr>
            <w:tcW w:type="dxa" w:w="4032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README</w:t>
            </w:r>
          </w:p>
        </w:tc>
        <w:tc>
          <w:tcPr>
            <w:tcW w:type="dxa" w:w="5472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1F5F9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334155"/>
                <w:sz w:val="18"/>
              </w:rPr>
              <w:t>Quick start, tech stack, CI/CD pipeline</w:t>
            </w:r>
          </w:p>
        </w:tc>
      </w:tr>
    </w:tbl>
    <w:p>
      <w:pPr>
        <w:spacing w:after="80"/>
      </w:pPr>
    </w:p>
    <w:p>
      <w:pPr>
        <w:spacing w:after="400"/>
      </w:pPr>
    </w:p>
    <w:p>
      <w:pPr>
        <w:jc w:val="center"/>
      </w:pPr>
      <w:r>
        <w:rPr>
          <w:rFonts w:ascii="Calibri" w:hAnsi="Calibri"/>
          <w:b/>
          <w:color w:val="0F172A"/>
          <w:sz w:val="22"/>
        </w:rPr>
        <w:t>CaseFlow — The Operating System for Indian Legal Practice</w:t>
      </w:r>
    </w:p>
    <w:p>
      <w:pPr>
        <w:jc w:val="center"/>
      </w:pPr>
      <w:r>
        <w:rPr>
          <w:rFonts w:ascii="Calibri" w:hAnsi="Calibri"/>
          <w:i/>
          <w:color w:val="64748B"/>
          <w:sz w:val="18"/>
        </w:rPr>
        <w:t>Built with ❤ for the Indian legal community</w:t>
      </w:r>
    </w:p>
    <w:sectPr w:rsidR="00FC693F" w:rsidRPr="0006063C" w:rsidSect="00034616">
      <w:pgSz w:w="12240" w:h="15840"/>
      <w:pgMar w:top="864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