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F15A22"/>
          <w:sz w:val="56"/>
        </w:rPr>
        <w:t>UMAT to UMAT-OTI</w:t>
      </w:r>
    </w:p>
    <w:p>
      <w:r>
        <w:rPr>
          <w:color w:val="1A1A1A"/>
          <w:sz w:val="30"/>
        </w:rPr>
        <w:t>User Guide: how the tool works and how to use it</w:t>
      </w:r>
    </w:p>
    <w:p>
      <w:r>
        <w:rPr>
          <w:i/>
          <w:color w:val="606060"/>
          <w:sz w:val="20"/>
        </w:rPr>
        <w:t>Updated July 2026</w:t>
      </w:r>
    </w:p>
    <w:p/>
    <w:p>
      <w:pPr>
        <w:pStyle w:val="Heading1"/>
      </w:pPr>
      <w:r>
        <w:rPr>
          <w:color w:val="F15A22"/>
        </w:rPr>
        <w:t>1. What the tool does</w:t>
      </w:r>
    </w:p>
    <w:p>
      <w:r>
        <w:rPr>
          <w:b w:val="0"/>
        </w:rPr>
        <w:t>This tool takes an Abaqus UMAT and rewrites it so that it computes its consistent tangent, DDSDDE, exactly. It does this with OTI hyperdual automatic differentiation, so you never have to derive or hand code the Jacobian. The transformed UMAT gives the same stress as before and, in addition, an exact tangent.</w:t>
      </w:r>
    </w:p>
    <w:p>
      <w:r>
        <w:rPr>
          <w:b w:val="0"/>
        </w:rPr>
        <w:t>It works on:</w:t>
      </w:r>
    </w:p>
    <w:p>
      <w:pPr>
        <w:pStyle w:val="ListBullet"/>
      </w:pPr>
      <w:r>
        <w:t>Single file UMATs and UMATs split across many files.</w:t>
      </w:r>
    </w:p>
    <w:p>
      <w:pPr>
        <w:pStyle w:val="ListBullet"/>
      </w:pPr>
      <w:r>
        <w:t>Small strain UMATs, seeded on the strain increment DSTRAN.</w:t>
      </w:r>
    </w:p>
    <w:p>
      <w:pPr>
        <w:pStyle w:val="ListBullet"/>
      </w:pPr>
      <w:r>
        <w:t>Finite strain UMATs, seeded on the deformation gradient DFGRD1.</w:t>
      </w:r>
    </w:p>
    <w:p>
      <w:pPr>
        <w:pStyle w:val="ListBullet"/>
      </w:pPr>
      <w:r>
        <w:t>Higher order tangents, the second, third, and fourth derivatives, in a single run.</w:t>
      </w:r>
    </w:p>
    <w:p>
      <w:pPr>
        <w:pStyle w:val="Heading1"/>
      </w:pPr>
      <w:r>
        <w:rPr>
          <w:color w:val="F15A22"/>
        </w:rPr>
        <w:t>2. How to run it</w:t>
      </w:r>
    </w:p>
    <w:p>
      <w:r>
        <w:rPr>
          <w:b w:val="0"/>
        </w:rPr>
        <w:t>The easiest way is the single page interface. From the root of the project run:</w:t>
      </w:r>
    </w:p>
    <w:p>
      <w:pPr>
        <w:pStyle w:val="CodeBlock"/>
        <w:shd w:val="clear" w:fill="F0F0F0"/>
      </w:pPr>
      <w:r>
        <w:t>streamlit run engine_app.py</w:t>
      </w:r>
    </w:p>
    <w:p>
      <w:r>
        <w:rPr>
          <w:b w:val="0"/>
        </w:rPr>
        <w:t>Then open the address it prints, for example http://localhost:8501. You will see one page with an Input panel on the left and an Output panel on the right.</w:t>
      </w:r>
    </w:p>
    <w:p>
      <w:r>
        <w:rPr>
          <w:b w:val="0"/>
        </w:rPr>
        <w:t>A command line path is also available for batch runs and for advanced users who want to write the setup file by hand. That is covered in section 7.</w:t>
      </w:r>
    </w:p>
    <w:p>
      <w:pPr>
        <w:pStyle w:val="Heading1"/>
      </w:pPr>
      <w:r>
        <w:rPr>
          <w:color w:val="F15A22"/>
        </w:rPr>
        <w:t>3. The workflow, step by step</w:t>
      </w:r>
    </w:p>
    <w:p>
      <w:pPr>
        <w:pStyle w:val="ListNumber"/>
      </w:pPr>
      <w:r>
        <w:t>Paste or upload your UMAT source in the Input panel. This is the file that contains SUBROUTINE UMAT. If the UMAT uses other files, upload those in the dependency files box as well.</w:t>
      </w:r>
    </w:p>
    <w:p>
      <w:pPr>
        <w:pStyle w:val="ListNumber"/>
      </w:pPr>
      <w:r>
        <w:t>Check the fields the tool has filled in for you. Head routine is umat, the seed is set to Auto detect, and ntens is detected from your code and shown with the reason. In most cases you change nothing.</w:t>
      </w:r>
    </w:p>
    <w:p>
      <w:pPr>
        <w:pStyle w:val="ListNumber"/>
      </w:pPr>
      <w:r>
        <w:t>Press Transform. The Output panel shows the transformed UMAT, a Download button, and a short report.</w:t>
      </w:r>
    </w:p>
    <w:p>
      <w:pPr>
        <w:pStyle w:val="ListNumber"/>
      </w:pPr>
      <w:r>
        <w:t>Optional. Set the Abaqus command or path, choose a material test, and press Verify in Abaqus. The tool runs the original UMAT and the OTI UMAT and compares the resulting DDSDDE.</w:t>
      </w:r>
    </w:p>
    <w:p>
      <w:r>
        <w:rPr>
          <w:b w:val="0"/>
        </w:rPr>
        <w:t>Transform and Verify are separate buttons. You transform once, then you can verify whenever you want without transforming again.</w:t>
      </w:r>
    </w:p>
    <w:p>
      <w:pPr>
        <w:pStyle w:val="Heading1"/>
      </w:pPr>
      <w:r>
        <w:rPr>
          <w:color w:val="F15A22"/>
        </w:rPr>
        <w:t>4. What the tool figures out for you</w:t>
      </w:r>
    </w:p>
    <w:p>
      <w:r>
        <w:rPr>
          <w:b w:val="0"/>
        </w:rPr>
        <w:t>In the past the user wrote a long setup file, called the contract, by hand. Now the tool reads the source and fills it in. For a single file UMAT it writes the whole contract for you. For a multi file UMAT there is no contract at all.</w:t>
      </w:r>
    </w:p>
    <w:tbl>
      <w:tblPr>
        <w:tblStyle w:val="LightGrid-Accent1"/>
        <w:tblW w:type="auto" w:w="0"/>
        <w:tblLook w:firstColumn="1" w:firstRow="1" w:lastColumn="0" w:lastRow="0" w:noHBand="0" w:noVBand="1" w:val="04A0"/>
      </w:tblPr>
      <w:tblGrid>
        <w:gridCol w:w="4320"/>
        <w:gridCol w:w="4320"/>
      </w:tblGrid>
      <w:tr>
        <w:tc>
          <w:tcPr>
            <w:tcW w:type="dxa" w:w="3744"/>
          </w:tcPr>
          <w:p>
            <w:r>
              <w:rPr>
                <w:b/>
              </w:rPr>
              <w:t>Setup item</w:t>
            </w:r>
          </w:p>
        </w:tc>
        <w:tc>
          <w:tcPr>
            <w:tcW w:type="dxa" w:w="5616"/>
          </w:tcPr>
          <w:p>
            <w:r>
              <w:rPr>
                <w:b/>
              </w:rPr>
              <w:t>How the tool finds it</w:t>
            </w:r>
          </w:p>
        </w:tc>
      </w:tr>
      <w:tr>
        <w:tc>
          <w:tcPr>
            <w:tcW w:type="dxa" w:w="3744"/>
          </w:tcPr>
          <w:p>
            <w:r>
              <w:t>Seed variable</w:t>
            </w:r>
          </w:p>
        </w:tc>
        <w:tc>
          <w:tcPr>
            <w:tcW w:type="dxa" w:w="5616"/>
          </w:tcPr>
          <w:p>
            <w:r>
              <w:t>auto: DSTRAN for small strain, DFGRD1 for finite strain</w:t>
            </w:r>
          </w:p>
        </w:tc>
      </w:tr>
      <w:tr>
        <w:tc>
          <w:tcPr>
            <w:tcW w:type="dxa" w:w="3744"/>
          </w:tcPr>
          <w:p>
            <w:r>
              <w:t>ntens (directions)</w:t>
            </w:r>
          </w:p>
        </w:tc>
        <w:tc>
          <w:tcPr>
            <w:tcW w:type="dxa" w:w="5616"/>
          </w:tcPr>
          <w:p>
            <w:r>
              <w:t>auto, from the DDSDDE indices or the array sizes, shown with a reason</w:t>
            </w:r>
          </w:p>
        </w:tc>
      </w:tr>
      <w:tr>
        <w:tc>
          <w:tcPr>
            <w:tcW w:type="dxa" w:w="3744"/>
          </w:tcPr>
          <w:p>
            <w:r>
              <w:t>Variables to lift</w:t>
            </w:r>
          </w:p>
        </w:tc>
        <w:tc>
          <w:tcPr>
            <w:tcW w:type="dxa" w:w="5616"/>
          </w:tcPr>
          <w:p>
            <w:r>
              <w:t>auto, from the dataflow that runs from the seed to STRESS</w:t>
            </w:r>
          </w:p>
        </w:tc>
      </w:tr>
      <w:tr>
        <w:tc>
          <w:tcPr>
            <w:tcW w:type="dxa" w:w="3744"/>
          </w:tcPr>
          <w:p>
            <w:r>
              <w:t>DDSDDE line block</w:t>
            </w:r>
          </w:p>
        </w:tc>
        <w:tc>
          <w:tcPr>
            <w:tcW w:type="dxa" w:w="5616"/>
          </w:tcPr>
          <w:p>
            <w:r>
              <w:t>auto, from a scan of the source</w:t>
            </w:r>
          </w:p>
        </w:tc>
      </w:tr>
      <w:tr>
        <w:tc>
          <w:tcPr>
            <w:tcW w:type="dxa" w:w="3744"/>
          </w:tcPr>
          <w:p>
            <w:r>
              <w:t>Finite strain fix</w:t>
            </w:r>
          </w:p>
        </w:tc>
        <w:tc>
          <w:tcPr>
            <w:tcW w:type="dxa" w:w="5616"/>
          </w:tcPr>
          <w:p>
            <w:r>
              <w:t>auto: the seed_dfgrd1 correction is applied when needed</w:t>
            </w:r>
          </w:p>
        </w:tc>
      </w:tr>
    </w:tbl>
    <w:p/>
    <w:p>
      <w:r>
        <w:rPr>
          <w:b w:val="0"/>
        </w:rPr>
        <w:t>You can still override any field before pressing Transform, for example if your analysis uses a different number of directions than the source suggests.</w:t>
      </w:r>
    </w:p>
    <w:p>
      <w:pPr>
        <w:pStyle w:val="Heading1"/>
      </w:pPr>
      <w:r>
        <w:rPr>
          <w:color w:val="F15A22"/>
        </w:rPr>
        <w:t>5. Single file and multi file UMATs</w:t>
      </w:r>
    </w:p>
    <w:p>
      <w:pPr>
        <w:pStyle w:val="Heading2"/>
      </w:pPr>
      <w:r>
        <w:rPr>
          <w:color w:val="1F3864"/>
        </w:rPr>
        <w:t>Single file</w:t>
      </w:r>
    </w:p>
    <w:p>
      <w:r>
        <w:rPr>
          <w:b w:val="0"/>
        </w:rPr>
        <w:t>Paste the file and press Transform. The tool builds the contract from a scan and runs the original pipeline. This path is verified in Abaqus and is the most robust.</w:t>
      </w:r>
    </w:p>
    <w:p>
      <w:pPr>
        <w:pStyle w:val="Heading2"/>
      </w:pPr>
      <w:r>
        <w:rPr>
          <w:color w:val="1F3864"/>
        </w:rPr>
        <w:t>Multi file</w:t>
      </w:r>
    </w:p>
    <w:p>
      <w:r>
        <w:rPr>
          <w:b w:val="0"/>
        </w:rPr>
        <w:t>Upload the head file, the one with SUBROUTINE UMAT, in the source box, and upload every file it depends on in the dependency files box. This includes shared utility modules that live outside the model folder. The tool then follows the USE statements, keeps the code the UMAT reaches, converts it to OTI, detects the seed, and writes one combined file.</w:t>
      </w:r>
    </w:p>
    <w:p>
      <w:r>
        <w:rPr>
          <w:b w:val="0"/>
        </w:rPr>
        <w:t>If a multi file transform reports that it cannot open a module, the fix is to add that module file to the dependency uploads. The tool cannot invent a file it was not given.</w:t>
      </w:r>
    </w:p>
    <w:p>
      <w:pPr>
        <w:pStyle w:val="Heading1"/>
      </w:pPr>
      <w:r>
        <w:rPr>
          <w:color w:val="F15A22"/>
        </w:rPr>
        <w:t>6. Verifying in Abaqus</w:t>
      </w:r>
    </w:p>
    <w:p>
      <w:r>
        <w:rPr>
          <w:b w:val="0"/>
        </w:rPr>
        <w:t>The Verify in Abaqus button compiles and runs both the original UMAT and the OTI UMAT on a single element, then compares the two tangents. The Abaqus command is a field, so the tool works on any machine: type abaqus, or abq2023, or a full path.</w:t>
      </w:r>
    </w:p>
    <w:p>
      <w:r>
        <w:rPr>
          <w:b w:val="0"/>
        </w:rPr>
        <w:t>The result shows the two DDSDDE matrices side by side and whether they match. Agreement is to single precision, because Abaqus stores state variable output in single precision and the tangent is read back through state variables. The underlying OTI computation is double precision.</w:t>
      </w:r>
    </w:p>
    <w:p>
      <w:pPr>
        <w:pStyle w:val="Heading1"/>
      </w:pPr>
      <w:r>
        <w:rPr>
          <w:color w:val="F15A22"/>
        </w:rPr>
        <w:t>7. The optional AI assist</w:t>
      </w:r>
    </w:p>
    <w:p>
      <w:r>
        <w:rPr>
          <w:b w:val="0"/>
        </w:rPr>
        <w:t>A small language model can help in two places: it suggests a role when a variable name is genuinely ambiguous, and it proposes a fix when the generated code does not compile. The model only suggests. Every suggestion is checked by compiling the result and comparing the numbers, so a wrong suggestion is thrown away and the normal result is kept.</w:t>
      </w:r>
    </w:p>
    <w:p>
      <w:r>
        <w:rPr>
          <w:b w:val="0"/>
        </w:rPr>
        <w:t>The model runs fully offline on the local GPU, through Ollama. If it is not installed, the tool runs the deterministic path with no loss of correctness. The AI can make hard cases faster, but it can never make the answer wrong.</w:t>
      </w:r>
    </w:p>
    <w:p>
      <w:pPr>
        <w:pStyle w:val="Heading1"/>
      </w:pPr>
      <w:r>
        <w:rPr>
          <w:color w:val="F15A22"/>
        </w:rPr>
        <w:t>8. Advanced: the JSON contract by hand</w:t>
      </w:r>
    </w:p>
    <w:p>
      <w:r>
        <w:rPr>
          <w:b w:val="0"/>
        </w:rPr>
        <w:t>You normally never write this. The interface generates it for you. For batch runs or fine tuning, a single file UMAT can still be driven by a JSON contract from the command line:</w:t>
      </w:r>
    </w:p>
    <w:p>
      <w:pPr>
        <w:pStyle w:val="CodeBlock"/>
        <w:shd w:val="clear" w:fill="F0F0F0"/>
      </w:pPr>
      <w:r>
        <w:t>python3 transform_from_json.py user_jsons/my_umat.json \</w:t>
      </w:r>
    </w:p>
    <w:p>
      <w:pPr>
        <w:pStyle w:val="CodeBlock"/>
        <w:shd w:val="clear" w:fill="F0F0F0"/>
      </w:pPr>
      <w:r>
        <w:t xml:space="preserve">    --out umat_oti_workspace/my_umat</w:t>
      </w:r>
    </w:p>
    <w:p>
      <w:r>
        <w:rPr>
          <w:b w:val="0"/>
        </w:rPr>
        <w:t>A minimal contract needs only the Jacobian and the sizes; the tool derives the rest:</w:t>
      </w:r>
    </w:p>
    <w:p>
      <w:pPr>
        <w:pStyle w:val="CodeBlock"/>
        <w:shd w:val="clear" w:fill="F0F0F0"/>
      </w:pPr>
      <w:r>
        <w:t>{</w:t>
      </w:r>
    </w:p>
    <w:p>
      <w:pPr>
        <w:pStyle w:val="CodeBlock"/>
        <w:shd w:val="clear" w:fill="F0F0F0"/>
      </w:pPr>
      <w:r>
        <w:t xml:space="preserve">  "case_name": "my_umat",</w:t>
      </w:r>
    </w:p>
    <w:p>
      <w:pPr>
        <w:pStyle w:val="CodeBlock"/>
        <w:shd w:val="clear" w:fill="F0F0F0"/>
      </w:pPr>
      <w:r>
        <w:t xml:space="preserve">  "jacobian": { "dependent": "STRESS",</w:t>
      </w:r>
    </w:p>
    <w:p>
      <w:pPr>
        <w:pStyle w:val="CodeBlock"/>
        <w:shd w:val="clear" w:fill="F0F0F0"/>
      </w:pPr>
      <w:r>
        <w:t xml:space="preserve">                "independent": "DSTRAN",</w:t>
      </w:r>
    </w:p>
    <w:p>
      <w:pPr>
        <w:pStyle w:val="CodeBlock"/>
        <w:shd w:val="clear" w:fill="F0F0F0"/>
      </w:pPr>
      <w:r>
        <w:t xml:space="preserve">                "target": "DDSDDE" },</w:t>
      </w:r>
    </w:p>
    <w:p>
      <w:pPr>
        <w:pStyle w:val="CodeBlock"/>
        <w:shd w:val="clear" w:fill="F0F0F0"/>
      </w:pPr>
      <w:r>
        <w:t xml:space="preserve">  "otis": { "ntens": 6, "order": 1 },</w:t>
      </w:r>
    </w:p>
    <w:p>
      <w:pPr>
        <w:pStyle w:val="CodeBlock"/>
        <w:shd w:val="clear" w:fill="F0F0F0"/>
      </w:pPr>
      <w:r>
        <w:t xml:space="preserve">  "source": { "file": "path/to/umat.f" }</w:t>
      </w:r>
    </w:p>
    <w:p>
      <w:pPr>
        <w:pStyle w:val="CodeBlock"/>
        <w:shd w:val="clear" w:fill="F0F0F0"/>
      </w:pPr>
      <w:r>
        <w:t>}</w:t>
      </w:r>
    </w:p>
    <w:p>
      <w:r>
        <w:rPr>
          <w:b w:val="0"/>
        </w:rPr>
        <w:t>For finite strain, add a transformation_settings block with seed_dfgrd1 set to true. This seeds the deformation gradient and applies the Abaqus finite strain correction.</w:t>
      </w:r>
    </w:p>
    <w:p>
      <w:pPr>
        <w:pStyle w:val="Heading1"/>
      </w:pPr>
      <w:r>
        <w:rPr>
          <w:color w:val="F15A22"/>
        </w:rPr>
        <w:t>9. Program outputs</w:t>
      </w:r>
    </w:p>
    <w:p>
      <w:pPr>
        <w:pStyle w:val="ListBullet"/>
      </w:pPr>
      <w:r>
        <w:t>The transformed UMAT. It is the original UMAT with the stress computed in OTI and the tangent filled in by DDSDDE(i,j) = GETIM(STRESS_OTI(i), j).</w:t>
      </w:r>
    </w:p>
    <w:p>
      <w:pPr>
        <w:pStyle w:val="ListBullet"/>
      </w:pPr>
      <w:r>
        <w:t>A report that lists what the tool detected and whether the transform succeeded.</w:t>
      </w:r>
    </w:p>
    <w:p>
      <w:pPr>
        <w:pStyle w:val="ListBullet"/>
      </w:pPr>
      <w:r>
        <w:t>When you verify, the two DDSDDE matrices and the match result.</w:t>
      </w:r>
    </w:p>
    <w:p>
      <w:pPr>
        <w:pStyle w:val="ListBullet"/>
      </w:pPr>
      <w:r>
        <w:t>For higher order runs, the extra derivatives are written to a side file.</w:t>
      </w:r>
    </w:p>
    <w:p>
      <w:pPr>
        <w:pStyle w:val="Heading1"/>
      </w:pPr>
      <w:r>
        <w:rPr>
          <w:color w:val="F15A22"/>
        </w:rPr>
        <w:t>10. Requirements</w:t>
      </w:r>
    </w:p>
    <w:tbl>
      <w:tblPr>
        <w:tblStyle w:val="LightGrid-Accent1"/>
        <w:tblW w:type="auto" w:w="0"/>
        <w:tblLook w:firstColumn="1" w:firstRow="1" w:lastColumn="0" w:lastRow="0" w:noHBand="0" w:noVBand="1" w:val="04A0"/>
      </w:tblPr>
      <w:tblGrid>
        <w:gridCol w:w="4320"/>
        <w:gridCol w:w="4320"/>
      </w:tblGrid>
      <w:tr>
        <w:tc>
          <w:tcPr>
            <w:tcW w:type="dxa" w:w="4032"/>
          </w:tcPr>
          <w:p>
            <w:r>
              <w:rPr>
                <w:b/>
              </w:rPr>
              <w:t>Component</w:t>
            </w:r>
          </w:p>
        </w:tc>
        <w:tc>
          <w:tcPr>
            <w:tcW w:type="dxa" w:w="5328"/>
          </w:tcPr>
          <w:p>
            <w:r>
              <w:rPr>
                <w:b/>
              </w:rPr>
              <w:t>Needed for</w:t>
            </w:r>
          </w:p>
        </w:tc>
      </w:tr>
      <w:tr>
        <w:tc>
          <w:tcPr>
            <w:tcW w:type="dxa" w:w="4032"/>
          </w:tcPr>
          <w:p>
            <w:r>
              <w:t>Python with Streamlit</w:t>
            </w:r>
          </w:p>
        </w:tc>
        <w:tc>
          <w:tcPr>
            <w:tcW w:type="dxa" w:w="5328"/>
          </w:tcPr>
          <w:p>
            <w:r>
              <w:t>the single page interface</w:t>
            </w:r>
          </w:p>
        </w:tc>
      </w:tr>
      <w:tr>
        <w:tc>
          <w:tcPr>
            <w:tcW w:type="dxa" w:w="4032"/>
          </w:tcPr>
          <w:p>
            <w:r>
              <w:t>gfortran</w:t>
            </w:r>
          </w:p>
        </w:tc>
        <w:tc>
          <w:tcPr>
            <w:tcW w:type="dxa" w:w="5328"/>
          </w:tcPr>
          <w:p>
            <w:r>
              <w:t>compiling and checking the generated code</w:t>
            </w:r>
          </w:p>
        </w:tc>
      </w:tr>
      <w:tr>
        <w:tc>
          <w:tcPr>
            <w:tcW w:type="dxa" w:w="4032"/>
          </w:tcPr>
          <w:p>
            <w:r>
              <w:t>Abaqus</w:t>
            </w:r>
          </w:p>
        </w:tc>
        <w:tc>
          <w:tcPr>
            <w:tcW w:type="dxa" w:w="5328"/>
          </w:tcPr>
          <w:p>
            <w:r>
              <w:t>the Verify in Abaqus step (optional otherwise)</w:t>
            </w:r>
          </w:p>
        </w:tc>
      </w:tr>
      <w:tr>
        <w:tc>
          <w:tcPr>
            <w:tcW w:type="dxa" w:w="4032"/>
          </w:tcPr>
          <w:p>
            <w:r>
              <w:t>The OTI Fortran library</w:t>
            </w:r>
          </w:p>
        </w:tc>
        <w:tc>
          <w:tcPr>
            <w:tcW w:type="dxa" w:w="5328"/>
          </w:tcPr>
          <w:p>
            <w:r>
              <w:t>the transformed code uses it at compile time</w:t>
            </w:r>
          </w:p>
        </w:tc>
      </w:tr>
      <w:tr>
        <w:tc>
          <w:tcPr>
            <w:tcW w:type="dxa" w:w="4032"/>
          </w:tcPr>
          <w:p>
            <w:r>
              <w:t>Ollama with a local model</w:t>
            </w:r>
          </w:p>
        </w:tc>
        <w:tc>
          <w:tcPr>
            <w:tcW w:type="dxa" w:w="5328"/>
          </w:tcPr>
          <w:p>
            <w:r>
              <w:t>the optional AI assist (optional)</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20"/>
      <w:ind w:left="216"/>
    </w:pPr>
    <w:rPr>
      <w:rFonts w:ascii="Consolas" w:hAnsi="Consolas"/>
      <w:color w:val="20202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