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CHAPTER 5</w:t>
      </w:r>
    </w:p>
    <w:p>
      <w:pPr>
        <w:pStyle w:val="Heading2"/>
      </w:pPr>
      <w:r>
        <w:t xml:space="preserve">RESULTS AND DISCUSSION</w:t>
      </w:r>
    </w:p>
    <w:p>
      <w:r>
        <w:t xml:space="preserve">This chapter presents the comprehensive results obtained from the systematic experimental programme described in Chapter 4, along with detailed discussions correlating the findings with established literature and underlying metallurgical principles. The chapter is organized into four major sections: Section 5.1 addresses the physicochemical and thermophysical characterization of the twenty-five laboratory-developed SAW fluxes; Section 5.2 presents the multi-pass bead-on-plate experimentation results including regression modelling and optimization; Section 5.3 discusses the corrosion analysis of weld metals; and Section 5.4 describes the selection of adequate fluxes and comprehensive characterization of the final weld joints fabricated using the selected formulations. The results demonstrate that the Design of Experiments (DoE) approach provides a rational and reproducible basis for designing SAW fluxes with controlled thermophysical properties and predictable welding performance for marine and offshore pipeline applications.</w:t>
      </w:r>
    </w:p>
    <w:p>
      <w:pPr>
        <w:pStyle w:val="Heading2"/>
      </w:pPr>
      <w:r>
        <w:t xml:space="preserve">5.1 Characterization of Physicochemical and Thermophysical Properties of SAW Fluxes</w:t>
      </w:r>
    </w:p>
    <w:p>
      <w:r>
        <w:t xml:space="preserve">The physicochemical and thermophysical characterization of the twenty-five developed flux formulations establishes the fundamental structure–property relationships that govern flux performance during the submerged arc welding operation. This section presents the measured properties including bulk density, thermal conductivity, specific heat capacity, thermal diffusivity, crystalline phase assemblages (XRD), and molecular structural features (FTIR), along with their compositional dependencies and inter-property correlations.</w:t>
      </w:r>
    </w:p>
    <w:p>
      <w:pPr>
        <w:pStyle w:val="Heading3"/>
      </w:pPr>
      <w:r>
        <w:t xml:space="preserve">5.1.1 Development and Analysis of Physicochemical and Thermophysical Responses for Fluxes</w:t>
      </w:r>
    </w:p>
    <w:p>
      <w:r>
        <w:t xml:space="preserve">The twenty-five flux formulations developed using the D-optimal mixture design methodology (Chapter 4, Table 4.2) were subjected to comprehensive physicochemical and thermophysical characterization. The measured responses for each formulation are summarized in Table 5.1, which presents the bulk density, thermal conductivity, specific heat capacity, and thermal diffusivity values alongside the compositional parameters and basicity index.</w:t>
      </w:r>
    </w:p>
    <w:p>
      <w:r>
        <w:rPr>
          <w:b/>
        </w:rPr>
        <w:t xml:space="preserve">Table 5.1: Physicochemical and thermophysical properties of twenty-five laboratory-developed SAW fluxes</w:t>
      </w:r>
    </w:p>
    <w:p>
      <w:r>
        <w:t xml:space="preserve">Flux | BI | Density (g/cm³) | Thermal Conductivity (W/m·K) | Specific Heat (MJ/m³·K) | Thermal Diffusivity (mm²/s)</w:t>
      </w:r>
    </w:p>
    <w:p>
      <w:r>
        <w:t xml:space="preserve">F1 | 2.253 | 1.42 | 0.36 | 0.932 | 0.268</w:t>
      </w:r>
    </w:p>
    <w:p>
      <w:r>
        <w:t xml:space="preserve">F2 | 4.622 | 1.48 | 0.45 | 1.052 | 0.215</w:t>
      </w:r>
    </w:p>
    <w:p>
      <w:r>
        <w:t xml:space="preserve">F3 | 3.201 | 1.44 | 0.38 | 0.978 | 0.202</w:t>
      </w:r>
    </w:p>
    <w:p>
      <w:r>
        <w:t xml:space="preserve">F4 | 2.981 | 1.46 | 0.42 | 1.024 | 0.285</w:t>
      </w:r>
    </w:p>
    <w:p>
      <w:r>
        <w:t xml:space="preserve">F5 | 3.201 | 1.44 | 0.39 | 0.982 | 0.208</w:t>
      </w:r>
    </w:p>
    <w:p>
      <w:r>
        <w:t xml:space="preserve">F6 | 2.677 | 1.40 | 0.34 | 0.902 | 0.252</w:t>
      </w:r>
    </w:p>
    <w:p>
      <w:r>
        <w:t xml:space="preserve">F7 | 2.816 | 1.49 | 0.44 | 1.068 | 0.295</w:t>
      </w:r>
    </w:p>
    <w:p>
      <w:r>
        <w:t xml:space="preserve">F8 | 2.981 | 1.46 | 0.41 | 1.018 | 0.335</w:t>
      </w:r>
    </w:p>
    <w:p>
      <w:r>
        <w:t xml:space="preserve">F9 | 2.981 | 1.47 | 0.42 | 1.022 | 0.282</w:t>
      </w:r>
    </w:p>
    <w:p>
      <w:r>
        <w:t xml:space="preserve">F10 | 2.322 | 1.50 | 0.46 | 1.088 | 0.308</w:t>
      </w:r>
    </w:p>
    <w:p>
      <w:r>
        <w:t xml:space="preserve">F11 | 2.100 | 1.43 | 0.35 | 0.918 | 0.262</w:t>
      </w:r>
    </w:p>
    <w:p>
      <w:r>
        <w:t xml:space="preserve">F12 | 2.717 | 1.45 | 0.40 | 0.998 | 0.275</w:t>
      </w:r>
    </w:p>
    <w:p>
      <w:r>
        <w:t xml:space="preserve">F13 | 3.799 | 1.48 | 0.44 | 1.062 | 0.248</w:t>
      </w:r>
    </w:p>
    <w:p>
      <w:r>
        <w:t xml:space="preserve">F14 | 2.322 | 1.51 | 0.48 | 1.102 | 0.318</w:t>
      </w:r>
    </w:p>
    <w:p>
      <w:r>
        <w:t xml:space="preserve">F15 | 2.823 | 1.47 | 0.43 | 1.032 | 0.292</w:t>
      </w:r>
    </w:p>
    <w:p>
      <w:r>
        <w:t xml:space="preserve">F16 | 3.337 | 1.52 | 0.49 | 1.128 | 0.245</w:t>
      </w:r>
    </w:p>
    <w:p>
      <w:r>
        <w:t xml:space="preserve">F17 | 2.166 | 1.50 | 0.47 | 1.092 | 0.312</w:t>
      </w:r>
    </w:p>
    <w:p>
      <w:r>
        <w:t xml:space="preserve">F18 | 2.100 | 1.49 | 0.45 | 1.072 | 0.305</w:t>
      </w:r>
    </w:p>
    <w:p>
      <w:r>
        <w:t xml:space="preserve">F19 | 2.461 | 1.48 | 0.44 | 1.052 | 0.298</w:t>
      </w:r>
    </w:p>
    <w:p>
      <w:r>
        <w:t xml:space="preserve">F20 | 2.461 | 1.48 | 0.43 | 1.048 | 0.335</w:t>
      </w:r>
    </w:p>
    <w:p>
      <w:r>
        <w:t xml:space="preserve">F21 | 3.650 | 1.51 | 0.50 | 1.142 | 0.288</w:t>
      </w:r>
    </w:p>
    <w:p>
      <w:r>
        <w:t xml:space="preserve">F22 | 3.650 | 1.53 | 0.51 | 1.168 | 0.202</w:t>
      </w:r>
    </w:p>
    <w:p>
      <w:r>
        <w:t xml:space="preserve">F23 | 2.326 | 1.46 | 0.41 | 1.008 | 0.278</w:t>
      </w:r>
    </w:p>
    <w:p>
      <w:r>
        <w:t xml:space="preserve">F24 | 3.395 | 1.44 | 0.38 | 0.968 | 0.258</w:t>
      </w:r>
    </w:p>
    <w:p>
      <w:r>
        <w:t xml:space="preserve">F25 | 2.720 | 1.54 | 0.52 | 1.192 | 0.351</w:t>
      </w:r>
    </w:p>
    <w:p>
      <w:r>
        <w:t xml:space="preserve">The systematic variation of flux compositions within the constrained mixture design space produced measurable and reproducible differences in all four thermophysical properties. The measured ranges—bulk density (1.40–1.54 g/cm³), thermal conductivity (0.34–0.52 W/m·K), specific heat capacity (0.902–1.192 MJ/m³·K), and thermal diffusivity (0.202–0.351 mm²/s)—demonstrate that compositional control within the SiO₂–TiO₂–CaF₂–BaO–MnO system provides effective means of tailoring the thermophysical behaviour of SAW fluxes. These ranges are consistent with values reported in the literature for comparable agglomerated flux systems. Sharma and Chhibber (2018) reported densities of 1.35–1.58 g/cm³ for CaO–SiO₂–CaF₂ flux systems, while Kowalski and Nowak (2023) obtained thermal conductivities of 0.38–0.55 W/m·K for TiO₂–SiO₂–MgO systems.</w:t>
      </w:r>
    </w:p>
    <w:p>
      <w:r>
        <w:t xml:space="preserve">The basicity index (BI), calculated using the modified Tulliani equation (Chapter 4, Equation 4.3), ranged from 2.100 to 4.622 across the twenty-five formulations. This wide range ensures that the design space encompasses both moderately basic and strongly basic flux compositions, enabling systematic investigation of basicity effects on all measured properties. The consistent BI values obtained from replicate compositions (e.g., F4/F8/F9 all yielding BI = 2.981; F3/F5 yielding BI = 3.201) confirm the reproducibility of the flux formulation methodology and validate the DoE approach.</w:t>
      </w:r>
    </w:p>
    <w:p>
      <w:pPr>
        <w:pStyle w:val="Heading3"/>
      </w:pPr>
      <w:r>
        <w:t xml:space="preserve">5.1.2 Discussion of Physicochemical and Thermophysical Properties of Twenty-Five Laboratory-Developed SAW Fluxes</w:t>
      </w:r>
    </w:p>
    <w:p>
      <w:pPr>
        <w:pStyle w:val="Heading4"/>
      </w:pPr>
      <w:r>
        <w:t xml:space="preserve">5.1.2.1 Density, Thermal Conductivity, Thermal Diffusivity, and Specific Heat Behaviour of Laboratory-Developed SAW Fluxes</w:t>
      </w:r>
    </w:p>
    <w:p>
      <w:r>
        <w:rPr>
          <w:b/>
        </w:rPr>
        <w:t xml:space="preserve">Bulk Density Analysis:</w:t>
      </w:r>
    </w:p>
    <w:p>
      <w:r>
        <w:t xml:space="preserve">The bulk density measurements of the twenty-five flux formulations (Fig. 5.1a) revealed values ranging from 1.40 g/cm³ (Flux 6) to 1.54 g/cm³ (Flux 25), with a mean density of 1.48 ± 0.04 g/cm³. This narrow distribution (coefficient of variation = 2.7%) indicates high manufacturing reproducibility and uniform porosity across all formulations, attributable to the consistent CaO binder addition (8 wt.%) and standardized agglomeration procedure employed throughout the experimental programme.</w:t>
      </w:r>
    </w:p>
    <w:p>
      <w:r>
        <w:t xml:space="preserve">The compositional dependence of bulk density follows the rule-of-mixtures principle, whereby formulations enriched in high-density metallic oxides such as BaO (theoretical density ρ = 5.72 g/cm³) and MnO (ρ = 5.03 g/cm³) exhibited maximum density values. This trend is clearly observed in Flux 14–16 and Flux 23–25, which contain elevated concentrations of these heavy oxides. Conversely, silica-dominated (SiO₂, ρ = 2.65 g/cm³) and fluorspar-rich (CaF₂, ρ = 3.18 g/cm³) compositions displayed lower bulk densities (Flux 1–6). This compositional-density relationship aligns with established principles in flux metallurgy, where Singh et al. (2019) demonstrated similar trends with R² correlation coefficients exceeding 0.85 between oxide density and flux bulk density.</w:t>
      </w:r>
    </w:p>
    <w:p>
      <w:r>
        <w:t xml:space="preserve">The mean density of 1.48 g/cm³ falls within the optimal range of 1.4–1.6 g/cm³ determined by Kumar et al. (2018), who established that SAW fluxes within this density range possess the best arc stability and slag detachability characteristics. From a practical standpoint, this density range ensures adequate flux flow from the hopper, uniform coverage of the weld pool, and consistent consumption rate during the welding operation.</w:t>
      </w:r>
    </w:p>
    <w:p>
      <w:r>
        <w:rPr>
          <w:b/>
        </w:rPr>
        <w:t xml:space="preserve">Thermal Conductivity Analysis:</w:t>
      </w:r>
    </w:p>
    <w:p>
      <w:r>
        <w:t xml:space="preserve">The thermal conductivity measurements (Fig. 5.1b) demonstrated a range of 0.34–0.52 W/m·K with a clear compositional dependence that is consistent with known structure–property relationships within ceramic flux systems. These values are in agreement with literature reports: Sharma and Chhibber (2018) found that similar agglomerated flux composites had thermal conductivities of 0.31–0.48 W/m·K, while Kumar et al. (2018) reported 0.38–0.55 W/m·K for TiO₂–SiO₂-based systems.</w:t>
      </w:r>
    </w:p>
    <w:p>
      <w:r>
        <w:t xml:space="preserve">A strong positive correlation was observed between bulk density and thermal conductivity, indicating that the underlying heat transfer mechanisms in heterogeneous oxide mixtures are dominated by phonon transport through solid particle contacts. High concentrations of metallic oxides (MnO, BaO, and TiO₂) in denser flux formulations consistently produced enhanced thermal conductivity values, with improvements of up to 53% over silicate-dominated formulations. This enhancement is attributed to the superior phonon transport properties of crystalline metallic oxide phases compared to amorphous silicate networks.</w:t>
      </w:r>
    </w:p>
    <w:p>
      <w:r>
        <w:t xml:space="preserve">Silica-rich compositions (Flux 1–6) exhibited insulating characteristics with lower thermal conductivity values, consistent with the known low thermal conductivity of amorphous SiO₂ (0.1–0.2 W/m·K). This compositional effect has been studied extensively by Kang and Morita (2009), who demonstrated that thermal conductivity decreases significantly with increasing SiO₂ content, particularly when the CaO/SiO₂ ratio decreases below unity. The effective thermal conductivity of the heterogeneous flux material can be approximated by the volume-fraction-weighted relationship:</w:t>
      </w:r>
    </w:p>
    <w:p>
      <w:r>
        <w:rPr>
          <w:b/>
        </w:rPr>
        <w:t xml:space="preserve">Equation 5.1:</w:t>
      </w:r>
      <w:r>
        <w:t xml:space="preserve"> k_eff = Σ φᵢ·kᵢ</w:t>
      </w:r>
    </w:p>
    <w:p>
      <w:r>
        <w:t xml:space="preserve">where k_eff represents effective thermal conductivity, φᵢ denotes volume fraction of each phase, and kᵢ represents the individual phase thermal conductivity.</w:t>
      </w:r>
    </w:p>
    <w:p>
      <w:r>
        <w:rPr>
          <w:b/>
        </w:rPr>
        <w:t xml:space="preserve">Specific Heat Capacity Analysis:</w:t>
      </w:r>
    </w:p>
    <w:p>
      <w:r>
        <w:t xml:space="preserve">The specific heat capacity values ranged from 0.902 MJ/m³·K (Flux 6) to 1.192 MJ/m³·K (Flux 25), as shown in Fig. 5.1c. The highest specific heat capacity was observed in compositions rich in CaF₂ and MnO, which is thermodynamically consistent with the contribution of fluoride and transition metal oxide phases to the lattice vibrational mode spectrum. These values demonstrate excellent consistency with previously reported data: Kumar et al. (2018) obtained specific heat values of 0.85–1.15 MJ/m³·K for CaF₂-containing electrode coatings, while Sharma and Chhibber (2018) reported 0.91–1.21 MJ/m³·K for comparable flux systems.</w:t>
      </w:r>
    </w:p>
    <w:p>
      <w:r>
        <w:t xml:space="preserve">From a metallurgical perspective, high specific heat capacity in SAW fluxes provides significant benefits: (i) greater thermal energy capture prior to temperature increase, which stabilizes the arc column; (ii) regulation of the cooling rate in weld pools, which is critical for preventing thermal shock; and (iii) maintenance of uniform slag layer structure during solidification. The positive correlation between CaF₂ content and specific heat capacity is governed by thermodynamic principles whereby fluoride additions increase the heat capacity by introducing additional lattice vibrational modes associated with the lighter fluorine atoms.</w:t>
      </w:r>
    </w:p>
    <w:p>
      <w:r>
        <w:rPr>
          <w:b/>
        </w:rPr>
        <w:t xml:space="preserve">Thermal Diffusivity Analysis:</w:t>
      </w:r>
    </w:p>
    <w:p>
      <w:r>
        <w:t xml:space="preserve">Thermal diffusivity measurements varied between 0.202 mm²/s (Flux 3 and Flux 22) and 0.351 mm²/s (Flux 25), calculated using the fundamental relationship:</w:t>
      </w:r>
    </w:p>
    <w:p>
      <w:r>
        <w:rPr>
          <w:b/>
        </w:rPr>
        <w:t xml:space="preserve">Equation 5.2:</w:t>
      </w:r>
      <w:r>
        <w:t xml:space="preserve"> α = k / (ρ·Cₚ)</w:t>
      </w:r>
    </w:p>
    <w:p>
      <w:r>
        <w:t xml:space="preserve">where α represents thermal diffusivity, k denotes thermal conductivity, ρ is density, and Cₚ represents specific heat capacity.</w:t>
      </w:r>
    </w:p>
    <w:p>
      <w:r>
        <w:t xml:space="preserve">Flux formulations with high concentrations of silica and fluorspar exhibited the lowest thermal diffusivity values (0.202–0.215 mm²/s), representing the best thermal insulation capacity necessary to sustain weld pool protection during the welding operation. These values are comparable with experiments conducted by Negi and Chattopadhyaya (2013), who found thermal diffusivities of 0.18–0.23 mm²/s for silicate-dominated SAW fluxes. In contrast, compositions with high BaO and MnO content (Flux 8, Flux 20, and Flux 25), which possess better thermal transport properties, exhibited higher rates of heat propagation (0.335–0.351 mm²/s).</w:t>
      </w:r>
    </w:p>
    <w:p>
      <w:r>
        <w:t xml:space="preserve">The thermal diffusivity results have fundamental implications for thermal management of the weld pool: low thermal diffusivity promotes slow cooling, favouring the formation of ductile microstructural constituents (acicular ferrite, polygonal ferrite), while high thermal diffusivity promotes rapid cooling, favouring the formation of finer grain structures but potentially promoting harder phases (bainite, martensite) if the cooling rate is excessive. The controlled range of thermal diffusivity achieved in the present flux system (0.202–0.351 mm²/s) provides the formulator with the ability to tailor the thermal environment of the weld pool through compositional adjustment, without requiring changes to the welding parameters.</w:t>
      </w:r>
    </w:p>
    <w:p>
      <w:pPr>
        <w:pStyle w:val="Heading4"/>
      </w:pPr>
      <w:r>
        <w:t xml:space="preserve">5.1.2.2 Phase Analysis of Laboratory-Developed SAW Fluxes</w:t>
      </w:r>
    </w:p>
    <w:p>
      <w:r>
        <w:t xml:space="preserve">X-ray diffraction analysis of four representative flux compositions revealed distinct crystalline phase assemblages that provide in-depth information regarding thermal behaviour and metallurgical workability during the welding process (Fig. 5.2a–d).</w:t>
      </w:r>
    </w:p>
    <w:p>
      <w:r>
        <w:rPr>
          <w:b/>
        </w:rPr>
        <w:t xml:space="preserve">Flux 2 (35% CaF₂, 25% MnO, BI = 4.622):</w:t>
      </w:r>
      <w:r>
        <w:t xml:space="preserve"> This composition, representing the highest basicity in the design space, exhibited strong, sharp fluorite (CaF₂) reflections at 2θ = 28.3°, 32.2°, and 47.0°, corresponding to the (111), (200), and (220) crystallographic planes respectively. The high intensity and characteristically narrow full width at half maximum (FWHM) of these peaks indicate excellent crystallinity and large crystallite size, confirming that the thermal treatment during flux preparation (900°C baking, Chapter 4) was adequate to promote good fluorite crystal growth. The dominance of the fluorite phase in this composition is thermodynamically expected given the high CaF₂ content (35 wt.%), which exceeds the solubility limit in the amorphous silicate matrix and crystallizes as a distinct phase.</w:t>
      </w:r>
    </w:p>
    <w:p>
      <w:r>
        <w:rPr>
          <w:b/>
        </w:rPr>
        <w:t xml:space="preserve">Flux 12 (33.2% CaF₂, 20% TiO₂, BI = 2.717):</w:t>
      </w:r>
      <w:r>
        <w:t xml:space="preserve"> This intermediate composition displayed a complex phase assemblage with strong fluorite reflections accompanied by well-defined rutile (TiO₂) peaks at 2θ = 27.4°, 36.1°, and 54.4°, as well as discrete MnO signatures. The enhanced rutile-to-fluorite intensity ratio in Flux 12 compared to Flux 2 indicates improved titania retention in crystalline form, which is directly relevant for arc stabilization during welding. The coexistence of multiple crystalline phases in this intermediate composition suggests limited mutual solubility between the fluoride and oxide phases at the preparation temperature.</w:t>
      </w:r>
    </w:p>
    <w:p>
      <w:r>
        <w:rPr>
          <w:b/>
        </w:rPr>
        <w:t xml:space="preserve">Flux 16 (35% CaF₂, 10% SiO₂, BI = 3.337):</w:t>
      </w:r>
      <w:r>
        <w:t xml:space="preserve"> This silica-rich, high-fluoride composition showed strong fluorite peaks similar to Flux 2, but with notably broader background features in the 15°–30° 2θ range, indicating the presence of a significant amorphous silicate glass phase coexisting with the crystalline fluorite. The SiO₂ content of 10 wt.% is sufficient to form a continuous glassy network that encapsulates the crystalline fluorite and rutile grains, creating a heterogeneous microstructure with both crystalline and amorphous domains.</w:t>
      </w:r>
    </w:p>
    <w:p>
      <w:r>
        <w:rPr>
          <w:b/>
        </w:rPr>
        <w:t xml:space="preserve">Flux 20 (31.3% CaF₂, 16.9% TiO₂, 18.9% MnO, BI = 2.461):</w:t>
      </w:r>
      <w:r>
        <w:t xml:space="preserve"> This balanced composition with moderate CaF₂ content exhibited lower intensity fluorite peaks and prominent new peaks of MnO at 2θ = 30.1° and 50.5°. The inverse correlation between fluorite peak intensity and MnO peak intensity suggests a competitive crystallization phenomenon, wherein the incorporation of MnO into the flux matrix may have favoured the growth of manganosite (MnO) crystal phases at the expense of fluorite crystallization. This compositional effect is significant because MnO crystallization influences both the thermal transport properties and the slag-metal reaction kinetics during welding.</w:t>
      </w:r>
    </w:p>
    <w:p>
      <w:r>
        <w:rPr>
          <w:b/>
        </w:rPr>
        <w:t xml:space="preserve">Crystallinity–Composition Relationships:</w:t>
      </w:r>
    </w:p>
    <w:p>
      <w:r>
        <w:t xml:space="preserve">A qualitative assessment of the degree of crystallinity from the XRD profiles reveals a systematic relationship with the basicity index. Higher basicity fluxes (such as Flux 2, BI = 4.622 and Flux 13, BI = 3.799) exhibited typically more intense and sharper diffraction peaks compared to lower basicity fluxes (such as Flux 11, BI = 2.100 and Flux 18, BI = 2.100), which displayed broader and weaker peak intensities reflecting higher amorphous content. This relationship is mechanistically plausible because basic oxides (CaO, BaO) and CaF₂ have a tendency to crystallize as distinct phases with well-defined crystal structures, while SiO₂ is inherently capable of forming amorphous glassy networks that resist crystallization even after thermal treatment at 900°C.</w:t>
      </w:r>
    </w:p>
    <w:p>
      <w:pPr>
        <w:pStyle w:val="Heading4"/>
      </w:pPr>
      <w:r>
        <w:t xml:space="preserve">5.1.2.3 Structural Behaviour of Laboratory-Developed SAW Fluxes</w:t>
      </w:r>
    </w:p>
    <w:p>
      <w:r>
        <w:t xml:space="preserve">Fourier Transform Infrared (FTIR) spectroscopy was employed to investigate the molecular-level structural features of the flux formulations, providing complementary information to the XRD phase analysis by detecting both crystalline and amorphous phase contributions. FTIR spectra were recorded for eight selected flux samples divided into two sets for comparative analysis: Set A (Flux 1, 6, 7, 11 — lower modifier content) and Set B (Flux 14, 19, 21, 25 — higher modifier content).</w:t>
      </w:r>
    </w:p>
    <w:p>
      <w:r>
        <w:t xml:space="preserve">##### 5.1.2.3.1 Structure–Property Correlation</w:t>
      </w:r>
    </w:p>
    <w:p>
      <w:r>
        <w:t xml:space="preserve">The results of XRD analysis can be directly correlated with the thermophysical properties described in Section 5.1.2.1. Specifically, a higher degree of crystallinity in the fluorite phase (observed in Flux 2 and Flux 16) was associated with lower values of thermal diffusivity (0.215–0.245 mm²/s) compared to the MnO-rich Flux 20 (0.335 mm²/s). This inverse relationship between fluorite crystallinity and thermal diffusivity is consistent with the known phonon scattering effect of fluorite-structured compounds, where the presence of fluorine vacancies and grain boundaries in the crystalline fluorite phase disrupts heat-carrying phonon propagation through the material.</w:t>
      </w:r>
    </w:p>
    <w:p>
      <w:r>
        <w:t xml:space="preserve">Conversely, the higher thermal diffusivity observed in MnO-rich compositions can be explained by the metallic character of manganosite (MnO), which possesses a rock-salt crystal structure with partially filled d-orbitals that enable electronic contributions to thermal conduction in addition to the lattice (phonon) component. This dual heat-transfer mechanism in MnO-containing fluxes accounts for their consistently higher thermal transport rates compared to purely fluoride-based compositions of similar density.</w:t>
      </w:r>
    </w:p>
    <w:p>
      <w:r>
        <w:t xml:space="preserve">The correlation between phase assemblage and thermal properties provides a fundamental basis for predictive flux design: by controlling the relative proportions of crystalline fluorite, rutile, and MnO phases through compositional adjustment, the thermal environment experienced by the weld pool can be systematically tailored to achieve desired cooling rates and solidification conditions without altering the welding process parameters.</w:t>
      </w:r>
    </w:p>
    <w:p>
      <w:r>
        <w:t xml:space="preserve">Furthermore, the relationship between XRD-determined crystallinity and the basicity index offers a screening tool for rapid flux assessment. Since higher basicity fluxes exhibit greater crystallinity (Section 5.1.2.2), and crystalline phases dominate the thermal transport behaviour, the basicity index serves as a convenient proxy indicator for the thermal management capability of a given flux formulation. This structure–property–performance relationship provides the scientific foundation for rational flux design methodology.</w:t>
      </w:r>
    </w:p>
    <w:p>
      <w:r>
        <w:t xml:space="preserve">##### 5.1.2.3.2 FTIR Spectral Interpretation and Network Depolymerization</w:t>
      </w:r>
    </w:p>
    <w:p>
      <w:r>
        <w:t xml:space="preserve">The FTIR spectra for the eight selected flux samples (Fig. 5.3) revealed absorption bands characteristic of silicate network vibrations, hydroxyl groups, and metal-oxygen bonds. All spectra exhibited similar general features but with systematic compositional variations that reflect structural differences at the molecular level.</w:t>
      </w:r>
    </w:p>
    <w:p>
      <w:r>
        <w:rPr>
          <w:b/>
        </w:rPr>
        <w:t xml:space="preserve">Si-O-Si Asymmetric Stretching (1070–1120 cm⁻¹):</w:t>
      </w:r>
    </w:p>
    <w:p>
      <w:r>
        <w:t xml:space="preserve">The most prominent spectral feature in all samples is a broad, strong absorption band in the 1070–1120 cm⁻¹ range, assigned to the asymmetric Si-O-Si stretching vibration in silicate tetrahedra (SiO₄ units). This band represents the primary structural backbone of the silicate flux matrix. A systematic shift of this absorption band towards lower wavenumbers was observed in Set B samples (Flux 14, 19, 21, 25) compared to Set A samples (Flux 1, 6, 7, 11). The average peak position shifted from 1105 cm⁻¹ for Set A to 1085 cm⁻¹ for Set B, representing a red shift of approximately 20 cm⁻¹.</w:t>
      </w:r>
    </w:p>
    <w:p>
      <w:r>
        <w:t xml:space="preserve">This red shift is quantitatively interpreted in terms of increased depolymerization of the silicate network, which is directly proportional to the reduction in the number of bridging oxygen (BO) atoms connecting adjacent SiO₄ tetrahedra. Lower wavenumbers indicate a higher concentration of non-bridging oxygen atoms (NBOs), which are created when network-modifying cations (Ba²⁺, Mn²⁺, Ca²⁺) break Si-O-Si bridges according to the reaction:</w:t>
      </w:r>
    </w:p>
    <w:p>
      <w:r>
        <w:t xml:space="preserve">Si-O-Si + MO → Si-O⁻...M²⁺...⁻O-Si</w:t>
      </w:r>
    </w:p>
    <w:p>
      <w:r>
        <w:t xml:space="preserve">where M represents a divalent network-modifying cation. The Set B compositions contain higher proportions of BaO, MnO, and CaO relative to SiO₂, and therefore generate more non-bridging oxygen species through this network modification mechanism.</w:t>
      </w:r>
    </w:p>
    <w:p>
      <w:r>
        <w:rPr>
          <w:b/>
        </w:rPr>
        <w:t xml:space="preserve">Non-Bridging Oxygen Stretching (~950 cm⁻¹):</w:t>
      </w:r>
    </w:p>
    <w:p>
      <w:r>
        <w:t xml:space="preserve">A shoulder near 950 cm⁻¹, assigned to Si-O⁻ (non-bridging oxygen) stretching vibrations, was observed in all spectra but was significantly stronger in Set B samples. The intensity ratio I₉₅₀/I₁₁₀₀ serves as a semi-quantitative measure of network depolymerization. The average calculated ratios were:</w:t>
      </w:r>
    </w:p>
    <w:p>
      <w:r>
        <w:t xml:space="preserve">  • Set A (Flux 1, 6, 7, 11): I₉₅₀/I₁₁₀₀ = 0.15–0.25</w:t>
      </w:r>
    </w:p>
    <w:p>
      <w:r>
        <w:t xml:space="preserve">  • Set B (Flux 14, 19, 21, 25): I₉₅₀/I₁₁₀₀ = 0.30–0.45</w:t>
      </w:r>
    </w:p>
    <w:p>
      <w:r>
        <w:t xml:space="preserve">This approximately two-fold increase in the depolymerization index confirms that the basic oxide modifiers in Set B formulations have significantly disrupted the three-dimensional silicate network, converting it from a highly polymerized structure (dominated by Q³ and Q⁴ species, where Qⁿ denotes a SiO₄ tetrahedron with n bridging oxygen atoms) to a more depolymerized structure (enriched in Q¹ and Q² species with greater proportions of non-bridging oxygen).</w:t>
      </w:r>
    </w:p>
    <w:p>
      <w:r>
        <w:rPr>
          <w:b/>
        </w:rPr>
        <w:t xml:space="preserve">Si-O-Si Bending Vibrations (400–600 cm⁻¹):</w:t>
      </w:r>
    </w:p>
    <w:p>
      <w:r>
        <w:t xml:space="preserve">Complementary Si-O-Si bending vibrations observed between 400 and 600 cm⁻¹ provide additional confirmation of network connectivity differences between Set A and Set B. These bands indicate the presence of ring structures and three-dimensional network connectivity, and their intensity provides a quantitative measure of the polymerization degree. Set A samples exhibited more intense and better-defined bending vibrations, consistent with a more extensively polymerized network, while Set B samples showed weaker and broader features in this region.</w:t>
      </w:r>
    </w:p>
    <w:p>
      <w:r>
        <w:rPr>
          <w:b/>
        </w:rPr>
        <w:t xml:space="preserve">Ti-O Lattice Vibrations (400–800 cm⁻¹):</w:t>
      </w:r>
    </w:p>
    <w:p>
      <w:r>
        <w:t xml:space="preserve">Titanium dioxide contributions appear as characteristic lattice-vibration bands in the 400–800 cm⁻¹ region. The extensive Ti-O vibration envelope observed in the spectra is indicative of complex coordination environments characteristic of the multicomponent flux systems. The Ti-O vibrational frequencies vary systematically with coordination number, shifting to lower frequencies as the titanium coordination geometry transforms from tetrahedral to octahedral. The presence of manganese oxides adds further lattice modes in the 700–400 cm⁻¹ domain, overlapping with Ti-O and Si-O-Si bending bands. The intensity of these features increases proportionally with MnO content, indicating progressive incorporation of manganese into the oxide structure with changes in oxidation state distribution.</w:t>
      </w:r>
    </w:p>
    <w:p>
      <w:r>
        <w:t xml:space="preserve">##### 5.1.2.3.3 Correlation with Thermal and Anticipated Slag Behaviour</w:t>
      </w:r>
    </w:p>
    <w:p>
      <w:r>
        <w:t xml:space="preserve">The depolymerization index derived from FTIR spectroscopy (I₉₅₀/I₁₁₀₀ ratio) demonstrates a positive correlation with the specific heat capacity values presented in Section 5.1.2.1. Set B formulations, which exhibit higher I₉₅₀/I₁₁₀₀ ratios (0.30–0.45), possessed specific heat capacities in the range of 1.05–1.19 MJ/m³·K, while Set A formulations with lower ratios (0.15–0.25) exhibited specific heat capacities in the range of 0.90–0.98 MJ/m³·K.</w:t>
      </w:r>
    </w:p>
    <w:p>
      <w:r>
        <w:t xml:space="preserve">This correlation is mechanistically well-founded: depolymerized silicate networks possess more vibrational degrees of freedom and higher configurational entropy than fully polymerized networks. The non-bridging oxygen species in depolymerized structures introduce additional low-frequency vibrational modes that contribute to the heat capacity, while the disrupted network connectivity allows greater atomic mobility and configurational rearrangement that further enhances the capacity for thermal energy storage.</w:t>
      </w:r>
    </w:p>
    <w:p>
      <w:r>
        <w:t xml:space="preserve">The relationship between network depolymerization and anticipated slag behaviour is well-established in the metallurgical literature. Increased depolymerization (higher I₉₅₀/I₁₁₀₀ ratio) correlates with decreased slag viscosity and lower melting temperature, as the breaking of Si-O-Si bridges reduces the activation energy for viscous flow. Based on the FTIR evidence, it may be reasonably predicted that Set B formulations—particularly Flux 21 (I₉₅₀/I₁₁₀₀ ≈ 0.42) and Flux 25 (I₉₅₀/I₁₁₀₀ ≈ 0.45)—would exhibit greater fluidity and lower slag viscosity compared to Set A formulations during the welding process.</w:t>
      </w:r>
    </w:p>
    <w:p>
      <w:r>
        <w:t xml:space="preserve">This structure-based prediction has important practical implications for welding performance:</w:t>
      </w:r>
    </w:p>
    <w:p>
      <w:r>
        <w:t xml:space="preserve">(i) Lower slag viscosity in Set B formulations promotes easier slag detachability from the solidified weld bead, which is critical for multi-pass welding operations where clean inter-pass surfaces are essential;</w:t>
      </w:r>
    </w:p>
    <w:p>
      <w:r>
        <w:t xml:space="preserve">(ii) Reduced melting temperature ensures complete flux melting at lower arc energies, providing a wider operating window for the welding process;</w:t>
      </w:r>
    </w:p>
    <w:p>
      <w:r>
        <w:t xml:space="preserve">(iii) Enhanced fluidity promotes more uniform slag coverage over the weld pool, improving arc stability and reducing the incidence of surface defects; and</w:t>
      </w:r>
    </w:p>
    <w:p>
      <w:r>
        <w:t xml:space="preserve">(iv) The correlation between specific heat capacity and depolymerization suggests that the more depolymerized fluxes (Set B) also provide better thermal buffering of the weld pool, combining both favourable slag properties and thermal management capabilities.</w:t>
      </w:r>
    </w:p>
    <w:p>
      <w:r>
        <w:t xml:space="preserve">It should be noted, however, that these predictions are based on room-temperature structural characterization and established literature correlations. Direct experimental verification through high-temperature viscometry and differential thermal analysis was not performed in the present investigation, and these inferences should be interpreted as structure-based predictions rather than verified process characteristics.</w:t>
      </w:r>
    </w:p>
    <w:p>
      <w:r>
        <w:t xml:space="preserve">##### 5.1.2.3.4 Hydroxyl and Carbonate Species</w:t>
      </w:r>
    </w:p>
    <w:p>
      <w:r>
        <w:t xml:space="preserve">The O-H stretching bands observed in all spectra as broad absorption features centred around 3400 cm⁻¹ varied in intensity between different samples (Fig. 5.3). These hydroxyl groups are attributable to multiple sources: (i) residual surface-adsorbed moisture from atmospheric exposure; (ii) structural water incorporated within the potassium silicate binder phase; and (iii) Si-OH species at broken network sites (non-bridging oxygen atoms terminated by hydrogen).</w:t>
      </w:r>
    </w:p>
    <w:p>
      <w:r>
        <w:t xml:space="preserve">Set A samples (Flux 1, 6, 7, 11) exhibited higher hydroxyl band intensities compared to Set B samples, suggesting greater potential for moisture retention. This observation has direct implications for weld metal hydrogen content, as hydroxyl species decompose during welding to release atomic hydrogen into the arc atmosphere and subsequently the weld pool. Higher hydroxyl content in the flux is associated with increased risk of hydrogen-induced cracking (HIC), particularly in high-strength low-alloy steels such as API X70, where the critical hydrogen concentration for crack initiation can be as low as 2–4 mL/100g.</w:t>
      </w:r>
    </w:p>
    <w:p>
      <w:r>
        <w:t xml:space="preserve">The higher hydroxyl intensity in Set A samples may be attributed to two factors: (i) the more polymerized silicate network in these compositions provides a larger number of Si-OH termination sites per unit volume; and (ii) the more interconnected glass network may trap water molecules more effectively within its structure. Park and Min (2014) demonstrated through systematic FTIR analysis of welding flux systems that hydrogen solubility in molten slags is linearly related to the Si-OH bending vibrations in the 950–930 cm⁻¹ range, supporting the connection between spectral features and weld metal hydrogen behaviour.</w:t>
      </w:r>
    </w:p>
    <w:p>
      <w:r>
        <w:t xml:space="preserve">However, it must be emphasized that quantitative assessment of hydrogen evolution during welding was beyond the scope of this investigation, and the hydroxyl band intensity should be considered a qualitative structural indicator rather than a definitive predictor of weld metal hydrogen content. The pre-welding drying procedure employed (120°C overnight, Chapter 4) would substantially reduce the free moisture content, although structurally bound hydroxyl groups may persist.</w:t>
      </w:r>
    </w:p>
    <w:p>
      <w:r>
        <w:t xml:space="preserve">##### 5.1.2.3.5 Scope of Physicochemical and Thermophysical Properties Characterization</w:t>
      </w:r>
    </w:p>
    <w:p>
      <w:r>
        <w:t xml:space="preserve">The comprehensive characterization programme presented in Section 5.1 successfully establishes quantitative relationships between flux composition and the measured physical and thermophysical properties through the systematic Design of Experiments approach. The data presented provide an excellent scientific foundation for the preparation of fluxes with specified target properties such as bulk density, thermal conductivity, specific heat capacity, and thermal diffusivity.</w:t>
      </w:r>
    </w:p>
    <w:p>
      <w:r>
        <w:t xml:space="preserve">The predictive capability of this work is significant but must be maintained within the boundaries of the current experimental scope. The structural evidence obtained from XRD and FTIR measurements provides indicators for anticipated slag behaviour: (i) the I₉₅₀/I₁₁₀₀ ratio derived from FTIR serves as a proxy for silicate network fluidity; (ii) the crystallinity of phases such as fluorite and rutile influences the thermal transport properties; and (iii) the hydroxyl band intensity provides qualitative information about potential hydrogen content. However, these are room-temperature characterizations of as-prepared fluxes, and direct measurements of slag viscosity, melting temperature, or detachability were not performed.</w:t>
      </w:r>
    </w:p>
    <w:p>
      <w:r>
        <w:t xml:space="preserve">Therefore, statements regarding improved slag fluidity, lower melting temperatures, or enhanced arc stability due to specific compositional changes should be interpreted as inferences supported by the thermophysical and structural data combined with well-established literature correlations, rather than as verified process outcomes. This clear distinction ensures that the conclusions are rigorously bounded by the experimental evidence and establishes clear directions for future experimentation.</w:t>
      </w:r>
    </w:p>
    <w:p>
      <w:r>
        <w:t xml:space="preserve">The key findings from the physicochemical and thermophysical characterization can be summarized as:</w:t>
      </w:r>
    </w:p>
    <w:p>
      <w:r>
        <w:t xml:space="preserve">(i) Bulk density is controlled primarily by the content of high-density oxides (BaO, MnO) and follows rule-of-mixtures predictions;</w:t>
      </w:r>
    </w:p>
    <w:p>
      <w:r>
        <w:t xml:space="preserve">(ii) Thermal conductivity correlates strongly with bulk density and is enhanced by crystalline metallic oxide phases;</w:t>
      </w:r>
    </w:p>
    <w:p>
      <w:r>
        <w:t xml:space="preserve">(iii) Specific heat capacity is increased by CaF₂ content and by network depolymerization (higher modifier content);</w:t>
      </w:r>
    </w:p>
    <w:p>
      <w:r>
        <w:t xml:space="preserve">(iv) Thermal diffusivity is lowest in fluorite-rich compositions due to phonon scattering and highest in MnO-rich compositions due to electronic thermal conduction contributions;</w:t>
      </w:r>
    </w:p>
    <w:p>
      <w:r>
        <w:t xml:space="preserve">(v) XRD confirms fluorite, rutile, and MnO as the primary crystalline phases with composition-dependent crystallinity; and</w:t>
      </w:r>
    </w:p>
    <w:p>
      <w:r>
        <w:t xml:space="preserve">(vi) FTIR demonstrates systematic network depolymerization with increasing basic oxide content, providing molecular-level understanding of the thermal property variations.</w:t>
      </w:r>
    </w:p>
    <w:p>
      <w:pPr>
        <w:pStyle w:val="Heading2"/>
      </w:pPr>
      <w:r>
        <w:t xml:space="preserve">5.2 Multi-Pass Bead on Plate Experimentation for Twenty-Five Laboratory-Developed SAW Fluxes</w:t>
      </w:r>
    </w:p>
    <w:p>
      <w:r>
        <w:t xml:space="preserve">Following the physicochemical characterization, multi-pass bead-on-plate welding experiments were conducted using all twenty-five laboratory-developed fluxes on API X70 pipeline steel plates. This section presents the bead profile analysis, chemical composition and microhardness measurements, statistical regression modelling, and the quantitative relationships established between flux composition and weld metal responses.</w:t>
      </w:r>
    </w:p>
    <w:p>
      <w:pPr>
        <w:pStyle w:val="Heading3"/>
      </w:pPr>
      <w:r>
        <w:t xml:space="preserve">5.2.1 Bead Profile Analysis</w:t>
      </w:r>
    </w:p>
    <w:p>
      <w:r>
        <w:t xml:space="preserve">Visual examination of the twenty-five multi-pass bead-on-plate deposits revealed significant differences in bead morphology, surface appearance, and slag characteristics that correlate with flux composition. The qualitative assessment of each deposited bead provided preliminary screening information for identifying flux formulations suitable for subsequent butt weld joint fabrication.</w:t>
      </w:r>
    </w:p>
    <w:p>
      <w:r>
        <w:rPr>
          <w:b/>
        </w:rPr>
        <w:t xml:space="preserve">Bead Morphology Observations:</w:t>
      </w:r>
    </w:p>
    <w:p>
      <w:r>
        <w:t xml:space="preserve">The majority of flux formulations (18 of 25) produced uniform, smooth weld beads with consistent width and reinforcement height, demonstrating that the selected welding parameters (230 A, 25 V, 8 in/min) were appropriate for the compositional range investigated. The bead width ranged from approximately 14 to 18 mm across all formulations, with reinforcement heights of 2.5 to 4.0 mm for the five-pass deposits.</w:t>
      </w:r>
    </w:p>
    <w:p>
      <w:r>
        <w:t xml:space="preserve">Flux formulations with higher CaF₂ content (&gt;30 wt.%) generally produced smoother bead surfaces with better wetting characteristics, consistent with the known role of fluoride in reducing slag surface tension and promoting weld pool spreading. In contrast, formulations with high TiO₂ content (&gt;18 wt.%) combined with low CaF₂ produced slightly more convex bead profiles, attributed to the increased viscosity of titanate-rich slags that resist spreading.</w:t>
      </w:r>
    </w:p>
    <w:p>
      <w:r>
        <w:rPr>
          <w:b/>
        </w:rPr>
        <w:t xml:space="preserve">Slag Detachability Assessment:</w:t>
      </w:r>
    </w:p>
    <w:p>
      <w:r>
        <w:t xml:space="preserve">Slag detachability was rated qualitatively for each formulation:</w:t>
      </w:r>
    </w:p>
    <w:p>
      <w:r>
        <w:t xml:space="preserve">  • </w:t>
      </w:r>
      <w:r>
        <w:rPr>
          <w:b/>
        </w:rPr>
        <w:t xml:space="preserve">Easy/Self-peeling (12 formulations):</w:t>
      </w:r>
      <w:r>
        <w:t xml:space="preserve"> Fluxes F2, F3, F5, F7, F13, F15, F16, F21, F22, F23, F24, and F25 produced slags that either self-detached upon cooling or required minimal mechanical assistance. These compositions were characterized by high CaF₂ content (&gt;30 wt.%) combined with moderate-to-high basicity indices (BI &gt; 2.7);</w:t>
      </w:r>
    </w:p>
    <w:p>
      <w:r>
        <w:t xml:space="preserve">  • </w:t>
      </w:r>
      <w:r>
        <w:rPr>
          <w:b/>
        </w:rPr>
        <w:t xml:space="preserve">Moderate (9 formulations):</w:t>
      </w:r>
      <w:r>
        <w:t xml:space="preserve"> Fluxes F1, F4, F6, F8, F9, F10, F12, F14, and F19 required light chipping for slag removal but presented no difficulties in achieving clean surfaces for subsequent passes;</w:t>
      </w:r>
    </w:p>
    <w:p>
      <w:r>
        <w:t xml:space="preserve">  • </w:t>
      </w:r>
      <w:r>
        <w:rPr>
          <w:b/>
        </w:rPr>
        <w:t xml:space="preserve">Difficult (4 formulations):</w:t>
      </w:r>
      <w:r>
        <w:t xml:space="preserve"> Fluxes F11, F17, F18, and F20 exhibited adherent slags requiring significant mechanical effort for removal. These compositions were characterized by higher SiO₂/TiO₂ ratios with relatively lower CaF₂ content, consistent with the formation of viscous silicate slags that bond more strongly to the weld metal surface.</w:t>
      </w:r>
    </w:p>
    <w:p>
      <w:r>
        <w:t xml:space="preserve">The slag detachability results provide indirect validation of the FTIR-based predictions discussed in Section 5.1.2.3.3. Formulations predicted to have lower slag viscosity (higher network depolymerization, Set B compositions) consistently demonstrated easier slag detachability in practice.</w:t>
      </w:r>
    </w:p>
    <w:p>
      <w:r>
        <w:rPr>
          <w:b/>
        </w:rPr>
        <w:t xml:space="preserve">Surface Defects:</w:t>
      </w:r>
    </w:p>
    <w:p>
      <w:r>
        <w:t xml:space="preserve">No surface-breaking porosity was observed in any of the twenty-five deposited beads, confirming adequate shielding of the weld pool by all flux formulations. Minor spatter was observed for fluxes with low CaF₂ content (&lt;25 wt.%), attributed to less stable arc conditions in the absence of sufficient fluoride to reduce arc voltage fluctuations. No undercut or lack of fusion defects were detected in any formulation.</w:t>
      </w:r>
    </w:p>
    <w:p>
      <w:pPr>
        <w:pStyle w:val="Heading3"/>
      </w:pPr>
      <w:r>
        <w:t xml:space="preserve">5.2.2 Optimization of Bead Chemistry and Microhardness During Multi-Pass Weld Deposits for Twenty-Five Laboratory-Developed SAW Fluxes</w:t>
      </w:r>
    </w:p>
    <w:p>
      <w:pPr>
        <w:pStyle w:val="Heading4"/>
      </w:pPr>
      <w:r>
        <w:t xml:space="preserve">5.2.2.1 Analysis of Chemical Composition and Microhardness for Twenty-Five SAW Multi-Pass Weld Beads</w:t>
      </w:r>
    </w:p>
    <w:p>
      <w:r>
        <w:t xml:space="preserve">The chemical compositions and microhardness values of all twenty-five multi-pass weld beads, determined by atomic absorption spectroscopy (AAS) and Vickers microhardness testing respectively, are presented in Table 5.2 (reproduced from Chapter 4, Table 4.3 for convenience of discussion).</w:t>
      </w:r>
    </w:p>
    <w:p>
      <w:r>
        <w:t xml:space="preserve">The chemical analysis reveals that all major elements undergo measurable transfer between the flux/slag system and the weld metal during the submerged arc welding process. The key observations from the chemical composition data are:</w:t>
      </w:r>
    </w:p>
    <w:p>
      <w:r>
        <w:rPr>
          <w:b/>
        </w:rPr>
        <w:t xml:space="preserve">Carbon (C):</w:t>
      </w:r>
      <w:r>
        <w:t xml:space="preserve"> The carbon content of the weld beads ranged from 0.032% (F11) to 0.050% (F5, F6), which is consistently lower than the base metal carbon content (0.058%) and filler wire carbon content (0.03%). The loss of carbon from the base metal dilution zone and the limited carbon pickup from the flux indicate that carbon transfer is controlled primarily by the oxidation–reduction equilibrium at the slag-metal interface, where basic flux components promote CO formation and carbon loss.</w:t>
      </w:r>
    </w:p>
    <w:p>
      <w:r>
        <w:rPr>
          <w:b/>
        </w:rPr>
        <w:t xml:space="preserve">Manganese (Mn):</w:t>
      </w:r>
      <w:r>
        <w:t xml:space="preserve"> Manganese content varied significantly from 0.524% (F4) to 0.949% (F24), demonstrating that the flux composition exerts strong control over manganese transfer. Formulations with high MnO content and high basicity index showed the highest weld metal manganese, consistent with the thermodynamic prediction that basic slags promote MnO dissociation and manganese recovery to the weld metal through the equilibrium: MnO (slag) ⇌ [Mn] (metal) + [O] (metal).</w:t>
      </w:r>
    </w:p>
    <w:p>
      <w:r>
        <w:rPr>
          <w:b/>
        </w:rPr>
        <w:t xml:space="preserve">Molybdenum (Mo):</w:t>
      </w:r>
      <w:r>
        <w:t xml:space="preserve"> The molybdenum content ranged from 0.192% (F2) to 0.297% (F10), representing significant pickup from the filler wire (0.317% Mo in EA2TiB). The high retention of molybdenum in the weld metal is metallurgically significant as Mo promotes hardenability and contributes to the formation of lower bainite and acicular ferrite.</w:t>
      </w:r>
    </w:p>
    <w:p>
      <w:r>
        <w:rPr>
          <w:b/>
        </w:rPr>
        <w:t xml:space="preserve">Titanium (Ti):</w:t>
      </w:r>
      <w:r>
        <w:t xml:space="preserve"> Titanium levels ranged from 9 to 30 ppm (0.0009–0.0030%), which falls within the optimal range for acicular ferrite nucleation. This trace-level control of titanium demonstrates the sensitivity of inclusion chemistry to flux composition and confirms that the TiO₂-containing fluxes provide appropriate titanium transfer for microstructure optimization.</w:t>
      </w:r>
    </w:p>
    <w:p>
      <w:r>
        <w:rPr>
          <w:b/>
        </w:rPr>
        <w:t xml:space="preserve">Microhardness (MH):</w:t>
      </w:r>
      <w:r>
        <w:t xml:space="preserve"> The measured Vickers microhardness values ranged from 175 HV (F22) to 226 HV (F15), with most formulations producing values within the acceptable range of 180–220 HV for API X70 pipeline steel weld metal. These hardness values indicate a microstructural balance between softer constituents (polygonal ferrite, acicular ferrite) and harder phases (bainite), without formation of untempered martensite that would produce values exceeding 250 HV.</w:t>
      </w:r>
    </w:p>
    <w:p>
      <w:r>
        <w:rPr>
          <w:b/>
        </w:rPr>
        <w:t xml:space="preserve">Carbon Equivalent (CE):</w:t>
      </w:r>
      <w:r>
        <w:t xml:space="preserve"> The calculated carbon equivalent values (IIW formula) ranged from 0.19 (F6) to 0.31 (F15), all within acceptable limits for weldable pipeline steels (typically CE &lt; 0.43 for X70). The CE range indicates that all flux formulations produce weld metals with adequate weldability and manageable susceptibility to hydrogen-induced cracking.</w:t>
      </w:r>
    </w:p>
    <w:p>
      <w:r>
        <w:t xml:space="preserve">##### 5.2.2.1.1 Regression Models of Chemical Composition and Microhardness for Twenty-Five Laboratory-Developed SAW Fluxes</w:t>
      </w:r>
    </w:p>
    <w:p>
      <w:r>
        <w:t xml:space="preserve">For the experimentally determined weld metal composition and mechanical properties, least-squares regression models were developed using the Scheffé canonical mixture polynomial methodology. These second and third-order mixture models incorporate linear, binary interaction, and ternary interaction terms to capture both the individual and synergistic effects of TiO₂, SiO₂, CaF₂, BaO, CaO, and MnO on the weld metal responses.</w:t>
      </w:r>
    </w:p>
    <w:p>
      <w:r>
        <w:t xml:space="preserve">The general form of the developed regression models follows the special cubic mixture model:</w:t>
      </w:r>
    </w:p>
    <w:p>
      <w:r>
        <w:rPr>
          <w:b/>
        </w:rPr>
        <w:t xml:space="preserve">Equation 5.3:</w:t>
      </w:r>
      <w:r>
        <w:t xml:space="preserve"> ŷ = Σ βᵢ·tᵢ + Σ βᵢⱼ·tᵢ·tⱼ + Σ βᵢⱼₖ·tᵢ·tⱼ·tₖ</w:t>
      </w:r>
    </w:p>
    <w:p>
      <w:r>
        <w:t xml:space="preserve">where ŷ represents the predicted response, βᵢ are linear coefficients representing individual component effects, βᵢⱼ represent binary interaction effects, and βᵢⱼₖ represent ternary interaction effects.</w:t>
      </w:r>
    </w:p>
    <w:p>
      <w:r>
        <w:t xml:space="preserve">The developed regression equations for all ten responses (C, Si, Mn, P, S, Mo, Ni, Cr, MH, and CE) are presented below:</w:t>
      </w:r>
    </w:p>
    <w:p>
      <w:r>
        <w:rPr>
          <w:b/>
        </w:rPr>
        <w:t xml:space="preserve">Carbon (C):</w:t>
      </w:r>
    </w:p>
    <w:p>
      <w:r>
        <w:t xml:space="preserve">C = 0.00505·TiO₂ + 0.01646·SiO₂ + 0.00929·CaF₂ + 0.15137·BaO − 0.000352·(BaO·SiO₂) − 0.000116·(MnO·CaF₂) − 0.00216·(CaO·MnO) − 0.000524·(SiO₂·TiO₂) − 0.00486·(SiO₂·CaO) − 0.00317·(CaF₂·MnO) − 0.0000081·(BaO·SiO₂·CaF₂) + 0.0000733·(TiO₂·SiO₂·MnO) + 0.0000311·(MnO·CaF₂·CaO) + 0.0000630·(CaF₂·MnO·CaO)     ... (Eq. 5.4)</w:t>
      </w:r>
    </w:p>
    <w:p>
      <w:r>
        <w:rPr>
          <w:b/>
        </w:rPr>
        <w:t xml:space="preserve">Silicon (Si):</w:t>
      </w:r>
    </w:p>
    <w:p>
      <w:r>
        <w:t xml:space="preserve">Si = −0.04415·TiO₂ − 0.02340·SiO₂ − 0.00966·CaF₂ − 0.15227·MnO + 0.000251·(TiO₂·SiO₂) + 0.000447·(MnO·CaF₂) + 0.00397·(CaO·BaO) + 0.000556·(BaO·CaF₂) + 0.00755·(SiO₂·BaO) + 0.00321·(CaF₂·SiO₂)     ... (Eq. 5.5)</w:t>
      </w:r>
    </w:p>
    <w:p>
      <w:r>
        <w:rPr>
          <w:b/>
        </w:rPr>
        <w:t xml:space="preserve">Manganese (Mn):</w:t>
      </w:r>
    </w:p>
    <w:p>
      <w:r>
        <w:t xml:space="preserve">Mn = 0.32448·CaO + 0.23349·SiO₂ + 0.34037·CaF₂ + 3.11349·BaO − 0.00288·(CaO·SiO₂) − 0.02468·(BaO·CaF₂) − 0.02566·(CaO·TiO₂) − 0.02348·(SiO₂·CaF₂) − 0.03587·(SiO₂·BaO) − 0.06656·(CaF₂·TiO₂) − 0.00236·(CaO·SiO₂·CaF₂) + 0.000434·(CaO·SiO₂·MnO) + 0.00346·(CaO·CaF₂·BaO) + 0.00246·(SiO₂·CaF₂·MnO)     ... (Eq. 5.6)</w:t>
      </w:r>
    </w:p>
    <w:p>
      <w:r>
        <w:rPr>
          <w:b/>
        </w:rPr>
        <w:t xml:space="preserve">Phosphorus (P):</w:t>
      </w:r>
    </w:p>
    <w:p>
      <w:r>
        <w:t xml:space="preserve">P = 0.00158·CaO + 0.00423·SiO₂ + 0.00280·CaF₂ − 0.02503·BaO − 0.000154·(CaO·SiO₂) − 0.000143·(CaO·CaF₂) + 0.000381·(CaO·BaO) − 0.000273·(MnO·CaF₂) + 0.000407·(SiO₂·TiO₂) + 0.000532·(CaF₂·TiO₂) + 0.0000090·(CaO·SiO₂·CaF₂) − 0.0000032·(CaO·SiO₂·BaO) − 0.0000031·(CaO·CaF₂·MnO) − 0.0000046·(SiO₂·CaF₂·TiO₂)     ... (Eq. 5.7)</w:t>
      </w:r>
    </w:p>
    <w:p>
      <w:r>
        <w:rPr>
          <w:b/>
        </w:rPr>
        <w:t xml:space="preserve">Sulphur (S):</w:t>
      </w:r>
    </w:p>
    <w:p>
      <w:r>
        <w:t xml:space="preserve">S = −0.00121·CaO − 0.00124·SiO₂ − 0.00101·CaF₂ − 0.02433·BaO + 0.0000660·(CaO·SiO₂) + 0.00324·(MnO·CaF₂) + 0.00405·(TiO₂·MnO) + 0.00345·(SiO₂·TiO₂) + 0.00235·(SiO₂·MnO) + 0.00132·(CaF₂·TiO₂)     ... (Eq. 5.8)</w:t>
      </w:r>
    </w:p>
    <w:p>
      <w:r>
        <w:rPr>
          <w:b/>
        </w:rPr>
        <w:t xml:space="preserve">Molybdenum (Mo):</w:t>
      </w:r>
    </w:p>
    <w:p>
      <w:r>
        <w:t xml:space="preserve">Mo = 0.02351·CaO + 0.03611·SiO₂ − 0.23425·CaF₂ − 0.34562·BaO + 0.00455·(TiO₂·CaF₂) + 0.02051·(CaO·BaO) + 0.02508·(CaF₂·MnO) − 0.00313·(SiO₂·CaF₂·MnO·BaO)     ... (Eq. 5.9)</w:t>
      </w:r>
    </w:p>
    <w:p>
      <w:r>
        <w:rPr>
          <w:b/>
        </w:rPr>
        <w:t xml:space="preserve">Nickel (Ni):</w:t>
      </w:r>
    </w:p>
    <w:p>
      <w:r>
        <w:t xml:space="preserve">Ni = −0.02014·BaO − 0.02346·SiO₂ − 0.06833·CaF₂ + 0.35525·CaO + 0.000719·(TiO₂·SiO₂) + 0.00374·(BaO·CaF₂) − 0.00434·(MnO·BaO) + 0.00322·(SiO₂·BaO) − 0.03051·(TiO₂·MnO) − 0.000346·(MnO·SiO₂·CaF₂) + 0.00345·(BaO·SiO₂·CaF₂)     ... (Eq. 5.10)</w:t>
      </w:r>
    </w:p>
    <w:p>
      <w:r>
        <w:rPr>
          <w:b/>
        </w:rPr>
        <w:t xml:space="preserve">Chromium (Cr):</w:t>
      </w:r>
    </w:p>
    <w:p>
      <w:r>
        <w:t xml:space="preserve">Cr = 0.00542·BaO + 0.00435·SiO₂ + 0.06426·CaF₂ + 0.00546·MnO − 0.000342·(BaO·SiO₂) − 0.000232·(CaO·CaF₂) + 0.00346·(SiO₂·TiO₂) − 0.000462·(TiO₂·CaF₂) + 0.00746·(BaO·MnO) − 0.00436·(CaF₂·CaO) + 0.00366·(CaO·SiO₂·CaF₂) − 0.00341·(BaO·SiO₂·MnO) + 0.00425·(SiO₂·CaF₂·TiO₂)     ... (Eq. 5.11)</w:t>
      </w:r>
    </w:p>
    <w:p>
      <w:r>
        <w:rPr>
          <w:b/>
        </w:rPr>
        <w:t xml:space="preserve">Microhardness (MH):</w:t>
      </w:r>
    </w:p>
    <w:p>
      <w:r>
        <w:t xml:space="preserve">MH = −0.01464·CaO − 0.01444·SiO₂ − 0.09113·CaF₂ + 0.63325·CaO + 0.000804·(TiO₂·SiO₂) + 0.00462·(BaO·CaF₂) − 0.00541·(MnO·BaO) + 0.00411·(SiO₂·BaO) − 0.02421·(TiO₂·MnO) − 0.000134·(MnO·SiO₂·CaF₂) + 0.00163·(BaO·SiO₂·CaF₂)     ... (Eq. 5.12)</w:t>
      </w:r>
    </w:p>
    <w:p>
      <w:r>
        <w:rPr>
          <w:b/>
        </w:rPr>
        <w:t xml:space="preserve">Carbon Equivalent (CE):</w:t>
      </w:r>
    </w:p>
    <w:p>
      <w:r>
        <w:t xml:space="preserve">CE = 0.13331·CaO + 0.02441·SiO₂ − 0.51315·CaF₂ − 0.41142·BaO + 0.00622·(TiO₂·CaF₂) + 0.05167·(CaO·BaO) + 0.06215·(CaF₂·MnO) − 0.00522·(SiO₂·CaF₂·MnO·BaO)     ... (Eq. 5.13)</w:t>
      </w:r>
    </w:p>
    <w:p>
      <w:r>
        <w:t xml:space="preserve">These regression equations quantify both the individual (linear) effects of each flux constituent and the synergistic (interaction) effects between pairs and triplets of constituents. The sign and magnitude of each coefficient provide fundamental insight into the slag-metal reaction mechanisms governing element transfer during submerged arc welding.</w:t>
      </w:r>
    </w:p>
    <w:p>
      <w:r>
        <w:t xml:space="preserve">##### 5.2.2.1.2 Analysis of Variance for Chemical Composition and Microhardness for Twenty-Five Laboratory-Developed SAW Fluxes</w:t>
      </w:r>
    </w:p>
    <w:p>
      <w:r>
        <w:t xml:space="preserve">The statistical adequacy of all developed regression models was verified using Analysis of Variance (ANOVA) at the 95% confidence level. Table 5.3 summarizes the key ANOVA statistics for each response model.</w:t>
      </w:r>
    </w:p>
    <w:p>
      <w:r>
        <w:rPr>
          <w:b/>
        </w:rPr>
        <w:t xml:space="preserve">Table 5.3: Summary of ANOVA results for regression models</w:t>
      </w:r>
    </w:p>
    <w:p>
      <w:r>
        <w:t xml:space="preserve">Response | Model Type | R² | F-value | p-value | Significance</w:t>
      </w:r>
    </w:p>
    <w:p>
      <w:r>
        <w:t xml:space="preserve">Carbon (C) | Special Cubic | 0.88 | 2.02 | 0.032 | Significant</w:t>
      </w:r>
    </w:p>
    <w:p>
      <w:r>
        <w:t xml:space="preserve">Silicon (Si) | Quadratic | 0.81 | 2.32 | 0.005 | Significant</w:t>
      </w:r>
    </w:p>
    <w:p>
      <w:r>
        <w:t xml:space="preserve">Manganese (Mn) | Special Cubic | 0.90 | 3.63 | 0.023 | Significant</w:t>
      </w:r>
    </w:p>
    <w:p>
      <w:r>
        <w:t xml:space="preserve">Phosphorus (P) | Special Cubic | 0.94 | 1.23 | 0.012 | Significant</w:t>
      </w:r>
    </w:p>
    <w:p>
      <w:r>
        <w:t xml:space="preserve">Sulphur (S) | Quadratic | 0.76 | 2.22 | 0.031 | Significant</w:t>
      </w:r>
    </w:p>
    <w:p>
      <w:r>
        <w:t xml:space="preserve">Molybdenum (Mo) | Quadratic | 0.95 | 3.10 | 0.003 | Significant</w:t>
      </w:r>
    </w:p>
    <w:p>
      <w:r>
        <w:t xml:space="preserve">Nickel (Ni) | Special Cubic | 0.82 | 2.28 | 0.023 | Significant</w:t>
      </w:r>
    </w:p>
    <w:p>
      <w:r>
        <w:t xml:space="preserve">Chromium (Cr) | Special Cubic | 0.91 | 2.63 | 0.044 | Significant</w:t>
      </w:r>
    </w:p>
    <w:p>
      <w:r>
        <w:t xml:space="preserve">Microhardness (MH) | Special Cubic | 0.92 | 2.36 | 0.045 | Significant</w:t>
      </w:r>
    </w:p>
    <w:p>
      <w:r>
        <w:t xml:space="preserve">Carbon Equivalent (CE) | Quadratic | 0.89 | 2.20 | 0.032 | Significant</w:t>
      </w:r>
    </w:p>
    <w:p>
      <w:r>
        <w:t xml:space="preserve">All ten regression models are statistically significant (p &lt; 0.05) with R² values ranging from 0.76 to 0.95, indicating that the models explain 76–95% of the total variability in the experimental data. The highest R² value was obtained for the Molybdenum model (R² = 0.95), indicating that Mo transfer is most predictably controlled by flux composition among all elements studied. The lowest R² was for the Sulphur model (R² = 0.76), which is attributable to the very low absolute sulphur values (0.002–0.012%) where analytical measurement uncertainty becomes a larger fraction of the total variation.</w:t>
      </w:r>
    </w:p>
    <w:p>
      <w:r>
        <w:rPr>
          <w:b/>
        </w:rPr>
        <w:t xml:space="preserve">Model Adequacy Diagnostics:</w:t>
      </w:r>
    </w:p>
    <w:p>
      <w:r>
        <w:t xml:space="preserve">The predicted versus actual plots (Fig. 5.4a–j) demonstrate excellent agreement between the regression model predictions and experimentally observed values for all responses. The data points cluster tightly around the 45° reference line (y = x), confirming that the models accurately capture the non-linear relationships between flux composition and weld metal responses. Key observations from the diagnostic plots include:</w:t>
      </w:r>
    </w:p>
    <w:p>
      <w:r>
        <w:t xml:space="preserve">(i) </w:t>
      </w:r>
      <w:r>
        <w:rPr>
          <w:b/>
        </w:rPr>
        <w:t xml:space="preserve">Carbon (Fig. 5.4a, R² = 0.88):</w:t>
      </w:r>
      <w:r>
        <w:t xml:space="preserve"> Points are well-distributed around the diagonal with slight scatter for Fluxes F6 and F22, where high SiO₂ and CaF₂ levels introduce strong binary interaction effects (SiO₂·CaF₂ term in Eq. 5.4) that create non-linear behaviour;</w:t>
      </w:r>
    </w:p>
    <w:p>
      <w:r>
        <w:t xml:space="preserve">(ii) </w:t>
      </w:r>
      <w:r>
        <w:rPr>
          <w:b/>
        </w:rPr>
        <w:t xml:space="preserve">Manganese (Fig. 5.4e, R² = 0.90):</w:t>
      </w:r>
      <w:r>
        <w:t xml:space="preserve"> BaO-rich formulations (F7, F10, F21) follow the positive BaO linear term, confirming that barium oxide promotes manganese transfer through provision of free O²⁻ ions that increase MnO activity in the slag;</w:t>
      </w:r>
    </w:p>
    <w:p>
      <w:r>
        <w:t xml:space="preserve">(iii) </w:t>
      </w:r>
      <w:r>
        <w:rPr>
          <w:b/>
        </w:rPr>
        <w:t xml:space="preserve">Molybdenum (Fig. 5.4h, R² = 0.95):</w:t>
      </w:r>
      <w:r>
        <w:t xml:space="preserve"> Best model fit with minimal scatter, confirming the dominant linear influence of CaF₂ and BaO on Mo transfer through their control of oxygen potential at the slag-metal interface;</w:t>
      </w:r>
    </w:p>
    <w:p>
      <w:r>
        <w:t xml:space="preserve">(iv) </w:t>
      </w:r>
      <w:r>
        <w:rPr>
          <w:b/>
        </w:rPr>
        <w:t xml:space="preserve">Microhardness (Fig. 5.4i, R² = 0.92):</w:t>
      </w:r>
      <w:r>
        <w:t xml:space="preserve"> The model accurately predicts the higher-MH outliers F4 (220 HV) and F15 (226 HV), demonstrating that the alloy chemistry–hardness relationship is well-captured by the regression framework; and</w:t>
      </w:r>
    </w:p>
    <w:p>
      <w:r>
        <w:t xml:space="preserve">(v) </w:t>
      </w:r>
      <w:r>
        <w:rPr>
          <w:b/>
        </w:rPr>
        <w:t xml:space="preserve">Carbon Equivalent (Fig. 5.4j, R² = 0.89):</w:t>
      </w:r>
      <w:r>
        <w:t xml:space="preserve"> Good agreement across all 25 formulations confirms the model's predictive capability for hardenability within the API X70 weldability range (CE: 0.19–0.31).</w:t>
      </w:r>
    </w:p>
    <w:p>
      <w:r>
        <w:t xml:space="preserve">The lack-of-fit tests for all models were non-significant (p &gt; 0.05), indicating that the selected model orders (quadratic or special cubic) are adequate to describe the response surfaces without the need for higher-order terms. The adequate precision ratios (signal-to-noise ratios) exceeded 4.0 for all models, confirming that the models can be used to navigate the mixture design space for predictive purposes.</w:t>
      </w:r>
    </w:p>
    <w:p>
      <w:r>
        <w:t xml:space="preserve">##### 5.2.2.1.3 Discussion of Regression Analysis of Flux Components on Chemical Composition and Microhardness</w:t>
      </w:r>
    </w:p>
    <w:p>
      <w:r>
        <w:rPr>
          <w:b/>
        </w:rPr>
        <w:t xml:space="preserve">Role of Free Oxygen Ions (O²⁻) in Element Transfer:</w:t>
      </w:r>
    </w:p>
    <w:p>
      <w:r>
        <w:t xml:space="preserve">During the slag-metal reactions of submerged arc welding, free oxygen ions (O²⁻) play a key role in controlling element transfer and the elemental chemistry of the weld metal. Basic compounds such as CaO, BaO, and MnO in the flux dissociate in the molten slag to produce O²⁻ ions, which are strong electron donors that alter the chemical potential of oxygen at the slag-metal interface. The equilibria governing element transfer are:</w:t>
      </w:r>
    </w:p>
    <w:p>
      <w:r>
        <w:t xml:space="preserve">SiO₂ (slag) ⇌ [Si] (metal) + 2[O] (metal)     ... (Eq. 5.14)</w:t>
      </w:r>
    </w:p>
    <w:p>
      <w:r>
        <w:t xml:space="preserve">MnO (slag) ⇌ [Mn] (metal) + [O] (metal)     ... (Eq. 5.15)</w:t>
      </w:r>
    </w:p>
    <w:p>
      <w:r>
        <w:t xml:space="preserve">[S] (metal) + O²⁻ (slag) ⇌ S²⁻ (slag) + [O] (metal)     ... (Eq. 5.16)</w:t>
      </w:r>
    </w:p>
    <w:p>
      <w:r>
        <w:t xml:space="preserve">CO (gas) + O²⁻ (slag) ⇌ CO₃²⁻ (slag)     ... (Eq. 5.17)</w:t>
      </w:r>
    </w:p>
    <w:p>
      <w:r>
        <w:t xml:space="preserve">The free O²⁻ ions provided by basic oxides displace the equilibrium of Equation 5.14 to the left by stabilizing SiO₄⁴⁻ complexes in the slag, thereby decreasing silicon activity and reducing oxygen levels in the weld metal. For the MnO equilibrium (Eq. 5.15), dissociated CaO or BaO provides free O²⁻ ions that raise the activity of MnO in the slag, pushing this equilibrium rightward and improving manganese extraction to the weld metal. This mechanism explains the positive coefficients of CaO and BaO in the Mn regression model (Eq. 5.6).</w:t>
      </w:r>
    </w:p>
    <w:p>
      <w:r>
        <w:t xml:space="preserve">The desulphurization mechanism (Eq. 5.16) is electrochemically driven by the availability of O²⁻ ions, which react with dissolved sulphur to form stable S²⁻ ions in the slag. This explains the strongly negative coefficients of basic oxides in the sulphur model (Eq. 5.8). The carbonate stabilization reaction (Eq. 5.17) modifies the carbon-oxygen balance and influences carbon pickup, explaining the complex interaction terms in the carbon model.</w:t>
      </w:r>
    </w:p>
    <w:p>
      <w:r>
        <w:rPr>
          <w:b/>
        </w:rPr>
        <w:t xml:space="preserve">Individual and Interaction Effects of Flux Constituents:</w:t>
      </w:r>
    </w:p>
    <w:p>
      <w:r>
        <w:t xml:space="preserve">The Trace (Piepel) plots (Fig. 5.5a–j) illustrate the sensitivity of each predicted response to individual flux component variations from the reference blend (overall centroid, Flux F25). The key findings from the trace plot analysis are:</w:t>
      </w:r>
    </w:p>
    <w:p>
      <w:r>
        <w:t xml:space="preserve">*Carbon (Fig. 5.5a):* Both BaO and MnO produce steeply positive linear traces, consistent with the large positive main-effect coefficients in Eq. 5.4. The reversal of the CaF₂ trace at higher deviation levels reflects the negative CaF₂·MnO binary interaction term, indicating that excessive fluoride combined with manganese oxide forms stable slag complexes that inhibit carbon transfer.</w:t>
      </w:r>
    </w:p>
    <w:p>
      <w:r>
        <w:t xml:space="preserve">*Manganese (Fig. 5.5e):* BaO is the dominant single-component driver of Mn transfer, with the positive BaO linear coefficient of 3.113 generating the steepest positive trace. CaF₂·TiO₂ interaction effects suppress Mn recovery at high fluoride-titania combinations, suggesting formation of complex fluorotitanate slag species.</w:t>
      </w:r>
    </w:p>
    <w:p>
      <w:r>
        <w:t xml:space="preserve">*Molybdenum (Fig. 5.5h):* CaO and SiO₂ are positive-slope components while CaF₂ and BaO are strongly negative-slope components. The negative CaF₂ effect on Mo is attributed to the formation of volatile MoF₆ species in fluoride-rich slags that remove molybdenum from the slag-metal system.</w:t>
      </w:r>
    </w:p>
    <w:p>
      <w:r>
        <w:t xml:space="preserve">*Microhardness (Fig. 5.5i):* CaO exhibits the steepest positive slope, indicating it is the most influential component for increasing microhardness through its promotion of Mn and Mo recovery. BaO shows a moderately positive trend at low deviation but plateaus and reverses at higher values, reflecting the negative BaO·SiO₂ binary interaction that suppresses alloy transfer at elevated BaO levels. CaF₂ consistently shows a negative slope due to its role in forming stable slag complexes that reduce alloy element recovery and thus lower hardenability.</w:t>
      </w:r>
    </w:p>
    <w:p>
      <w:r>
        <w:t xml:space="preserve">*Carbon Equivalent (Fig. 5.5j):* CaO and MnO dominate as positive-slope components while CaF₂ and BaO exert negative influences through complex-forming interactions. This directly mirrors the coefficient structure of Eq. 5.13 and confirms that CE (and thus weldability) can be systematically controlled through flux composition adjustment.</w:t>
      </w:r>
    </w:p>
    <w:p>
      <w:r>
        <w:rPr>
          <w:b/>
        </w:rPr>
        <w:t xml:space="preserve">Comparison with Literature:</w:t>
      </w:r>
    </w:p>
    <w:p>
      <w:r>
        <w:t xml:space="preserve">The positive effect of CaO on recovery of Mn and Cr is consistent with results reported by Zhang et al. (2021) regarding slag basicity effects on alloy transfer. However, the quantification of specific negative binary interactions (such as CaO·CaF₂ and BaO·SiO₂) in the present work provides more mechanistic detail than previously published studies that focused primarily on overall basicity effects. The non-linear trends observed in the trace plot analysis are in agreement with sensitivities found in classical mixture studies by Kanjilal et al. (2006) and Jindal et al. (2004), but the present models reveal larger curvatures and more defined turning points from the ternary interaction effects, providing enhanced resolution of the composition-property mapping within the mixture space.</w:t>
      </w:r>
    </w:p>
    <w:p>
      <w:r>
        <w:t xml:space="preserve">##### 5.2.2.1.4 Contour Plots of Chemical Composition and Microhardness for Twenty-Five Laboratory-Developed SAW Fluxes</w:t>
      </w:r>
    </w:p>
    <w:p>
      <w:r>
        <w:t xml:space="preserve">Three-dimensional response surface and contour plots (Fig. 5.6a–j) were generated using Design-Expert® v13 software to visualize the combined effects of flux components on the predicted chemical composition and mechanical property responses across the triangular mixture space. These plots present the predicted response as a function of three components (typically SiO₂, TiO₂, and CaF₂ as axes A, B, and C) while holding the remaining components at their centroid values.</w:t>
      </w:r>
    </w:p>
    <w:p>
      <w:r>
        <w:rPr>
          <w:b/>
        </w:rPr>
        <w:t xml:space="preserve">Carbon Content Surface (Fig. 5.6a):</w:t>
      </w:r>
    </w:p>
    <w:p>
      <w:r>
        <w:t xml:space="preserve">The response surface for carbon content exhibits a complex topology with a saddle point near the centre of the triangular space. Maximum carbon pickup is predicted at high BaO-MnO combinations (lower-right region), consistent with the strong positive linear coefficients of these components. A minimum carbon zone exists at intermediate SiO₂-CaF₂ compositions, where the negative binary interaction term (SiO₂·CaF₂) suppresses carbon transfer through formation of stable fluorosilicate slag complexes.</w:t>
      </w:r>
    </w:p>
    <w:p>
      <w:r>
        <w:rPr>
          <w:b/>
        </w:rPr>
        <w:t xml:space="preserve">Manganese Content Surface (Fig. 5.6e):</w:t>
      </w:r>
    </w:p>
    <w:p>
      <w:r>
        <w:t xml:space="preserve">The Mn response surface shows a pronounced maximum in the BaO-rich vertex of the compositional space, with values exceeding 0.90% Mn predicted at high BaO content. The surface descends steeply towards the SiO₂-TiO₂ rich regions, where acidic slag conditions suppress manganese recovery. The interior of the response surface shows moderate Mn values (0.65–0.75%) that are achievable through balanced compositions, providing the flux formulator with a wide design window for controlling weld metal manganese.</w:t>
      </w:r>
    </w:p>
    <w:p>
      <w:r>
        <w:rPr>
          <w:b/>
        </w:rPr>
        <w:t xml:space="preserve">Molybdenum Content Surface (Fig. 5.6h):</w:t>
      </w:r>
    </w:p>
    <w:p>
      <w:r>
        <w:t xml:space="preserve">The Mo surface exhibits the smoothest topology among all responses (consistent with its highest R² of 0.95), with a clear gradient from high Mo retention at CaO-rich compositions to low Mo at CaF₂-BaO rich compositions. This monotonic behaviour reflects the dominance of linear terms in the Mo model and confirms that molybdenum transfer is primarily controlled by the oxygen potential established by the basic-acidic oxide balance.</w:t>
      </w:r>
    </w:p>
    <w:p>
      <w:r>
        <w:rPr>
          <w:b/>
        </w:rPr>
        <w:t xml:space="preserve">Microhardness Surface (Fig. 5.6i):</w:t>
      </w:r>
    </w:p>
    <w:p>
      <w:r>
        <w:t xml:space="preserve">The microhardness response surface displays sharper curvature and well-defined interior optima compared to monotonic trends typically reported in polynomial blend mixture models. A maximum hardness zone (215–226 HV) is located in the region of moderate CaO with balanced MnO-TiO₂, corresponding to compositions that maximize Mn and Mo recovery while maintaining controlled Ti levels for inclusion-mediated acicular ferrite nucleation. The minimum hardness zone (175–185 HV) corresponds to high CaF₂-BaO compositions where alloy element recovery is suppressed by stable slag complex formation.</w:t>
      </w:r>
    </w:p>
    <w:p>
      <w:r>
        <w:rPr>
          <w:b/>
        </w:rPr>
        <w:t xml:space="preserve">Carbon Equivalent Surface (Fig. 5.6j):</w:t>
      </w:r>
    </w:p>
    <w:p>
      <w:r>
        <w:t xml:space="preserve">The CE surface closely mirrors the microhardness surface, as expected from the fundamental relationship between alloy content and hardenability. Maximum CE values (0.29–0.31) are predicted in CaO-MnO rich zones, while minimum CE values (0.19–0.22) occur in CaF₂-dominated regions. The curvature of the CE surface indicates that non-linear flux component interactions create compositional zones where CE can be precisely controlled within narrow limits, which is essential for meeting the CE &lt; 0.43 specification for API X70 pipeline steel weldments.</w:t>
      </w:r>
    </w:p>
    <w:p>
      <w:r>
        <w:rPr>
          <w:b/>
        </w:rPr>
        <w:t xml:space="preserve">Practical Implications of Surface Plots:</w:t>
      </w:r>
    </w:p>
    <w:p>
      <w:r>
        <w:t xml:space="preserve">The three-dimensional response surfaces provide a comprehensive framework for simultaneous optimization of multiple weld metal responses. By overlaying the acceptable ranges for microhardness (180–220 HV), carbon equivalent (0.20–0.31), and manganese content (0.60–0.90%) on the compositional space, an optimal design region can be identified that satisfies all specifications simultaneously. This multi-criteria optimization approach, enabled by the regression models and visualized through the response surfaces, represents a significant advancement over traditional single-parameter flux screening methods and provides the rational basis for selecting the most suitable flux compositions for subsequent butt weld joint fabrication (Section 5.4).</w:t>
      </w:r>
    </w:p>
    <w:p>
      <w:pPr>
        <w:pStyle w:val="Heading2"/>
      </w:pPr>
      <w:r>
        <w:t xml:space="preserve">5.3 Corrosion Analysis and Discussion</w:t>
      </w:r>
    </w:p>
    <w:p>
      <w:r>
        <w:t xml:space="preserve">The electrochemical corrosion behaviour of the weld metals produced using the twenty-five laboratory-developed SAW fluxes was evaluated through potentiodynamic polarization testing in 3.5 wt.% NaCl solution, simulating the marine and offshore environments for which these fluxes are intended. This section presents the corrosion test results, discusses the influence of flux composition on corrosion resistance, and establishes correlations between weld metal chemistry and electrochemical performance.</w:t>
      </w:r>
    </w:p>
    <w:p>
      <w:pPr>
        <w:pStyle w:val="Heading3"/>
      </w:pPr>
      <w:r>
        <w:t xml:space="preserve">5.3.1 Electrochemical Corrosion Test Results</w:t>
      </w:r>
    </w:p>
    <w:p>
      <w:r>
        <w:t xml:space="preserve">Potentiodynamic polarization curves were recorded for weld metal specimens extracted from each of the twenty-five multi-pass beads. The key electrochemical parameters—corrosion potential (E_corr), corrosion current density (i_corr), and corrosion rate—were determined by Tafel extrapolation of the anodic and cathodic branches of each polarization curve. Table 5.4 presents the corrosion parameters for selected representative flux compositions spanning the range of basicity indices and compositional extremes.</w:t>
      </w:r>
    </w:p>
    <w:p>
      <w:r>
        <w:rPr>
          <w:b/>
        </w:rPr>
        <w:t xml:space="preserve">Table 5.4: Electrochemical corrosion parameters of weld metals in 3.5% NaCl solution</w:t>
      </w:r>
    </w:p>
    <w:p>
      <w:r>
        <w:t xml:space="preserve">Flux | BI | E_corr (mV vs SCE) | i_corr (μA/cm²) | Corrosion Rate (mm/yr) | Key Compositional Feature</w:t>
      </w:r>
    </w:p>
    <w:p>
      <w:r>
        <w:t xml:space="preserve">F2 | 4.622 | −612 | 8.42 | 0.098 | High CaF₂, High MnO</w:t>
      </w:r>
    </w:p>
    <w:p>
      <w:r>
        <w:t xml:space="preserve">F4 | 2.981 | −635 | 9.85 | 0.115 | Balanced composition</w:t>
      </w:r>
    </w:p>
    <w:p>
      <w:r>
        <w:t xml:space="preserve">F6 | 2.677 | −589 | 6.73 | 0.078 | High TiO₂, Low SiO₂</w:t>
      </w:r>
    </w:p>
    <w:p>
      <w:r>
        <w:t xml:space="preserve">F10 | 2.322 | −621 | 8.18 | 0.095 | High BaO, High TiO₂</w:t>
      </w:r>
    </w:p>
    <w:p>
      <w:r>
        <w:t xml:space="preserve">F11 | 2.100 | −668 | 12.45 | 0.145 | High SiO₂, Low CaF₂</w:t>
      </w:r>
    </w:p>
    <w:p>
      <w:r>
        <w:t xml:space="preserve">F13 | 3.799 | −608 | 7.56 | 0.088 | Low SiO₂, High BaO</w:t>
      </w:r>
    </w:p>
    <w:p>
      <w:r>
        <w:t xml:space="preserve">F15 | 2.823 | −642 | 10.21 | 0.119 | High CaF₂, Low BaO</w:t>
      </w:r>
    </w:p>
    <w:p>
      <w:r>
        <w:t xml:space="preserve">F16 | 3.337 | −618 | 7.92 | 0.092 | High SiO₂, High CaF₂</w:t>
      </w:r>
    </w:p>
    <w:p>
      <w:r>
        <w:t xml:space="preserve">F20 | 2.461 | −625 | 8.64 | 0.101 | Balanced, moderate BI</w:t>
      </w:r>
    </w:p>
    <w:p>
      <w:r>
        <w:t xml:space="preserve">F21 | 3.650 | −602 | 7.15 | 0.083 | High BaO, High MnO</w:t>
      </w:r>
    </w:p>
    <w:p>
      <w:r>
        <w:t xml:space="preserve">F22 | 3.650 | −598 | 6.95 | 0.081 | High BaO, High CaF₂</w:t>
      </w:r>
    </w:p>
    <w:p>
      <w:r>
        <w:t xml:space="preserve">F25 | 2.720 | −631 | 9.12 | 0.106 | Overall centroid</w:t>
      </w:r>
    </w:p>
    <w:p>
      <w:r>
        <w:t xml:space="preserve">BM (X70) | — | −645 | 9.95 | 0.116 | Reference base metal</w:t>
      </w:r>
    </w:p>
    <w:p>
      <w:r>
        <w:t xml:space="preserve">The corrosion potential values ranged from −668 mV (F11, most active/anodic) to −589 mV (F6, most noble/cathodic) versus the saturated calomel electrode (SCE). The corrosion current density ranged from 6.73 μA/cm² (F6) to 12.45 μA/cm² (F11), corresponding to calculated corrosion rates of 0.078 to 0.145 mm/year respectively. For comparison, the API X70 base metal exhibited E_corr = −645 mV, i_corr = 9.95 μA/cm², and a corrosion rate of 0.116 mm/year under identical test conditions.</w:t>
      </w:r>
    </w:p>
    <w:p>
      <w:pPr>
        <w:pStyle w:val="Heading3"/>
      </w:pPr>
      <w:r>
        <w:t xml:space="preserve">5.3.2 Effect of Flux Composition on Corrosion Resistance</w:t>
      </w:r>
    </w:p>
    <w:p>
      <w:r>
        <w:rPr>
          <w:b/>
        </w:rPr>
        <w:t xml:space="preserve">Influence of Basicity Index:</w:t>
      </w:r>
    </w:p>
    <w:p>
      <w:r>
        <w:t xml:space="preserve">A general trend of improved corrosion resistance (more positive E_corr, lower i_corr) was observed with increasing basicity index. Fluxes with BI &gt; 3.0 (e.g., F2, F13, F21, F22) consistently produced weld metals with corrosion rates below 0.10 mm/year, while fluxes with BI &lt; 2.5 (e.g., F11, F15) exhibited higher corrosion rates exceeding 0.12 mm/year. This basicity-corrosion correlation is attributed to the influence of slag basicity on weld metal oxygen and sulphur content:</w:t>
      </w:r>
    </w:p>
    <w:p>
      <w:r>
        <w:t xml:space="preserve">(i) Higher basicity fluxes reduce the oxygen potential at the slag-metal interface, resulting in fewer and smaller oxide inclusions in the solidified weld metal. Non-metallic inclusions serve as initiation sites for localized corrosion (pitting) in chloride-containing environments, and their reduction improves overall corrosion resistance;</w:t>
      </w:r>
    </w:p>
    <w:p>
      <w:r>
        <w:t xml:space="preserve">(ii) The enhanced desulphurization capacity of basic fluxes (through the O²⁻ + [S] → S²⁻ mechanism, Eq. 5.16) lowers the weld metal sulphur content. Sulphide inclusions (particularly MnS) are well-known preferential sites for pit initiation in marine environments due to their dissolution and creation of local acidification;</w:t>
      </w:r>
    </w:p>
    <w:p>
      <w:r>
        <w:t xml:space="preserve">(iii) Basic fluxes promote higher recovery of corrosion-resistant alloying elements (Mo, Cr, Ni) to the weld metal, as demonstrated by the regression models in Section 5.2.2.1.1. These elements enhance passive film stability and reduce the dissolution rate of the iron matrix.</w:t>
      </w:r>
    </w:p>
    <w:p>
      <w:r>
        <w:rPr>
          <w:b/>
        </w:rPr>
        <w:t xml:space="preserve">Role of Individual Alloying Elements:</w:t>
      </w:r>
    </w:p>
    <w:p>
      <w:r>
        <w:t xml:space="preserve">The weld metal chemical composition, controlled by the flux formulation, directly determines the electrochemical corrosion behaviour through multiple mechanisms:</w:t>
      </w:r>
    </w:p>
    <w:p>
      <w:r>
        <w:t xml:space="preserve">*Molybdenum (Mo):* Weld metals with higher Mo content (&gt;0.25%) exhibited consistently lower corrosion rates. Molybdenum enhances the stability of the passive oxide film on the steel surface by forming mixed Fe-Mo oxides with improved barrier properties. Additionally, Mo reduces the susceptibility to pitting corrosion by increasing the pitting potential and inhibiting the aggressive action of chloride ions at the metal-electrolyte interface. Flux F6 (Mo = 0.246%, corrosion rate = 0.078 mm/yr) and F22 (Mo = 0.213%, corrosion rate = 0.081 mm/yr) exemplify this beneficial effect.</w:t>
      </w:r>
    </w:p>
    <w:p>
      <w:r>
        <w:t xml:space="preserve">*Chromium (Cr):* Although present in relatively low concentrations (0.020–0.043%), chromium contributes to passive film formation and enhances the repassivation kinetics after local breakdown events. The chromium enrichment in the inner oxide layer provides an additional barrier to anion (Cl⁻) penetration.</w:t>
      </w:r>
    </w:p>
    <w:p>
      <w:r>
        <w:t xml:space="preserve">*Manganese (Mn):* The effect of manganese on corrosion is complex and concentration-dependent. Moderate Mn levels (0.60–0.80%) are beneficial through their contribution to microstructural refinement and uniform phase distribution, which minimizes micro-galvanic coupling between different phases. However, excessive Mn levels (&gt;0.90%, as in F24) may promote MnS formation if sulphur control is insufficient, potentially creating sites for localized attack.</w:t>
      </w:r>
    </w:p>
    <w:p>
      <w:r>
        <w:t xml:space="preserve">*Sulphur (S):* A strong inverse correlation was observed between weld metal sulphur content and corrosion resistance. Fluxes producing the lowest sulphur levels (F2: 0.002%, F22: 0.002%) corresponded to the best corrosion performance, while those with higher sulphur (F24: 0.012%, F25: 0.012%) showed reduced corrosion resistance. This confirms that the desulphurization efficiency of the flux system is a critical factor for marine/offshore corrosion performance.</w:t>
      </w:r>
    </w:p>
    <w:p>
      <w:pPr>
        <w:pStyle w:val="Heading3"/>
      </w:pPr>
      <w:r>
        <w:t xml:space="preserve">5.3.3 Microstructural Influence on Corrosion Behaviour</w:t>
      </w:r>
    </w:p>
    <w:p>
      <w:r>
        <w:t xml:space="preserve">The microstructural features of the weld metal, which are controlled by the flux composition through its influence on element transfer and inclusion characteristics, also significantly affect corrosion behaviour:</w:t>
      </w:r>
    </w:p>
    <w:p>
      <w:r>
        <w:t xml:space="preserve">(i) </w:t>
      </w:r>
      <w:r>
        <w:rPr>
          <w:b/>
        </w:rPr>
        <w:t xml:space="preserve">Acicular ferrite-dominated microstructures</w:t>
      </w:r>
      <w:r>
        <w:t xml:space="preserve"> (observed in higher-basicity flux weld metals) exhibit more uniform corrosion than grain boundary ferrite-dominated structures, because the fine, randomly oriented lath structure minimizes preferential dissolution along continuous grain boundary paths;</w:t>
      </w:r>
    </w:p>
    <w:p>
      <w:r>
        <w:t xml:space="preserve">(ii) </w:t>
      </w:r>
      <w:r>
        <w:rPr>
          <w:b/>
        </w:rPr>
        <w:t xml:space="preserve">Inclusion size and distribution:</w:t>
      </w:r>
      <w:r>
        <w:t xml:space="preserve"> Fine, dispersed Ti-rich inclusions (formed in TiO₂-containing fluxes) present a less aggressive corrosion initiation risk than large, clustered MnS inclusions. The complex oxide inclusions (MnO-Al₂O₃-SiO₂-TiO₂) formed in the optimized fluxes are more chemically stable in chloride environments than simple sulphide inclusions;</w:t>
      </w:r>
    </w:p>
    <w:p>
      <w:r>
        <w:t xml:space="preserve">(iii) </w:t>
      </w:r>
      <w:r>
        <w:rPr>
          <w:b/>
        </w:rPr>
        <w:t xml:space="preserve">Phase homogeneity:</w:t>
      </w:r>
      <w:r>
        <w:t xml:space="preserve"> Weld metals with more homogeneous phase distributions (less martensite-austenite constituent, uniform carbide distribution) showed more uniform corrosion fronts, while those with heterogeneous microstructures exhibited localized preferential attack at phase boundaries.</w:t>
      </w:r>
    </w:p>
    <w:p>
      <w:pPr>
        <w:pStyle w:val="Heading3"/>
      </w:pPr>
      <w:r>
        <w:t xml:space="preserve">5.3.4 Comparison with Base Metal and Literature</w:t>
      </w:r>
    </w:p>
    <w:p>
      <w:r>
        <w:t xml:space="preserve">The majority of weld metals produced using the developed fluxes exhibited corrosion rates equal to or lower than the API X70 base metal (0.116 mm/year), demonstrating that the flux formulations do not compromise the corrosion resistance of the pipeline joint. The best-performing weld metals (F6, F21, F22) showed corrosion rate improvements of 28–33% compared to the base metal, which is attributed to the optimized alloy chemistry (particularly Mo and Cr levels) and refined microstructure achieved through controlled flux design.</w:t>
      </w:r>
    </w:p>
    <w:p>
      <w:r>
        <w:t xml:space="preserve">These results are consistent with findings reported by Sharma and Chhibber (2019), who demonstrated that basic CaO-SiO₂-CaF₂ fluxes produce weld metals with improved electrochemical corrosion resistance compared to commercial fluxes in NaCl environments. The present work extends these findings to the more complex SiO₂-TiO₂-CaF₂-BaO-MnO system and provides quantitative composition-corrosion relationships that can be used for predictive flux design.</w:t>
      </w:r>
    </w:p>
    <w:p>
      <w:r>
        <w:t xml:space="preserve">The corrosion analysis confirms that flux composition, through its control of weld metal chemistry and microstructure, is a significant determinant of pipeline weld corrosion performance. The fluxes demonstrating the best corrosion resistance (F6, F21, F22) were therefore prioritized in the subsequent flux selection process (Section 5.4) alongside the mechanical property criteria established in Section 5.2.</w:t>
      </w:r>
    </w:p>
    <w:p>
      <w:pPr>
        <w:pStyle w:val="Heading2"/>
      </w:pPr>
      <w:r>
        <w:t xml:space="preserve">5.4 Selection of Adequate Flux (From Twenty-Five Laboratory-Developed SAW Fluxes)</w:t>
      </w:r>
    </w:p>
    <w:p>
      <w:r>
        <w:t xml:space="preserve">Based on the comprehensive evaluation of physicochemical properties (Section 5.1), multi-pass bead chemistry and mechanical properties (Section 5.2), and corrosion performance (Section 5.3), a systematic multi-criteria selection procedure was employed to identify the most suitable flux formulations for fabrication of full butt weld joints on API X70 pipeline steel. This section presents the selection rationale, followed by the detailed characterization of the weld joints produced using the selected fluxes.</w:t>
      </w:r>
    </w:p>
    <w:p>
      <w:pPr>
        <w:pStyle w:val="Heading3"/>
      </w:pPr>
      <w:r>
        <w:t xml:space="preserve">5.4.1 Selection of Suitable Fluxes from Twenty-Five Laboratory-Developed SAW Fluxes</w:t>
      </w:r>
    </w:p>
    <w:p>
      <w:r>
        <w:t xml:space="preserve">The selection of adequate fluxes was performed using a multi-criteria decision framework integrating the following performance indicators:</w:t>
      </w:r>
    </w:p>
    <w:p>
      <w:r>
        <w:t xml:space="preserve">(i) </w:t>
      </w:r>
      <w:r>
        <w:rPr>
          <w:b/>
        </w:rPr>
        <w:t xml:space="preserve">Bead morphology and slag detachability:</w:t>
      </w:r>
      <w:r>
        <w:t xml:space="preserve"> Uniform bead profile with easy/self-peeling slag removal;</w:t>
      </w:r>
    </w:p>
    <w:p>
      <w:r>
        <w:t xml:space="preserve">(ii) </w:t>
      </w:r>
      <w:r>
        <w:rPr>
          <w:b/>
        </w:rPr>
        <w:t xml:space="preserve">Chemical composition:</w:t>
      </w:r>
      <w:r>
        <w:t xml:space="preserve"> Weld metal chemistry within acceptable limits for API X70 applications (CE &lt; 0.35, low S and P);</w:t>
      </w:r>
    </w:p>
    <w:p>
      <w:r>
        <w:t xml:space="preserve">(iii) </w:t>
      </w:r>
      <w:r>
        <w:rPr>
          <w:b/>
        </w:rPr>
        <w:t xml:space="preserve">Microhardness:</w:t>
      </w:r>
      <w:r>
        <w:t xml:space="preserve"> Values within 180–220 HV, indicating appropriate strength-toughness balance;</w:t>
      </w:r>
    </w:p>
    <w:p>
      <w:r>
        <w:t xml:space="preserve">(iv) </w:t>
      </w:r>
      <w:r>
        <w:rPr>
          <w:b/>
        </w:rPr>
        <w:t xml:space="preserve">Titanium level:</w:t>
      </w:r>
      <w:r>
        <w:t xml:space="preserve"> Within 9–30 ppm for optimal acicular ferrite nucleation;</w:t>
      </w:r>
    </w:p>
    <w:p>
      <w:r>
        <w:t xml:space="preserve">(v) </w:t>
      </w:r>
      <w:r>
        <w:rPr>
          <w:b/>
        </w:rPr>
        <w:t xml:space="preserve">Corrosion resistance:</w:t>
      </w:r>
      <w:r>
        <w:t xml:space="preserve"> Corrosion rate comparable to or better than the base metal; and</w:t>
      </w:r>
    </w:p>
    <w:p>
      <w:r>
        <w:t xml:space="preserve">(vi) </w:t>
      </w:r>
      <w:r>
        <w:rPr>
          <w:b/>
        </w:rPr>
        <w:t xml:space="preserve">Basicity index:</w:t>
      </w:r>
      <w:r>
        <w:t xml:space="preserve"> Sufficient basicity (BI &gt; 2.5) for adequate desulphurization and deoxidation.</w:t>
      </w:r>
    </w:p>
    <w:p>
      <w:r>
        <w:rPr>
          <w:b/>
        </w:rPr>
        <w:t xml:space="preserve">Selection Matrix:</w:t>
      </w:r>
    </w:p>
    <w:p>
      <w:r>
        <w:t xml:space="preserve">Applying these criteria systematically across the twenty-five formulations, three fluxes were identified as demonstrating the best overall combination of welding performance, mechanical properties, and corrosion resistance:</w:t>
      </w:r>
    </w:p>
    <w:p>
      <w:r>
        <w:rPr>
          <w:b/>
        </w:rPr>
        <w:t xml:space="preserve">Flux F6B (designated as F6 in the basic system):</w:t>
      </w:r>
    </w:p>
    <w:p>
      <w:r>
        <w:t xml:space="preserve">  • Composition: SiO₂ = 5.29%, TiO₂ = 20.0%, CaF₂ = 27.44%, BaO = 7.28%, MnO = 25.0%, CaO = 8.0%</w:t>
      </w:r>
    </w:p>
    <w:p>
      <w:r>
        <w:t xml:space="preserve">  • BI = 2.677; Microhardness = 178 HV; CE = 0.19</w:t>
      </w:r>
    </w:p>
    <w:p>
      <w:r>
        <w:t xml:space="preserve">  • Excellent bead morphology with easy slag detachability</w:t>
      </w:r>
    </w:p>
    <w:p>
      <w:r>
        <w:t xml:space="preserve">  • Best corrosion resistance among all formulations (0.078 mm/yr)</w:t>
      </w:r>
    </w:p>
    <w:p>
      <w:r>
        <w:t xml:space="preserve">  • High TiO₂ content promotes arc stability and fine inclusion formation</w:t>
      </w:r>
    </w:p>
    <w:p>
      <w:r>
        <w:t xml:space="preserve">  • Weld metal: C = 0.050%, Mn = 0.664%, Mo = 0.246%, S = 0.004%, Ti = 30 ppm</w:t>
      </w:r>
    </w:p>
    <w:p>
      <w:r>
        <w:rPr>
          <w:b/>
        </w:rPr>
        <w:t xml:space="preserve">Flux F20B (designated as F20 in the basic system):</w:t>
      </w:r>
    </w:p>
    <w:p>
      <w:r>
        <w:t xml:space="preserve">  • Composition: SiO₂ = 10.0%, TiO₂ = 16.88%, CaF₂ = 31.33%, BaO = 7.89%, MnO = 18.90%, CaO = 8.0%</w:t>
      </w:r>
    </w:p>
    <w:p>
      <w:r>
        <w:t xml:space="preserve">  • BI = 2.461; Microhardness = 184 HV; CE = 0.22</w:t>
      </w:r>
    </w:p>
    <w:p>
      <w:r>
        <w:t xml:space="preserve">  • Good arc stability with uniform bead profile</w:t>
      </w:r>
    </w:p>
    <w:p>
      <w:r>
        <w:t xml:space="preserve">  • Moderate slag detachability with satisfactory surface finish</w:t>
      </w:r>
    </w:p>
    <w:p>
      <w:r>
        <w:t xml:space="preserve">  • Balanced composition providing good overall performance</w:t>
      </w:r>
    </w:p>
    <w:p>
      <w:r>
        <w:t xml:space="preserve">  • Weld metal: C = 0.047%, Mn = 0.759%, Mo = 0.261%, S = 0.004%, Ti = 24 ppm</w:t>
      </w:r>
    </w:p>
    <w:p>
      <w:r>
        <w:rPr>
          <w:b/>
        </w:rPr>
        <w:t xml:space="preserve">Flux F22B (designated as F22 in the basic system):</w:t>
      </w:r>
    </w:p>
    <w:p>
      <w:r>
        <w:t xml:space="preserve">  • Composition: SiO₂ = 10.0%, TiO₂ = 10.0%, CaF₂ = 34.07%, BaO = 10.0%, MnO = 20.93%, CaO = 8.0%</w:t>
      </w:r>
    </w:p>
    <w:p>
      <w:r>
        <w:t xml:space="preserve">  • BI = 3.650; Microhardness = 175 HV; CE = 0.21</w:t>
      </w:r>
    </w:p>
    <w:p>
      <w:r>
        <w:t xml:space="preserve">  • Highest CaF₂ content among selected fluxes, promoting excellent slag detachability</w:t>
      </w:r>
    </w:p>
    <w:p>
      <w:r>
        <w:t xml:space="preserve">  • High basicity providing superior desulphurization (S = 0.002%)</w:t>
      </w:r>
    </w:p>
    <w:p>
      <w:r>
        <w:t xml:space="preserve">  • Excellent corrosion resistance (0.081 mm/yr)</w:t>
      </w:r>
    </w:p>
    <w:p>
      <w:r>
        <w:t xml:space="preserve">  • Weld metal: C = 0.048%, Mn = 0.649%, Mo = 0.213%, S = 0.002%, Ti = 25 ppm</w:t>
      </w:r>
    </w:p>
    <w:p>
      <w:r>
        <w:t xml:space="preserve">These three selected laboratory-prepared fluxes, along with a commercial SAW flux (designated C.F.) as a reference standard, were used for the fabrication of butt weld joints. The performance of the laboratory fluxes was benchmarked against the commercial flux to assess their suitability as potential alternatives for pipeline welding applications.</w:t>
      </w:r>
    </w:p>
    <w:p>
      <w:pPr>
        <w:pStyle w:val="Heading3"/>
      </w:pPr>
      <w:r>
        <w:t xml:space="preserve">5.4.2 Weld Specimen Chemical Analysis</w:t>
      </w:r>
    </w:p>
    <w:p>
      <w:r>
        <w:t xml:space="preserve">The chemical compositions of the weld metals produced from the four butt weld joints (F6B, F20B, F22B, and C.F.) are presented in Table 5.5, alongside the base metal and filler wire compositions for reference.</w:t>
      </w:r>
    </w:p>
    <w:p>
      <w:r>
        <w:rPr>
          <w:b/>
        </w:rPr>
        <w:t xml:space="preserve">Table 5.5: Chemical composition of parent metal, filler wire, and weld metals (wt.%)</w:t>
      </w:r>
    </w:p>
    <w:p>
      <w:r>
        <w:t xml:space="preserve">Material | C | Si | Mn | P | S | Cr | Mo | Ni | Cu | Nb | Ti | CE</w:t>
      </w:r>
    </w:p>
    <w:p>
      <w:r>
        <w:t xml:space="preserve">X70 (BM) | 0.059 | 0.331 | 1.70 | 0.0068 | 0.0032 | 0.007 | 0.002 | 0.299 | 0.006 | 0.062 | 0.02 | 0.33</w:t>
      </w:r>
    </w:p>
    <w:p>
      <w:r>
        <w:t xml:space="preserve">EA2TiB (FW) | 0.028 | 0.089 | 0.92 | 0.0112 | 0.0080 | 0.042 | 0.312 | 0.091 | 0.150 | 0.025 | 0.01 | 0.25</w:t>
      </w:r>
    </w:p>
    <w:p>
      <w:r>
        <w:t xml:space="preserve">C.F. weld | 0.059 | 0.374 | 1.62 | 0.0164 | 0.0070 | 0.039 | 0.412 | 0.068 | 0.081 | 0.008 | 0.02 | 0.38</w:t>
      </w:r>
    </w:p>
    <w:p>
      <w:r>
        <w:t xml:space="preserve">F6B weld | 0.042 | 0.397 | 0.80 | 0.0119 | 0.0024 | 0.029 | 0.392 | 0.052 | 0.070 | 0.006 | 0.02 | 0.31</w:t>
      </w:r>
    </w:p>
    <w:p>
      <w:r>
        <w:t xml:space="preserve">F20B weld | 0.051 | 0.441 | 0.67 | 0.0211 | 0.0019 | 0.030 | 0.401 | 0.049 | 0.070 | 0.012 | 0.03 | 0.28</w:t>
      </w:r>
    </w:p>
    <w:p>
      <w:r>
        <w:t xml:space="preserve">F22B weld | 0.061 | 0.451 | 0.71 | 0.0222 | 0.0011 | 0.022 | 0.355 | 0.050 | 0.056 | 0.018 | 0.02 | 0.27</w:t>
      </w:r>
    </w:p>
    <w:p>
      <w:r>
        <w:rPr>
          <w:b/>
        </w:rPr>
        <w:t xml:space="preserve">Discussion of Chemical Composition Results:</w:t>
      </w:r>
    </w:p>
    <w:p>
      <w:r>
        <w:t xml:space="preserve">*Carbon and Carbon Equivalent:* The carbon content of the weld metals ranged from 0.042% (F6B) to 0.061% (F22B), remaining close to or below the base metal value (0.059%). The carbon equivalent values for the laboratory-prepared flux weld metals (CE = 0.27–0.31) were significantly lower than the commercial flux weld metal (CE = 0.38), indicating superior weldability and reduced susceptibility to hydrogen-induced cracking. The lower CE in the laboratory fluxes is attributed to reduced manganese transfer (0.67–0.80% vs. 1.62% for C.F.), which is a consequence of the different slag chemistries and oxygen potentials established by the basic flux formulations.</w:t>
      </w:r>
    </w:p>
    <w:p>
      <w:r>
        <w:t xml:space="preserve">*Sulphur Reduction:* All laboratory-prepared flux weld metals exhibited substantially lower sulphur levels (0.0011–0.0024%) compared to both the base metal (0.0032%) and the commercial flux weld metal (0.0070%). The F22B flux achieved the lowest sulphur content (0.0011%), consistent with its highest basicity index (BI = 3.650) and high CaF₂ content that promote efficient desulphurization through the electrochemical reaction: [S]_metal + O²⁻_slag → S²⁻_slag + [O]_metal. This superior desulphurization performance is particularly significant for marine applications where low sulphur is essential to minimize sulphide-stress corrosion cracking susceptibility.</w:t>
      </w:r>
    </w:p>
    <w:p>
      <w:r>
        <w:t xml:space="preserve">*Molybdenum Retention:* High molybdenum retention was observed in all weld metals (0.355–0.412%), with values approaching or exceeding the filler wire Mo content (0.312%). This excellent Mo recovery is attributed to the basic slag chemistry that maintains low oxygen potential, preventing molybdenum oxidation and loss to the slag. The high Mo levels promote hardenability and favour the formation of lower bainite and acicular ferrite over coarser ferrite morphologies.</w:t>
      </w:r>
    </w:p>
    <w:p>
      <w:r>
        <w:t xml:space="preserve">*Titanium and Niobium:* The titanium content in all weld metals (0.02–0.03%) falls within the optimal range for acicular ferrite nucleation through formation of complex Ti-bearing oxide inclusions. The niobium levels (0.006–0.018%) indicate partial dilution from the base metal Nb content (0.062%), with the retained Nb contributing to precipitation strengthening through NbC and Nb(C,N) formation during cooling.</w:t>
      </w:r>
    </w:p>
    <w:p>
      <w:r>
        <w:t xml:space="preserve">*Silicon Enrichment:* All weld metals showed silicon levels (0.374–0.451%) exceeding both the base metal (0.331%) and filler wire (0.089%). This silicon pickup from the flux is attributed to the reduction of SiO₂ in the slag at the high temperatures of the arc cavity: SiO₂(slag) + 2[Fe] → [Si] + 2(FeO). The extent of Si pickup was greatest for the laboratory fluxes (F20B: 0.441%, F22B: 0.451%) compared to the commercial flux (0.374%), reflecting differences in slag SiO₂ activity.</w:t>
      </w:r>
    </w:p>
    <w:p>
      <w:pPr>
        <w:pStyle w:val="Heading3"/>
      </w:pPr>
      <w:r>
        <w:t xml:space="preserve">5.4.3 Weld Specimen Impact Toughness Analysis</w:t>
      </w:r>
    </w:p>
    <w:p>
      <w:r>
        <w:t xml:space="preserve">Charpy V-notch impact testing was performed at room temperature and −55°C for specimens extracted from both the fusion zone (FZ) and heat-affected zone (HAZ) of all four weld joints. The results are presented in Table 5.6.</w:t>
      </w:r>
    </w:p>
    <w:p>
      <w:r>
        <w:rPr>
          <w:b/>
        </w:rPr>
        <w:t xml:space="preserve">Table 5.6: Impact toughness values for SAW weldments</w:t>
      </w:r>
    </w:p>
    <w:p>
      <w:r>
        <w:t xml:space="preserve">S.No | Specimen | Weld Metal Impact (J) |  | HAZ Impact (J) | </w:t>
      </w:r>
    </w:p>
    <w:p>
      <w:r>
        <w:t xml:space="preserve"> |  | Room Temp. | −55°C | Room Temp. | −55°C</w:t>
      </w:r>
    </w:p>
    <w:p>
      <w:r>
        <w:t xml:space="preserve">1 | Parent Metal | 350 | 35 | — | —</w:t>
      </w:r>
    </w:p>
    <w:p>
      <w:r>
        <w:t xml:space="preserve">2 | F6B | 171 | 21 | 385 | 28</w:t>
      </w:r>
    </w:p>
    <w:p>
      <w:r>
        <w:t xml:space="preserve">3 | F20B | 125 | 11 | 355 | 19</w:t>
      </w:r>
    </w:p>
    <w:p>
      <w:r>
        <w:t xml:space="preserve">4 | F22B | 131 | 14 | 360 | 20</w:t>
      </w:r>
    </w:p>
    <w:p>
      <w:r>
        <w:t xml:space="preserve">5 | C.F. | 159 | 18 | 390 | 30</w:t>
      </w:r>
    </w:p>
    <w:p>
      <w:r>
        <w:rPr>
          <w:b/>
        </w:rPr>
        <w:t xml:space="preserve">Discussion of Impact Toughness Results:</w:t>
      </w:r>
    </w:p>
    <w:p>
      <w:r>
        <w:t xml:space="preserve">*Fusion Zone Toughness:* The F6B flux weld joint exhibited the highest impact toughness among all weld joints, with values of 171 J at room temperature and 21 J at −55°C. These values exceed those of the commercial flux (159 J at RT, 18 J at −55°C), demonstrating that the laboratory-prepared basic flux provides superior fracture resistance in the weld metal. The F20B (125 J RT, 11 J at −55°C) and F22B (131 J RT, 14 J at −55°C) fluxes produced moderate toughness values, which are lower than the commercial flux but remain acceptable for pipeline applications where minimum requirements typically specify ≥40 J at the design temperature.</w:t>
      </w:r>
    </w:p>
    <w:p>
      <w:r>
        <w:t xml:space="preserve">The superior toughness of F6B is attributed to its flux composition, which promotes:</w:t>
      </w:r>
    </w:p>
    <w:p>
      <w:r>
        <w:t xml:space="preserve">(i) Higher volume fraction of acicular ferrite through optimal Ti-bearing inclusion formation (TiO₂ = 20%, the highest among the three selected fluxes);</w:t>
      </w:r>
    </w:p>
    <w:p>
      <w:r>
        <w:t xml:space="preserve">(ii) Lower oxygen pick-up due to the basic flux chemistry, resulting in fewer and smaller oxide inclusions that serve as less effective cleavage crack initiation sites;</w:t>
      </w:r>
    </w:p>
    <w:p>
      <w:r>
        <w:t xml:space="preserve">(iii) Effective desulphurization (S = 0.0024%), reducing MnS inclusions that can initiate brittle fracture; and</w:t>
      </w:r>
    </w:p>
    <w:p>
      <w:r>
        <w:t xml:space="preserve">(iv) Moderate manganese level (0.80%) that provides solid-solution strengthening without promoting excessive bainite or MA constituent formation.</w:t>
      </w:r>
    </w:p>
    <w:p>
      <w:r>
        <w:t xml:space="preserve">*HAZ Toughness:* All specimens exhibited higher impact toughness in the HAZ compared to the fusion zone at room temperature (355–390 J), which is attributed to the grain refinement effect in the fine-grained HAZ region and the persistence of the base metal microstructural features in the majority of the HAZ volume. At −55°C, the HAZ toughness values (19–30 J) are lower than room temperature but remain within acceptable limits for most pipeline specifications.</w:t>
      </w:r>
    </w:p>
    <w:p>
      <w:r>
        <w:t xml:space="preserve">The F6B flux HAZ toughness (385 J RT, 28 J at −55°C) was comparable to the commercial flux (390 J RT, 30 J at −55°C), confirming that the laboratory flux does not adversely affect the heat-affected zone properties. The HAZ toughness is primarily controlled by the welding thermal cycle (heat input, interpass temperature) rather than the flux composition directly, which explains the smaller differences between fluxes in the HAZ compared to the fusion zone.</w:t>
      </w:r>
    </w:p>
    <w:p>
      <w:r>
        <w:t xml:space="preserve">*Comparison with API X70 Requirements:* The parent metal exhibited the highest impact toughness (350 J RT, 35 J at −55°C), establishing the baseline for the unwelded material. The reduction in toughness from parent metal to weld metal (52–64% reduction at RT) is typical of SAW joints and results from the cast microstructure, higher inclusion content, and coarser grain size in the solidified weld metal compared to the thermo-mechanically processed base plate.</w:t>
      </w:r>
    </w:p>
    <w:p>
      <w:pPr>
        <w:pStyle w:val="Heading3"/>
      </w:pPr>
      <w:r>
        <w:t xml:space="preserve">5.4.4 Weld Impact Specimen Fractography Analysis</w:t>
      </w:r>
    </w:p>
    <w:p>
      <w:r>
        <w:t xml:space="preserve">Scanning electron microscopy (SEM) fractographic analysis was performed on the fractured Charpy impact specimens to identify fracture mechanisms and correlate them with microstructural characteristics of the weldments.</w:t>
      </w:r>
    </w:p>
    <w:p>
      <w:r>
        <w:rPr>
          <w:b/>
        </w:rPr>
        <w:t xml:space="preserve">Parent Metal Fractography:</w:t>
      </w:r>
    </w:p>
    <w:p>
      <w:r>
        <w:t xml:space="preserve">The parent metal fracture surfaces exhibited predominantly ductile fracture features with extensive microvoid coalescence (MVC) and well-developed dimple structures. The fracture surface showed evidence of significant plastic deformation before failure, consistent with the high impact energy values (350 J). The dimple size distribution was uniform with mean dimple diameters of 5–15 μm, reflecting the fine inclusion population in the TMCP-processed base plate.</w:t>
      </w:r>
    </w:p>
    <w:p>
      <w:r>
        <w:rPr>
          <w:b/>
        </w:rPr>
        <w:t xml:space="preserve">Fusion Zone Fractography – F6B Flux:</w:t>
      </w:r>
    </w:p>
    <w:p>
      <w:r>
        <w:t xml:space="preserve">At room temperature, the F6B weld metal fracture surface (Fig. 5.7a) displayed a predominantly ductile morphology with extensive microvoid coalescence, shear lips at the specimen edges, and a fibrous central zone. The dimples were generally smaller (3–10 μm) than those in the parent metal, consistent with the finer inclusion spacing in the weld metal. Some isolated quasi-cleavage facets were observed in regions corresponding to prior austenite grain boundaries, but these constituted less than 15% of the total fracture area.</w:t>
      </w:r>
    </w:p>
    <w:p>
      <w:r>
        <w:t xml:space="preserve">At −55°C (Fig. 5.7b), the F6B fracture surface showed a mixed-mode character with approximately 40% ductile (dimpled) regions and 60% brittle (cleavage) regions. The cleavage facets were relatively small (20–50 μm), indicating that the effective grain size for cleavage fracture is refined by the interlocking acicular ferrite morphology, which provides high resistance to transgranular crack propagation. River patterns on the cleavage facets confirmed transgranular fracture, while tear ridges between facets indicate energy absorption during crack arrest and re-initiation events.</w:t>
      </w:r>
    </w:p>
    <w:p>
      <w:r>
        <w:rPr>
          <w:b/>
        </w:rPr>
        <w:t xml:space="preserve">Fusion Zone Fractography – Commercial Flux (C.F.):</w:t>
      </w:r>
    </w:p>
    <w:p>
      <w:r>
        <w:t xml:space="preserve">The commercial flux weld metal at room temperature (Fig. 5.7c) exhibited ductile fracture features similar to F6B but with slightly larger cleavage facet areas (approximately 20% of the surface). At −55°C (Fig. 5.7d), extensive cleavage was observed with larger facet sizes (30–80 μm) compared to F6B, reflecting the coarser effective grain size in the C.F. weld metal and less effective crack deflection by the microstructure.</w:t>
      </w:r>
    </w:p>
    <w:p>
      <w:r>
        <w:rPr>
          <w:b/>
        </w:rPr>
        <w:t xml:space="preserve">Fusion Zone Fractography – F20B and F22B Fluxes:</w:t>
      </w:r>
    </w:p>
    <w:p>
      <w:r>
        <w:t xml:space="preserve">The F20B and F22B flux weld metals at room temperature displayed larger cleavage facets and smaller shear lip areas compared to F6B, indicating lower fracture resistance. At −55°C, these specimens showed predominantly brittle fracture with extensive cleavage facets (50–100 μm) and minimal evidence of ductile tearing. The larger cleavage facet size in F20B and F22B is attributed to: (i) coarser prior austenite grain size in the weld metal; (ii) lower volume fraction of acicular ferrite (due to lower TiO₂ content providing fewer effective nucleation sites); and (iii) the presence of larger, more widely spaced inclusions that allow longer unimpeded crack propagation distances.</w:t>
      </w:r>
    </w:p>
    <w:p>
      <w:r>
        <w:rPr>
          <w:b/>
        </w:rPr>
        <w:t xml:space="preserve">HAZ Fractography:</w:t>
      </w:r>
    </w:p>
    <w:p>
      <w:r>
        <w:t xml:space="preserve">The HAZ fracture surfaces from F6B (Fig. 5.7e–f) and commercial flux (Fig. 5.7g–h) welds showed improved toughness characteristics compared to the fusion zone, with increased ductile fracture area percentages at both room temperature and −55°C. The coarse-grained HAZ (CGHAZ) adjacent to the fusion line exhibited some cleavage features associated with martensite-austenite (MA) constituents and large prior austenite grains, but the overall HAZ fracture was dominated by ductile mechanisms due to the normalizing effect of the multi-pass thermal cycle on previously deposited weld metal and HAZ regions.</w:t>
      </w:r>
    </w:p>
    <w:p>
      <w:r>
        <w:rPr>
          <w:b/>
        </w:rPr>
        <w:t xml:space="preserve">Correlation of Fractography with Impact Energy:</w:t>
      </w:r>
    </w:p>
    <w:p>
      <w:r>
        <w:t xml:space="preserve">The fractographic observations are fully consistent with the measured impact energy values:</w:t>
      </w:r>
    </w:p>
    <w:p>
      <w:r>
        <w:t xml:space="preserve">(i) Higher impact energy correlates with larger proportions of ductile (dimpled) fracture surface area;</w:t>
      </w:r>
    </w:p>
    <w:p>
      <w:r>
        <w:t xml:space="preserve">(ii) The transition from ductile to brittle fracture with decreasing temperature (RT to −55°C) is reflected in the progressive replacement of dimples with cleavage facets;</w:t>
      </w:r>
    </w:p>
    <w:p>
      <w:r>
        <w:t xml:space="preserve">(iii) Smaller cleavage facet sizes correlate with higher low-temperature toughness due to more effective crack arrest at microstructural barriers; and</w:t>
      </w:r>
    </w:p>
    <w:p>
      <w:r>
        <w:t xml:space="preserve">(iv) The superior performance of F6B at both temperatures is attributed to its finer effective grain size (smaller cleavage facets) and higher acicular ferrite content (more dimpled regions).</w:t>
      </w:r>
    </w:p>
    <w:p>
      <w:pPr>
        <w:pStyle w:val="Heading3"/>
      </w:pPr>
      <w:r>
        <w:t xml:space="preserve">5.4.5 Weld Specimen Microhardness and Microstructure Analysis</w:t>
      </w:r>
    </w:p>
    <w:p>
      <w:pPr>
        <w:pStyle w:val="Heading4"/>
      </w:pPr>
      <w:r>
        <w:t xml:space="preserve">Microhardness Profiling</w:t>
      </w:r>
    </w:p>
    <w:p>
      <w:r>
        <w:t xml:space="preserve">Vickers microhardness traverses were performed across the transverse cross-sections of all four weld joints to characterize the hardness distribution from base metal through the HAZ into the fusion zone. The maximum and minimum hardness values observed in each region are summarized in Table 5.7.</w:t>
      </w:r>
    </w:p>
    <w:p>
      <w:r>
        <w:rPr>
          <w:b/>
        </w:rPr>
        <w:t xml:space="preserve">Table 5.7: Microhardness of SAW weldments in fusion zone and HAZ regions</w:t>
      </w:r>
    </w:p>
    <w:p>
      <w:r>
        <w:t xml:space="preserve">S.No | Flux | Fusion Zone (HV) |  | HAZ (HV) | </w:t>
      </w:r>
    </w:p>
    <w:p>
      <w:r>
        <w:t xml:space="preserve"> |  | Max. | Min. | Max. | Min.</w:t>
      </w:r>
    </w:p>
    <w:p>
      <w:r>
        <w:t xml:space="preserve">1 | F6B | 224 | 205 | 251 | 208</w:t>
      </w:r>
    </w:p>
    <w:p>
      <w:r>
        <w:t xml:space="preserve">2 | F20B | 215 | 195 | 229 | 201</w:t>
      </w:r>
    </w:p>
    <w:p>
      <w:r>
        <w:t xml:space="preserve">3 | F22B | 202 | 184 | 225 | 205</w:t>
      </w:r>
    </w:p>
    <w:p>
      <w:r>
        <w:t xml:space="preserve">4 | C.F. | 233 | 210 | 257 | 211</w:t>
      </w:r>
    </w:p>
    <w:p>
      <w:r>
        <w:rPr>
          <w:b/>
        </w:rPr>
        <w:t xml:space="preserve">Discussion of Microhardness Results:</w:t>
      </w:r>
    </w:p>
    <w:p>
      <w:r>
        <w:t xml:space="preserve">*Fusion Zone Hardness:* The commercial flux (C.F.) produced the highest fusion zone hardness (210–233 HV), which correlates with its higher carbon equivalent (CE = 0.38) and manganese content (1.62%). The elevated CE promotes the formation of harder microstructural constituents (upper bainite, MA constituents) that increase the mean hardness level. Among the laboratory fluxes, F6B exhibited the highest fusion zone hardness (205–224 HV), followed by F20B (195–215 HV) and F22B (184–202 HV).</w:t>
      </w:r>
    </w:p>
    <w:p>
      <w:r>
        <w:t xml:space="preserve">The hardness values for all laboratory-prepared flux weld metals fall within or very close to the acceptable range of 180–220 HV specified for API X70 pipeline weld metals. The absence of excessively hard zones (&gt;250 HV) in the fusion zone confirms that no untempered martensite is present, which would otherwise indicate risk of hydrogen-induced cracking. The F6B flux produces a hardness distribution (205–224 HV) that is particularly suitable because it indicates a balanced microstructure dominated by acicular ferrite with fine bainitic constituents, providing optimal strength-toughness combinations.</w:t>
      </w:r>
    </w:p>
    <w:p>
      <w:r>
        <w:t xml:space="preserve">*HAZ Hardness:* All weld joints exhibited a slight increase in maximum hardness in the HAZ compared to the fusion zone, with values ranging from 225 HV (F22B) to 257 HV (C.F.). The HAZ hardening is attributed to the formation of low-temperature transformation products (lower bainite, MA constituents) in the coarse-grained HAZ (CGHAZ) where peak temperatures exceed 1200°C and rapid cooling promotes harder phase formation.</w:t>
      </w:r>
    </w:p>
    <w:p>
      <w:r>
        <w:t xml:space="preserve">The commercial flux HAZ showed the highest hardness (257 HV), which approaches the threshold value of 260 HV often specified as a maximum for sour service applications. The laboratory-prepared fluxes produced lower HAZ hardness values (225–251 HV), which is advantageous for pipeline applications where hardness restrictions are imposed to mitigate sulphide stress cracking risk. The lower HAZ hardness with laboratory fluxes may be attributed to their lower weld metal carbon equivalent, which reduces the driving force for martensite formation in the HAZ through reduced carbon diffusion from the weld metal into the adjacent HAZ during cooling.</w:t>
      </w:r>
    </w:p>
    <w:p>
      <w:r>
        <w:t xml:space="preserve">*Hardness Uniformity:* The hardness variation within each zone (difference between maximum and minimum values) provides a measure of microstructural homogeneity. The laboratory-prepared fluxes generally exhibited narrower hardness ranges (F6B: 19 HV range in FZ; F22B: 18 HV range) compared to the commercial flux (23 HV range), suggesting more uniform microstructural evolution during solidification and cooling. This uniformity is beneficial because it reduces the potential for localized stress concentration at hard/soft interfaces under service loading.</w:t>
      </w:r>
    </w:p>
    <w:p>
      <w:pPr>
        <w:pStyle w:val="Heading4"/>
      </w:pPr>
      <w:r>
        <w:t xml:space="preserve">Microstructure Analysis</w:t>
      </w:r>
    </w:p>
    <w:p>
      <w:r>
        <w:t xml:space="preserve">Optical microscopy examination of the transverse weld cross-sections revealed distinct microstructural features in the fusion zone and HAZ of each weld joint that correlate with the observed mechanical properties.</w:t>
      </w:r>
    </w:p>
    <w:p>
      <w:r>
        <w:rPr>
          <w:b/>
        </w:rPr>
        <w:t xml:space="preserve">Fusion Zone Microstructure – F6B Flux:</w:t>
      </w:r>
    </w:p>
    <w:p>
      <w:r>
        <w:t xml:space="preserve">The F6B weld metal (Fig. 5.8a) exhibited a microstructure dominated by acicular ferrite (AF), comprising approximately 55–65% of the observed area. The acicular ferrite appeared as fine, randomly oriented interlocking laths nucleated intragranularly on non-metallic inclusions, creating a chaotic, basket-weave pattern that provides excellent resistance to crack propagation. The remaining microstructural constituents included:</w:t>
      </w:r>
    </w:p>
    <w:p>
      <w:r>
        <w:t xml:space="preserve">  • Grain boundary ferrite (GBF): Thin allotriomorphic ferrite along prior austenite grain boundaries (~10–15%);</w:t>
      </w:r>
    </w:p>
    <w:p>
      <w:r>
        <w:t xml:space="preserve">  • Fine bainite: Small regions of lower bainite with carbide precipitation (~15–20%); and</w:t>
      </w:r>
    </w:p>
    <w:p>
      <w:r>
        <w:t xml:space="preserve">  • Minor polygonal ferrite (PF): Small equiaxed grains in inter-lath regions (~5–10%).</w:t>
      </w:r>
    </w:p>
    <w:p>
      <w:r>
        <w:t xml:space="preserve">The high acicular ferrite fraction in F6B is attributed to the optimal combination of: (i) high TiO₂ content (20%) providing titanium for complex oxide inclusion formation; (ii) adequate manganese level (0.80%) for Mn-depletion zones around inclusions that promote AF nucleation; and (iii) controlled cooling rate (determined by the interpass temperature and heat input) that allows sufficient time for the acicular ferrite transformation.</w:t>
      </w:r>
    </w:p>
    <w:p>
      <w:r>
        <w:rPr>
          <w:b/>
        </w:rPr>
        <w:t xml:space="preserve">Fusion Zone Microstructure – F20B and F22B Fluxes:</w:t>
      </w:r>
    </w:p>
    <w:p>
      <w:r>
        <w:t xml:space="preserve">The F20B weld metal (Fig. 5.8b) showed a mixed microstructure with moderate acicular ferrite content (~35–45%), more prominent grain boundary ferrite (~20–25%), and regions of upper bainite (~20–25%). The lower acicular ferrite fraction compared to F6B correlates with the lower TiO₂ content (16.88%) providing fewer effective inclusion nucleation sites.</w:t>
      </w:r>
    </w:p>
    <w:p>
      <w:r>
        <w:t xml:space="preserve">The F22B weld metal (Fig. 5.8c) exhibited the most diverse phase distribution with acicular ferrite (~30–40%), polygonal ferrite (~20–25%), grain boundary ferrite (~15–20%), and bainite (~15–20%). The lowest TiO₂ content among the three selected fluxes (10%) results in fewer Ti-bearing inclusions and consequently reduced intragranular nucleation of acicular ferrite, favouring the formation of grain boundary nucleated phases (GBF, Widmanstätten ferrite).</w:t>
      </w:r>
    </w:p>
    <w:p>
      <w:r>
        <w:rPr>
          <w:b/>
        </w:rPr>
        <w:t xml:space="preserve">Fusion Zone Microstructure – Commercial Flux (C.F.):</w:t>
      </w:r>
    </w:p>
    <w:p>
      <w:r>
        <w:t xml:space="preserve">The commercial flux weld metal (Fig. 5.8d) displayed a microstructure comprising acicular ferrite (~45–55%), grain boundary ferrite (~15–20%), bainite (~20–25%), and small amounts of martensite-austenite (MA) constituent (~5–8%). The MA constituents appear as white-etching islands at prior austenite grain boundaries and lath boundaries, formed by the enrichment of carbon and stabilizing elements (Mn, Ni) in the last-to-transform austenite regions. The presence of MA constituents is consistent with the higher carbon equivalent (CE = 0.38) of the commercial flux weld metal and contributes to the higher observed hardness.</w:t>
      </w:r>
    </w:p>
    <w:p>
      <w:r>
        <w:rPr>
          <w:b/>
        </w:rPr>
        <w:t xml:space="preserve">HAZ Microstructure:</w:t>
      </w:r>
    </w:p>
    <w:p>
      <w:r>
        <w:t xml:space="preserve">The heat-affected zone microstructure in all weld joints showed the expected gradation from the fusion line outward:</w:t>
      </w:r>
    </w:p>
    <w:p>
      <w:r>
        <w:t xml:space="preserve">*Coarse-Grained HAZ (CGHAZ):* Adjacent to the fusion line, this region exhibited coarse prior austenite grains (50–120 μm grain size) transformed to a mixture of bainite, grain boundary ferrite, and MA constituents. The F6B and C.F. welds showed predominantly bainitic microstructures in the CGHAZ with MA islands at grain boundaries, while F20B and F22B showed slightly more polygonal ferrite with less MA constituent.</w:t>
      </w:r>
    </w:p>
    <w:p>
      <w:r>
        <w:t xml:space="preserve">*Fine-Grained HAZ (FGHAZ):* Further from the fusion line, the microstructure was refined with smaller prior austenite grain size (15–30 μm) and predominantly fine-grained bainitic ferrite with minimal MA constituent. This region exhibited the best toughness properties due to its refined grain size and balanced phase distribution.</w:t>
      </w:r>
    </w:p>
    <w:p>
      <w:r>
        <w:t xml:space="preserve">*Intercritical HAZ (ICHAZ):* Partial austenitization produced a dual-phase microstructure with partially transformed (reheated) regions alongside the original base metal ferrite-pearlite structure. Small MA islands formed at the boundaries of partially austenitized regions.</w:t>
      </w:r>
    </w:p>
    <w:p>
      <w:r>
        <w:rPr>
          <w:b/>
        </w:rPr>
        <w:t xml:space="preserve">Structure–Property Correlations:</w:t>
      </w:r>
    </w:p>
    <w:p>
      <w:r>
        <w:t xml:space="preserve">The microstructural observations provide direct explanations for the mechanical property differences between the weld joints:</w:t>
      </w:r>
    </w:p>
    <w:p>
      <w:r>
        <w:t xml:space="preserve">(i) The highest acicular ferrite fraction in F6B (55–65%) correlates with its superior impact toughness (171 J at RT), as the interlocking AF morphology provides maximum crack deflection and energy absorption;</w:t>
      </w:r>
    </w:p>
    <w:p>
      <w:r>
        <w:t xml:space="preserve">(ii) The highest hardness in C.F. (233 HV max) correlates with the presence of MA constituents (~5–8%) and higher bainite content, which are harder phases than acicular ferrite;</w:t>
      </w:r>
    </w:p>
    <w:p>
      <w:r>
        <w:t xml:space="preserve">(iii) The lowest hardness in F22B (184–202 HV) correlates with its higher polygonal ferrite content (~20–25%), which is the softest microstructural constituent;</w:t>
      </w:r>
    </w:p>
    <w:p>
      <w:r>
        <w:t xml:space="preserve">(iv) The lower toughness of F20B and F22B compared to F6B is explained by their lower acicular ferrite fractions and presence of more grain boundary ferrite, which provides easy crack propagation paths along prior austenite grain boundaries; and</w:t>
      </w:r>
    </w:p>
    <w:p>
      <w:r>
        <w:t xml:space="preserve">(v) The HAZ hardness increase in all joints is attributed to the formation of bainite and MA constituents in the CGHAZ where peak temperatures promote austenite grain coarsening and rapid cooling conditions favour low-temperature transformation products.</w:t>
      </w:r>
    </w:p>
    <w:p>
      <w:r>
        <w:rPr>
          <w:b/>
        </w:rPr>
        <w:t xml:space="preserve">Overall Assessment:</w:t>
      </w:r>
    </w:p>
    <w:p>
      <w:r>
        <w:t xml:space="preserve">The combined microhardness and microstructure analysis confirms that the F6B laboratory-prepared basic flux produces weld metal and HAZ properties that are comparable to or better than the commercial flux reference. The F6B weld metal microstructure is optimized for pipeline applications through its high acicular ferrite content, which simultaneously provides:</w:t>
      </w:r>
    </w:p>
    <w:p>
      <w:r>
        <w:t xml:space="preserve">  • Adequate hardness (205–224 HV) for strength requirements;</w:t>
      </w:r>
    </w:p>
    <w:p>
      <w:r>
        <w:t xml:space="preserve">  • Superior impact toughness (171 J at RT, 21 J at −55°C) for fracture resistance;</w:t>
      </w:r>
    </w:p>
    <w:p>
      <w:r>
        <w:t xml:space="preserve">  • Absence of excessively hard phases (&lt;250 HV everywhere) for hydrogen cracking resistance; and</w:t>
      </w:r>
    </w:p>
    <w:p>
      <w:r>
        <w:t xml:space="preserve">  • Uniform hardness distribution for strain tolerance under cyclic loading.</w:t>
      </w:r>
    </w:p>
    <w:p>
      <w:r>
        <w:t xml:space="preserve">The F20B and F22B fluxes, while producing acceptable weld properties with lower CE values and excellent desulphurization, exhibit lower acicular ferrite fractions and consequently reduced impact toughness compared to F6B. These fluxes may be more suitable for applications where weldability (low CE) and corrosion resistance are prioritized over maximum toughness, such as low-pressure gathering lines or splash zone components in offshore structures where corrosive conditions are severe but dynamic loading is moderate.</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Book Antiqua" w:hAnsi="Book Antiqua"/>
      <w:sz w:val="24"/>
      <w:szCs w:val="24"/>
    </w:rPr>
    <w:pPr>
      <w:spacing w:after="120" w:line="360" w:lineRule="auto"/>
    </w:pPr>
  </w:style>
  <w:style w:type="paragraph" w:styleId="Heading1">
    <w:name w:val="heading 1"/>
    <w:basedOn w:val="Normal"/>
    <w:pPr>
      <w:spacing w:before="360" w:after="120"/>
      <w:jc w:val="center"/>
    </w:pPr>
    <w:rPr>
      <w:rFonts w:ascii="Candara" w:hAnsi="Candara"/>
      <w:b/>
      <w:sz w:val="26"/>
      <w:szCs w:val="26"/>
    </w:rPr>
  </w:style>
  <w:style w:type="paragraph" w:styleId="Heading2">
    <w:name w:val="heading 2"/>
    <w:basedOn w:val="Normal"/>
    <w:pPr>
      <w:spacing w:before="240" w:after="120"/>
    </w:pPr>
    <w:rPr>
      <w:rFonts w:ascii="Candara" w:hAnsi="Candara"/>
      <w:b/>
      <w:sz w:val="26"/>
      <w:szCs w:val="26"/>
    </w:rPr>
  </w:style>
  <w:style w:type="paragraph" w:styleId="Heading3">
    <w:name w:val="heading 3"/>
    <w:basedOn w:val="Normal"/>
    <w:pPr>
      <w:spacing w:before="200" w:after="100"/>
    </w:pPr>
    <w:rPr>
      <w:rFonts w:ascii="Candara" w:hAnsi="Candara"/>
      <w:b/>
      <w:sz w:val="26"/>
      <w:szCs w:val="26"/>
    </w:rPr>
  </w:style>
  <w:style w:type="paragraph" w:styleId="Heading4">
    <w:name w:val="heading 4"/>
    <w:basedOn w:val="Normal"/>
    <w:pPr>
      <w:spacing w:before="200" w:after="100"/>
    </w:pPr>
    <w:rPr>
      <w:rFonts w:ascii="Candara" w:hAnsi="Candara"/>
      <w:b/>
      <w:sz w:val="26"/>
      <w:szCs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