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5. MACHINE LEARNING FOR DRUG DESIGN</w:t>
      </w:r>
    </w:p>
    <w:p>
      <w:pPr>
        <w:pStyle w:val="Normal"/>
      </w:pPr>
      <w:r>
        <w:rPr>
          <w:b/>
        </w:rPr>
        <w:t xml:space="preserve">Book:</w:t>
      </w:r>
      <w:r>
        <w:t xml:space="preserve"> Artificial Intelligence and Machine Learning in Scientific Discovery</w:t>
      </w:r>
    </w:p>
    <w:p>
      <w:pPr>
        <w:pStyle w:val="Heading1"/>
      </w:pPr>
      <w:r>
        <w:t xml:space="preserve">Abstract</w:t>
      </w:r>
    </w:p>
    <w:p>
      <w:pPr>
        <w:pStyle w:val="Normal"/>
      </w:pPr>
      <w:r>
        <w:t xml:space="preserve">The discovery and development of new therapeutic agents is among the most complex, costly, and time-consuming endeavours in modern science, traditionally requiring more than a decade of research and investment on the order of billions of dollars to bring a single molecule from concept to market. Machine learning has emerged as a transformative methodology across the entire drug-design pipeline, offering the capacity to learn intricate relationships between molecular structure, biological activity, and pharmacological behaviour from increasingly abundant chemical and biological data. This chapter provides a comprehensive examination of machine learning for drug design, organized around three interconnected pillars. It first surveys structure-based and ligand-based drug design, contrasting the physics-driven and data-driven philosophies that underpin computational medicinal chemistry, and describing how deep learning has reshaped molecular docking, scoring, and quantitative structure-activity relationship modelling. It then explores generative artificial intelligence for the de novo design of novel molecules, detailing the architectures—variational autoencoders, generative adversarial networks, recurrent and transformer-based models, diffusion models, and reinforcement-learning frameworks—that enable the exploration of vast chemical spaces and the goal-directed optimization of candidate compounds. Finally, it addresses the prediction of molecular properties and drug-likeness, encompassing absorption, distribution, metabolism, excretion, and toxicity endpoints, molecular representation learning, model interpretability, and the practical criteria that distinguish viable drug candidates. Throughout, the chapter integrates conceptual foundations with representative methods, benchmark resources, and the persistent challenges of data quality, generalization, synthetic accessibility, and validation, offering researchers and practitioners a structured understanding of how machine learning is accelerating and reshaping the rational design of medicines.</w:t>
      </w:r>
    </w:p>
    <w:p>
      <w:pPr>
        <w:pStyle w:val="Normal"/>
      </w:pPr>
      <w:r>
        <w:rPr>
          <w:b/>
        </w:rPr>
        <w:t xml:space="preserve">Keywords:</w:t>
      </w:r>
      <w:r>
        <w:t xml:space="preserve"> machine learning; drug design; structure-based drug design; ligand-based drug design; generative models; de novo molecular design; QSAR; ADMET prediction; deep learning; cheminformatics</w:t>
      </w:r>
    </w:p>
    <w:p>
      <w:pPr>
        <w:pStyle w:val="Heading1"/>
      </w:pPr>
      <w:r>
        <w:t xml:space="preserve">5.1 Structure-Based and Ligand-Based Drug Design</w:t>
      </w:r>
    </w:p>
    <w:p>
      <w:pPr>
        <w:pStyle w:val="Heading2"/>
      </w:pPr>
      <w:r>
        <w:t xml:space="preserve">5.1.1 The Drug Discovery Pipeline and the Role of Machine Learning</w:t>
      </w:r>
    </w:p>
    <w:p>
      <w:pPr>
        <w:pStyle w:val="Normal"/>
      </w:pPr>
      <w:r>
        <w:t xml:space="preserve">The journey from a biological hypothesis to an approved medicine is long, expensive, and beset by attrition. Estimates place the average cost of developing a single new drug in the range of one to three billion dollars and the timeline at ten to fifteen years, with the overwhelming majority of candidate molecules failing at some stage of preclinical or clinical evaluation [1]. These failures arise from a combination of insufficient efficacy, unacceptable toxicity, poor pharmacokinetic properties, and commercial considerations, and each failure late in the process is disproportionately costly. Against this backdrop, computational methods have long promised to reduce risk and cost by prioritizing the most promising molecules before expensive synthesis and testing, and machine learning has dramatically expanded what such methods can achieve [2].</w:t>
      </w:r>
    </w:p>
    <w:p>
      <w:pPr>
        <w:pStyle w:val="Normal"/>
      </w:pPr>
      <w:r>
        <w:t xml:space="preserve">Rational drug design broadly proceeds along two complementary axes that reflect the information available to the designer. When the three-dimensional structure of the biological target—typically a protein such as an enzyme or receptor—is known, structure-based drug design uses that structure to reason about how candidate molecules might bind and modulate function. When the target structure is unavailable but a set of molecules with known activity exists, ligand-based drug design infers the features responsible for activity from the ligands themselves. Both paradigms have been profoundly influenced by the availability of large public repositories of chemical and biological data, including databases of protein structures, bioactivity measurements, and cataloged compounds, which together supply the raw material on which learning algorithms depend [3].</w:t>
      </w:r>
    </w:p>
    <w:p>
      <w:pPr>
        <w:pStyle w:val="Normal"/>
      </w:pPr>
      <w:r>
        <w:t xml:space="preserve">Machine learning enters this landscape not as a replacement for physical understanding but as a powerful complement to it. Classical computational chemistry relies on physics-based models of molecular interactions, which are principled but computationally expensive and imperfect in their approximations. Machine learning instead learns statistical mappings directly from data, trading mechanistic transparency for speed and, in many tasks, superior predictive accuracy [2]. The most effective modern workflows blend the two, using physics to generate or constrain data and learning to accelerate and refine predictions. Understanding this interplay is essential to appreciating how each subsequent technique fits into the broader effort to design better medicines faster.</w:t>
      </w:r>
    </w:p>
    <w:p>
      <w:pPr>
        <w:pStyle w:val="Normal"/>
      </w:pPr>
      <w:r>
        <w:t xml:space="preserve">It is worth situating machine learning within the historical arc of computer-aided drug design. Computational chemistry has contributed to drug discovery for several decades, through molecular mechanics force fields, free-energy calculations, and structure- and ligand-based virtual screening, long before the current wave of deep learning. What has changed is the confluence of three enabling factors: the accumulation of large, curated datasets of molecular structures and bioactivities; dramatic increases in affordable computational power, particularly through graphics processing units; and algorithmic advances in deep learning that allow models to learn directly from raw molecular representations [2]. This confluence has shifted the balance of what is practical, enabling models that would have been unthinkable when data and computation were scarce. Yet it has not rendered physical reasoning obsolete; rather, the most durable contributions arise where statistical learning and mechanistic insight reinforce one another, a theme that recurs throughout the methods surveyed in this chapter [47].</w:t>
      </w:r>
    </w:p>
    <w:p>
      <w:pPr>
        <w:pStyle w:val="Heading2"/>
      </w:pPr>
      <w:r>
        <w:t xml:space="preserve">5.1.2 Structure-Based Drug Design</w:t>
      </w:r>
    </w:p>
    <w:p>
      <w:pPr>
        <w:pStyle w:val="Normal"/>
      </w:pPr>
      <w:r>
        <w:t xml:space="preserve">Structure-based drug design begins with a three-dimensional model of the target macromolecule, obtained experimentally through X-ray crystallography, nuclear magnetic resonance spectroscopy, or cryo-electron microscopy, or increasingly through computational structure prediction. The central computational task is molecular docking: predicting the preferred orientation, or pose, of a small molecule within a target's binding site and estimating the strength of the resulting interaction [4]. A docking program must solve two coupled problems—sampling the enormous space of possible poses and scoring each pose to estimate binding affinity—and the quality of both determines whether virtual screening of large compound libraries yields genuine hits.</w:t>
      </w:r>
    </w:p>
    <w:p>
      <w:pPr>
        <w:pStyle w:val="Normal"/>
      </w:pPr>
      <w:r>
        <w:t xml:space="preserve">Traditional scoring functions fall into force-field-based, empirical, and knowledge-based categories, each embodying different assumptions about the physical determinants of binding [4]. These conventional functions are fast but notoriously imperfect, frequently ranking weak binders above strong ones because they capture only a coarse approximation of the underlying thermodynamics. Machine learning has been applied extensively to improve scoring by learning the relationship between structural features of a protein-ligand complex and measured binding affinity, rather than assuming a fixed functional form [5]. Such data-driven scoring functions, trained on curated sets of complexes with experimentally determined affinities, have repeatedly outperformed classical counterparts on standard benchmarks, and deep neural networks that operate directly on three-dimensional representations of the binding pocket have pushed accuracy further still [5].</w:t>
      </w:r>
    </w:p>
    <w:p>
      <w:pPr>
        <w:pStyle w:val="Normal"/>
      </w:pPr>
      <w:r>
        <w:t xml:space="preserve">A landmark development that reshaped the entire field of structure-based design was the breakthrough in protein structure prediction achieved by deep learning systems capable of predicting three-dimensional protein folds from amino acid sequence with near-experimental accuracy [6]. By making high-quality structural models available for proteins that had never been crystallized, these systems vastly expanded the set of targets amenable to structure-based approaches. The implications extend beyond single structures to the modelling of protein-ligand complexes and protein-protein interactions, and subsequent work has integrated ligand prediction directly into structure-prediction frameworks, blurring the boundary between structure determination and docking [6]. The overall structure-based workflow, from target structure through docking and scoring to hit prioritization, is summarized in Figure 1.</w:t>
      </w:r>
    </w:p>
    <w:p>
      <w:pPr>
        <w:pStyle w:val="FigureImage"/>
      </w:pPr>
      <w:r>
        <w:drawing>
          <wp:inline xmlns:wp="http://schemas.openxmlformats.org/drawingml/2006/wordprocessingDrawing" distT="0" distB="0" distL="0" distR="0">
            <wp:extent cx="5486400" cy="3516923"/>
            <wp:effectExtent l="0" t="0" r="0" b="0"/>
            <wp:docPr id="1001" name="Figure_1_Drug_Design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Drug_Design_Workflow.png"/>
                    <pic:cNvPicPr/>
                  </pic:nvPicPr>
                  <pic:blipFill>
                    <a:blip xmlns:r="http://schemas.openxmlformats.org/officeDocument/2006/relationships" r:embed="rIdImg1"/>
                    <a:stretch>
                      <a:fillRect/>
                    </a:stretch>
                  </pic:blipFill>
                  <pic:spPr>
                    <a:xfrm>
                      <a:off x="0" y="0"/>
                      <a:ext cx="5486400" cy="3516923"/>
                    </a:xfrm>
                    <a:prstGeom prst="rect">
                      <a:avLst/>
                    </a:prstGeom>
                  </pic:spPr>
                </pic:pic>
              </a:graphicData>
            </a:graphic>
          </wp:inline>
        </w:drawing>
      </w:r>
    </w:p>
    <w:p>
      <w:pPr>
        <w:pStyle w:val="FigureCaption"/>
      </w:pPr>
      <w:r>
        <w:t xml:space="preserve">Figure 1. Machine Learning in the Structure-Based and Ligand-Based Drug Design Workflow</w:t>
      </w:r>
    </w:p>
    <w:p>
      <w:pPr>
        <w:pStyle w:val="Normal"/>
      </w:pPr>
      <w:r>
        <w:t xml:space="preserve">Convolutional neural networks that treat the protein-ligand binding site as a three-dimensional grid, analogous to a volumetric image, have been used to classify poses and predict affinity, learning spatial patterns of favourable and unfavourable contacts without hand-crafted descriptors [5]. More recently, graph neural networks that represent molecules and binding sites as graphs of atoms and bonds have proven especially well suited to capturing the relational structure of molecular interactions, since they respect the natural connectivity of chemical systems and can be made invariant to arbitrary spatial orientation [7]. These geometric deep learning methods represent a convergence of structural biology and modern representation learning, and they underpin many contemporary structure-based scoring and pose-prediction tools.</w:t>
      </w:r>
    </w:p>
    <w:p>
      <w:pPr>
        <w:pStyle w:val="Normal"/>
      </w:pPr>
      <w:r>
        <w:t xml:space="preserve">Rigorous benchmarking has been essential to the maturation of machine-learning scoring, because a scoring function that appears accurate can in fact be exploiting hidden biases rather than learning genuine physics. Carefully constructed benchmark sets that pair active molecules with property-matched decoys were designed precisely to expose such artefacts and to provide fair, challenging tests of a method's ability to enrich true binders [39]. A recurring cautionary finding is that some machine-learning scoring functions achieve high benchmark scores by memorizing which protein families or ligand classes tend to be active, rather than by modelling the specific interactions that confer affinity; guarding against this requires benchmarks and data splits that prevent such shortcuts [39]. These lessons reinforce the broader message that evaluation design is as consequential as model design in structure-based drug discovery.</w:t>
      </w:r>
    </w:p>
    <w:p>
      <w:pPr>
        <w:pStyle w:val="Normal"/>
      </w:pPr>
      <w:r>
        <w:t xml:space="preserve">Closely related to pose scoring is the direct prediction of binding affinity between a drug and its target, framed as a supervised regression problem that maps a protein-ligand pair to a numerical affinity. Deep-learning models that ingest representations of both the compound and the target protein sequence, and learn to predict their binding strength, have demonstrated that useful affinity estimates can be obtained even without an explicit three-dimensional complex, extending structure-informed prediction to targets whose bound structures are unknown [40]. Such drug-target affinity models complement docking by offering rapid, structure-light triage across large target panels, and they illustrate the flexibility with which machine learning can be inserted at different points of the structure-based workflow depending on the data available [40].</w:t>
      </w:r>
    </w:p>
    <w:p>
      <w:pPr>
        <w:pStyle w:val="Normal"/>
      </w:pPr>
      <w:r>
        <w:t xml:space="preserve">Virtual screening is the practical embodiment of structure-based design at scale. In structure-based virtual screening, enormous libraries—sometimes exceeding a billion purchasable or synthesizable compounds—are docked against a target, and the top-ranked molecules are advanced to experimental testing [8]. The sheer size of modern make-on-demand libraries has made brute-force docking computationally prohibitive, motivating machine-learning strategies that learn to predict docking scores from molecular structure and thereby screen ultra-large libraries at a fraction of the cost by evaluating only a fraction of compounds explicitly [8]. This active-learning approach, in which a model iteratively selects the most promising compounds to dock next, exemplifies how machine learning multiplies the reach of physics-based methods rather than supplanting them [8].</w:t>
      </w:r>
    </w:p>
    <w:p>
      <w:pPr>
        <w:pStyle w:val="Normal"/>
      </w:pPr>
      <w:r>
        <w:t xml:space="preserve">The practical impact of these advances is considerable. Where a conventional docking campaign might have been limited to libraries of a few million compounds, machine-learning-accelerated screening extends the accessible space by orders of magnitude, allowing chemists to explore regions of chemistry that were previously beyond reach. This matters because the probability of finding a genuinely novel and potent starting point generally increases with the diversity and size of the space searched, provided the scoring remains reliable. The critical caveat, however, is that speed is worthless without accuracy: a fast but inaccurate screen simply produces a longer list of false positives. Consequently, the value of machine learning in structure-based screening is inseparable from the quality of the underlying scoring and from careful experimental follow-up that confirms whether prioritized compounds are truly active [5]. The interplay between computational enrichment and experimental confirmation defines the discipline and recurs in every application discussed in this chapter.</w:t>
      </w:r>
    </w:p>
    <w:p>
      <w:pPr>
        <w:pStyle w:val="Heading2"/>
      </w:pPr>
      <w:r>
        <w:t xml:space="preserve">5.1.3 Ligand-Based Drug Design</w:t>
      </w:r>
    </w:p>
    <w:p>
      <w:pPr>
        <w:pStyle w:val="Normal"/>
      </w:pPr>
      <w:r>
        <w:t xml:space="preserve">When a validated three-dimensional target structure is unavailable, or when a designer wishes to exploit accumulated knowledge of active compounds, ligand-based drug design offers a powerful alternative that reasons from the molecules themselves. As the workflow in Figure 1 indicates, ligand-based methods occupy the branch of the pipeline that operates without an explicit target structure, deriving predictive models from collections of molecules with measured activity. The foundational assumption of ligand-based design is the similarity principle: molecules that are structurally similar tend to exhibit similar biological activity [9]. This principle motivates similarity searching, in which a query molecule is compared against a database to retrieve analogues likely to share its activity, and it underlies the broader enterprise of learning predictive relationships between chemical structure and biological effect.</w:t>
      </w:r>
    </w:p>
    <w:p>
      <w:pPr>
        <w:pStyle w:val="Normal"/>
      </w:pPr>
      <w:r>
        <w:t xml:space="preserve">The most established form of ligand-based modelling is the quantitative structure-activity relationship, or QSAR, which seeks a mathematical function relating numerical descriptors of molecular structure to a measured activity or property [10]. Early QSAR models, pioneered decades before the deep-learning era, employed a modest number of interpretable physicochemical descriptors and linear regression, establishing the enduring idea that biological activity can be predicted from computable molecular features [10]. Modern QSAR has evolved dramatically in both the richness of its molecular representations and the sophistication of its learning algorithms, embracing thousands of descriptors, molecular fingerprints, and nonlinear machine-learning models capable of capturing complex structure-activity landscapes. This evolution has not been without difficulty: a central challenge of QSAR is the phenomenon of activity cliffs, in which two molecules that are nearly identical in structure differ enormously in potency, violating the smooth structure-activity relationship that most models implicitly assume [10]. Such cliffs confound similarity-based reasoning and represent regions where models are most likely to err, yet they are often precisely the regions of greatest interest to medicinal chemists seeking to sharpen potency. Robust QSAR practice therefore combines predictive modelling with an awareness of where the structure-activity landscape is smooth and where it is treacherous, and it treats model predictions as hypotheses to be tested rather than conclusions to be trusted [10].</w:t>
      </w:r>
    </w:p>
    <w:p>
      <w:pPr>
        <w:pStyle w:val="Normal"/>
      </w:pPr>
      <w:r>
        <w:t xml:space="preserve">Molecular representation is the linchpin of ligand-based modelling, because a learning algorithm can only be as good as the features it is given. Molecular fingerprints encode the presence or absence of particular substructures as bit vectors, with extended-connectivity fingerprints being among the most widely used for capturing circular atom environments [11]. Physicochemical descriptors quantify properties such as molecular weight, lipophilicity, polar surface area, and counts of hydrogen-bond donors and acceptors. The choice of representation strongly influences model performance, and a comparison of the principal molecular representation strategies, along with their characteristics and typical applications, is provided in Table 1.</w:t>
      </w:r>
    </w:p>
    <w:p>
      <w:pPr>
        <w:pStyle w:val="TableCaption"/>
      </w:pPr>
      <w:r>
        <w:t xml:space="preserve">[Insert Table 1 here]</w:t>
      </w:r>
    </w:p>
    <w:p>
      <w:pPr>
        <w:pStyle w:val="TableCaption"/>
      </w:pPr>
      <w:r>
        <w:t xml:space="preserve">Table 1. Molecular Representations for Machine Learning in Drug Design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Representation</w:t>
            </w:r>
          </w:p>
        </w:tc>
        <w:tc>
          <w:tcPr>
            <w:shd w:val="clear" w:color="auto" w:fill="D9E2F3"/>
          </w:tcPr>
          <w:p>
            <w:pPr>
              <w:jc w:val="center"/>
            </w:pPr>
            <w:r>
              <w:rPr>
                <w:b/>
              </w:rPr>
              <w:t xml:space="preserve">Description</w:t>
            </w:r>
          </w:p>
        </w:tc>
        <w:tc>
          <w:tcPr>
            <w:shd w:val="clear" w:color="auto" w:fill="D9E2F3"/>
          </w:tcPr>
          <w:p>
            <w:pPr>
              <w:jc w:val="center"/>
            </w:pPr>
            <w:r>
              <w:rPr>
                <w:b/>
              </w:rPr>
              <w:t xml:space="preserve">Strengths</w:t>
            </w:r>
          </w:p>
        </w:tc>
        <w:tc>
          <w:tcPr>
            <w:shd w:val="clear" w:color="auto" w:fill="D9E2F3"/>
          </w:tcPr>
          <w:p>
            <w:pPr>
              <w:jc w:val="center"/>
            </w:pPr>
            <w:r>
              <w:rPr>
                <w:b/>
              </w:rPr>
              <w:t xml:space="preserve">Limitations</w:t>
            </w:r>
          </w:p>
        </w:tc>
        <w:tc>
          <w:tcPr>
            <w:shd w:val="clear" w:color="auto" w:fill="D9E2F3"/>
          </w:tcPr>
          <w:p>
            <w:pPr>
              <w:jc w:val="center"/>
            </w:pPr>
            <w:r>
              <w:rPr>
                <w:b/>
              </w:rPr>
              <w:t xml:space="preserve">Typical Use</w:t>
            </w:r>
          </w:p>
        </w:tc>
      </w:tr>
      <w:tr>
        <w:tc>
          <w:p>
            <w:pPr>
              <w:spacing w:after="40"/>
            </w:pPr>
            <w:r>
              <w:t xml:space="preserve">Molecular fingerprints</w:t>
            </w:r>
          </w:p>
        </w:tc>
        <w:tc>
          <w:p>
            <w:pPr>
              <w:spacing w:after="40"/>
            </w:pPr>
            <w:r>
              <w:t xml:space="preserve">Bit vectors encoding substructure presence</w:t>
            </w:r>
          </w:p>
        </w:tc>
        <w:tc>
          <w:p>
            <w:pPr>
              <w:spacing w:after="40"/>
            </w:pPr>
            <w:r>
              <w:t xml:space="preserve">Fast, interpretable, well established</w:t>
            </w:r>
          </w:p>
        </w:tc>
        <w:tc>
          <w:p>
            <w:pPr>
              <w:spacing w:after="40"/>
            </w:pPr>
            <w:r>
              <w:t xml:space="preserve">Fixed features, sparse, collisions</w:t>
            </w:r>
          </w:p>
        </w:tc>
        <w:tc>
          <w:p>
            <w:pPr>
              <w:spacing w:after="40"/>
            </w:pPr>
            <w:r>
              <w:t xml:space="preserve">Similarity search, classical QSAR</w:t>
            </w:r>
          </w:p>
        </w:tc>
      </w:tr>
      <w:tr>
        <w:tc>
          <w:p>
            <w:pPr>
              <w:spacing w:after="40"/>
            </w:pPr>
            <w:r>
              <w:t xml:space="preserve">Physicochemical descriptors</w:t>
            </w:r>
          </w:p>
        </w:tc>
        <w:tc>
          <w:p>
            <w:pPr>
              <w:spacing w:after="40"/>
            </w:pPr>
            <w:r>
              <w:t xml:space="preserve">Numerical properties such as logP and TPSA</w:t>
            </w:r>
          </w:p>
        </w:tc>
        <w:tc>
          <w:p>
            <w:pPr>
              <w:spacing w:after="40"/>
            </w:pPr>
            <w:r>
              <w:t xml:space="preserve">Interpretable, low-dimensional</w:t>
            </w:r>
          </w:p>
        </w:tc>
        <w:tc>
          <w:p>
            <w:pPr>
              <w:spacing w:after="40"/>
            </w:pPr>
            <w:r>
              <w:t xml:space="preserve">Limited expressiveness for complex effects</w:t>
            </w:r>
          </w:p>
        </w:tc>
        <w:tc>
          <w:p>
            <w:pPr>
              <w:spacing w:after="40"/>
            </w:pPr>
            <w:r>
              <w:t xml:space="preserve">Drug-likeness, ADMET screening</w:t>
            </w:r>
          </w:p>
        </w:tc>
      </w:tr>
      <w:tr>
        <w:tc>
          <w:p>
            <w:pPr>
              <w:spacing w:after="40"/>
            </w:pPr>
            <w:r>
              <w:t xml:space="preserve">SMILES strings</w:t>
            </w:r>
          </w:p>
        </w:tc>
        <w:tc>
          <w:p>
            <w:pPr>
              <w:spacing w:after="40"/>
            </w:pPr>
            <w:r>
              <w:t xml:space="preserve">Linear text notation of molecular graphs</w:t>
            </w:r>
          </w:p>
        </w:tc>
        <w:tc>
          <w:p>
            <w:pPr>
              <w:spacing w:after="40"/>
            </w:pPr>
            <w:r>
              <w:t xml:space="preserve">Compact, sequence-model friendly</w:t>
            </w:r>
          </w:p>
        </w:tc>
        <w:tc>
          <w:p>
            <w:pPr>
              <w:spacing w:after="40"/>
            </w:pPr>
            <w:r>
              <w:t xml:space="preserve">Non-unique, syntax fragility</w:t>
            </w:r>
          </w:p>
        </w:tc>
        <w:tc>
          <w:p>
            <w:pPr>
              <w:spacing w:after="40"/>
            </w:pPr>
            <w:r>
              <w:t xml:space="preserve">Generative models, language models</w:t>
            </w:r>
          </w:p>
        </w:tc>
      </w:tr>
      <w:tr>
        <w:tc>
          <w:p>
            <w:pPr>
              <w:spacing w:after="40"/>
            </w:pPr>
            <w:r>
              <w:t xml:space="preserve">Molecular graphs</w:t>
            </w:r>
          </w:p>
        </w:tc>
        <w:tc>
          <w:p>
            <w:pPr>
              <w:spacing w:after="40"/>
            </w:pPr>
            <w:r>
              <w:t xml:space="preserve">Atoms as nodes, bonds as edges</w:t>
            </w:r>
          </w:p>
        </w:tc>
        <w:tc>
          <w:p>
            <w:pPr>
              <w:spacing w:after="40"/>
            </w:pPr>
            <w:r>
              <w:t xml:space="preserve">Captures topology, learnable features</w:t>
            </w:r>
          </w:p>
        </w:tc>
        <w:tc>
          <w:p>
            <w:pPr>
              <w:spacing w:after="40"/>
            </w:pPr>
            <w:r>
              <w:t xml:space="preserve">Computationally heavier, needs GNNs</w:t>
            </w:r>
          </w:p>
        </w:tc>
        <w:tc>
          <w:p>
            <w:pPr>
              <w:spacing w:after="40"/>
            </w:pPr>
            <w:r>
              <w:t xml:space="preserve">Property prediction, scoring</w:t>
            </w:r>
          </w:p>
        </w:tc>
      </w:tr>
      <w:tr>
        <w:tc>
          <w:p>
            <w:pPr>
              <w:spacing w:after="40"/>
            </w:pPr>
            <w:r>
              <w:t xml:space="preserve">3D conformers/grids</w:t>
            </w:r>
          </w:p>
        </w:tc>
        <w:tc>
          <w:p>
            <w:pPr>
              <w:spacing w:after="40"/>
            </w:pPr>
            <w:r>
              <w:t xml:space="preserve">Spatial atomic coordinates or voxels</w:t>
            </w:r>
          </w:p>
        </w:tc>
        <w:tc>
          <w:p>
            <w:pPr>
              <w:spacing w:after="40"/>
            </w:pPr>
            <w:r>
              <w:t xml:space="preserve">Encodes geometry and stereochemistry</w:t>
            </w:r>
          </w:p>
        </w:tc>
        <w:tc>
          <w:p>
            <w:pPr>
              <w:spacing w:after="40"/>
            </w:pPr>
            <w:r>
              <w:t xml:space="preserve">Conformer dependence, expensive</w:t>
            </w:r>
          </w:p>
        </w:tc>
        <w:tc>
          <w:p>
            <w:pPr>
              <w:spacing w:after="40"/>
            </w:pPr>
            <w:r>
              <w:t xml:space="preserve">Structure-based scoring, docking</w:t>
            </w:r>
          </w:p>
        </w:tc>
      </w:tr>
    </w:tbl>
    <w:p>
      <w:pPr>
        <w:pStyle w:val="Normal"/>
      </w:pPr>
      <w:r>
        <w:t xml:space="preserve">Once molecules are represented numerically, a wide range of machine-learning algorithms can be applied to predict activity. Random forests and gradient-boosted decision-tree ensembles have long been favoured in cheminformatics for their robustness, resistance to overfitting, and strong performance on tabular descriptor data [12]. Support vector machines, k-nearest-neighbour methods, and naive Bayes classifiers each occupy niches depending on data size and structure. The advent of deep learning brought multilayer neural networks that can learn hierarchical features from raw representations, and message-passing graph neural networks in particular have demonstrated the ability to learn task-specific molecular features directly from molecular graphs, sometimes matching or exceeding carefully engineered descriptor-based models on large datasets [7]. Table 2 summarizes the principal algorithm families used across drug-design tasks and the contexts in which each excels.</w:t>
      </w:r>
    </w:p>
    <w:p>
      <w:pPr>
        <w:pStyle w:val="TableCaption"/>
      </w:pPr>
      <w:r>
        <w:t xml:space="preserve">[Insert Table 2 here]</w:t>
      </w:r>
    </w:p>
    <w:p>
      <w:pPr>
        <w:pStyle w:val="TableCaption"/>
      </w:pPr>
      <w:r>
        <w:t xml:space="preserve">Table 2. Machine Learning Algorithm Families in Drug Design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Algorithm Family</w:t>
            </w:r>
          </w:p>
        </w:tc>
        <w:tc>
          <w:tcPr>
            <w:shd w:val="clear" w:color="auto" w:fill="D9E2F3"/>
          </w:tcPr>
          <w:p>
            <w:pPr>
              <w:jc w:val="center"/>
            </w:pPr>
            <w:r>
              <w:rPr>
                <w:b/>
              </w:rPr>
              <w:t xml:space="preserve">Representative Methods</w:t>
            </w:r>
          </w:p>
        </w:tc>
        <w:tc>
          <w:tcPr>
            <w:shd w:val="clear" w:color="auto" w:fill="D9E2F3"/>
          </w:tcPr>
          <w:p>
            <w:pPr>
              <w:jc w:val="center"/>
            </w:pPr>
            <w:r>
              <w:rPr>
                <w:b/>
              </w:rPr>
              <w:t xml:space="preserve">Data Regime</w:t>
            </w:r>
          </w:p>
        </w:tc>
        <w:tc>
          <w:tcPr>
            <w:shd w:val="clear" w:color="auto" w:fill="D9E2F3"/>
          </w:tcPr>
          <w:p>
            <w:pPr>
              <w:jc w:val="center"/>
            </w:pPr>
            <w:r>
              <w:rPr>
                <w:b/>
              </w:rPr>
              <w:t xml:space="preserve">Interpretability</w:t>
            </w:r>
          </w:p>
        </w:tc>
        <w:tc>
          <w:tcPr>
            <w:shd w:val="clear" w:color="auto" w:fill="D9E2F3"/>
          </w:tcPr>
          <w:p>
            <w:pPr>
              <w:jc w:val="center"/>
            </w:pPr>
            <w:r>
              <w:rPr>
                <w:b/>
              </w:rPr>
              <w:t xml:space="preserve">Common Applications</w:t>
            </w:r>
          </w:p>
        </w:tc>
      </w:tr>
      <w:tr>
        <w:tc>
          <w:p>
            <w:pPr>
              <w:spacing w:after="40"/>
            </w:pPr>
            <w:r>
              <w:t xml:space="preserve">Linear/statistical</w:t>
            </w:r>
          </w:p>
        </w:tc>
        <w:tc>
          <w:p>
            <w:pPr>
              <w:spacing w:after="40"/>
            </w:pPr>
            <w:r>
              <w:t xml:space="preserve">Linear and logistic regression, PLS</w:t>
            </w:r>
          </w:p>
        </w:tc>
        <w:tc>
          <w:p>
            <w:pPr>
              <w:spacing w:after="40"/>
            </w:pPr>
            <w:r>
              <w:t xml:space="preserve">Small, low-dimensional</w:t>
            </w:r>
          </w:p>
        </w:tc>
        <w:tc>
          <w:p>
            <w:pPr>
              <w:spacing w:after="40"/>
            </w:pPr>
            <w:r>
              <w:t xml:space="preserve">High</w:t>
            </w:r>
          </w:p>
        </w:tc>
        <w:tc>
          <w:p>
            <w:pPr>
              <w:spacing w:after="40"/>
            </w:pPr>
            <w:r>
              <w:t xml:space="preserve">Classical QSAR, property trends</w:t>
            </w:r>
          </w:p>
        </w:tc>
      </w:tr>
      <w:tr>
        <w:tc>
          <w:p>
            <w:pPr>
              <w:spacing w:after="40"/>
            </w:pPr>
            <w:r>
              <w:t xml:space="preserve">Kernel methods</w:t>
            </w:r>
          </w:p>
        </w:tc>
        <w:tc>
          <w:p>
            <w:pPr>
              <w:spacing w:after="40"/>
            </w:pPr>
            <w:r>
              <w:t xml:space="preserve">Support vector machines</w:t>
            </w:r>
          </w:p>
        </w:tc>
        <w:tc>
          <w:p>
            <w:pPr>
              <w:spacing w:after="40"/>
            </w:pPr>
            <w:r>
              <w:t xml:space="preserve">Small to medium</w:t>
            </w:r>
          </w:p>
        </w:tc>
        <w:tc>
          <w:p>
            <w:pPr>
              <w:spacing w:after="40"/>
            </w:pPr>
            <w:r>
              <w:t xml:space="preserve">Moderate</w:t>
            </w:r>
          </w:p>
        </w:tc>
        <w:tc>
          <w:p>
            <w:pPr>
              <w:spacing w:after="40"/>
            </w:pPr>
            <w:r>
              <w:t xml:space="preserve">Activity classification</w:t>
            </w:r>
          </w:p>
        </w:tc>
      </w:tr>
      <w:tr>
        <w:tc>
          <w:p>
            <w:pPr>
              <w:spacing w:after="40"/>
            </w:pPr>
            <w:r>
              <w:t xml:space="preserve">Tree ensembles</w:t>
            </w:r>
          </w:p>
        </w:tc>
        <w:tc>
          <w:p>
            <w:pPr>
              <w:spacing w:after="40"/>
            </w:pPr>
            <w:r>
              <w:t xml:space="preserve">Random forest, gradient boosting</w:t>
            </w:r>
          </w:p>
        </w:tc>
        <w:tc>
          <w:p>
            <w:pPr>
              <w:spacing w:after="40"/>
            </w:pPr>
            <w:r>
              <w:t xml:space="preserve">Small to large tabular</w:t>
            </w:r>
          </w:p>
        </w:tc>
        <w:tc>
          <w:p>
            <w:pPr>
              <w:spacing w:after="40"/>
            </w:pPr>
            <w:r>
              <w:t xml:space="preserve">Moderate</w:t>
            </w:r>
          </w:p>
        </w:tc>
        <w:tc>
          <w:p>
            <w:pPr>
              <w:spacing w:after="40"/>
            </w:pPr>
            <w:r>
              <w:t xml:space="preserve">QSAR, ADMET prediction</w:t>
            </w:r>
          </w:p>
        </w:tc>
      </w:tr>
      <w:tr>
        <w:tc>
          <w:p>
            <w:pPr>
              <w:spacing w:after="40"/>
            </w:pPr>
            <w:r>
              <w:t xml:space="preserve">Deep neural networks</w:t>
            </w:r>
          </w:p>
        </w:tc>
        <w:tc>
          <w:p>
            <w:pPr>
              <w:spacing w:after="40"/>
            </w:pPr>
            <w:r>
              <w:t xml:space="preserve">MLPs, CNNs, RNNs</w:t>
            </w:r>
          </w:p>
        </w:tc>
        <w:tc>
          <w:p>
            <w:pPr>
              <w:spacing w:after="40"/>
            </w:pPr>
            <w:r>
              <w:t xml:space="preserve">Large</w:t>
            </w:r>
          </w:p>
        </w:tc>
        <w:tc>
          <w:p>
            <w:pPr>
              <w:spacing w:after="40"/>
            </w:pPr>
            <w:r>
              <w:t xml:space="preserve">Low</w:t>
            </w:r>
          </w:p>
        </w:tc>
        <w:tc>
          <w:p>
            <w:pPr>
              <w:spacing w:after="40"/>
            </w:pPr>
            <w:r>
              <w:t xml:space="preserve">Property and affinity prediction</w:t>
            </w:r>
          </w:p>
        </w:tc>
      </w:tr>
      <w:tr>
        <w:tc>
          <w:p>
            <w:pPr>
              <w:spacing w:after="40"/>
            </w:pPr>
            <w:r>
              <w:t xml:space="preserve">Graph neural networks</w:t>
            </w:r>
          </w:p>
        </w:tc>
        <w:tc>
          <w:p>
            <w:pPr>
              <w:spacing w:after="40"/>
            </w:pPr>
            <w:r>
              <w:t xml:space="preserve">Message-passing, graph attention</w:t>
            </w:r>
          </w:p>
        </w:tc>
        <w:tc>
          <w:p>
            <w:pPr>
              <w:spacing w:after="40"/>
            </w:pPr>
            <w:r>
              <w:t xml:space="preserve">Medium to large</w:t>
            </w:r>
          </w:p>
        </w:tc>
        <w:tc>
          <w:p>
            <w:pPr>
              <w:spacing w:after="40"/>
            </w:pPr>
            <w:r>
              <w:t xml:space="preserve">Low to moderate</w:t>
            </w:r>
          </w:p>
        </w:tc>
        <w:tc>
          <w:p>
            <w:pPr>
              <w:spacing w:after="40"/>
            </w:pPr>
            <w:r>
              <w:t xml:space="preserve">Molecular property prediction, scoring</w:t>
            </w:r>
          </w:p>
        </w:tc>
      </w:tr>
    </w:tbl>
    <w:p>
      <w:pPr>
        <w:pStyle w:val="Normal"/>
      </w:pPr>
      <w:r>
        <w:t xml:space="preserve">Pharmacophore modelling represents another cornerstone of ligand-based design, abstracting the essential steric and electronic features that a molecule must possess to interact with a target [9]. A pharmacophore hypothesis, derived from a set of known actives, specifies the spatial arrangement of features such as hydrogen-bond donors and acceptors, hydrophobic regions, and charged groups, and can then be used to screen databases for molecules matching the pattern. Machine learning enhances pharmacophore approaches by learning which features and arrangements are most predictive of activity and by combining pharmacophoric information with other descriptors in unified models. The complementary strengths of structure-based and ligand-based paradigms mean that practitioners frequently integrate both, using structure to inform ligand-based hypotheses and using ligand data to compensate for structural uncertainty [3]. The full breadth of tasks to which machine learning is applied across the drug-design enterprise—spanning target identification, virtual screening, affinity and property prediction, de novo generation, and synthesis planning—is organized in Figure 3, which maps the major learning tasks onto the stages of discovery they support [47].</w:t>
      </w:r>
    </w:p>
    <w:p>
      <w:pPr>
        <w:pStyle w:val="FigureImage"/>
      </w:pPr>
      <w:r>
        <w:drawing>
          <wp:inline xmlns:wp="http://schemas.openxmlformats.org/drawingml/2006/wordprocessingDrawing" distT="0" distB="0" distL="0" distR="0">
            <wp:extent cx="5486400" cy="3144643"/>
            <wp:effectExtent l="0" t="0" r="0" b="0"/>
            <wp:docPr id="1002" name="Figure_3_ML_Task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3_ML_Task_Taxonomy.png"/>
                    <pic:cNvPicPr/>
                  </pic:nvPicPr>
                  <pic:blipFill>
                    <a:blip xmlns:r="http://schemas.openxmlformats.org/officeDocument/2006/relationships" r:embed="rIdImg2"/>
                    <a:stretch>
                      <a:fillRect/>
                    </a:stretch>
                  </pic:blipFill>
                  <pic:spPr>
                    <a:xfrm>
                      <a:off x="0" y="0"/>
                      <a:ext cx="5486400" cy="3144643"/>
                    </a:xfrm>
                    <a:prstGeom prst="rect">
                      <a:avLst/>
                    </a:prstGeom>
                  </pic:spPr>
                </pic:pic>
              </a:graphicData>
            </a:graphic>
          </wp:inline>
        </w:drawing>
      </w:r>
    </w:p>
    <w:p>
      <w:pPr>
        <w:pStyle w:val="FigureCaption"/>
      </w:pPr>
      <w:r>
        <w:t xml:space="preserve">Figure 3. A Taxonomy of Machine Learning Tasks Across the Drug Discovery Pipeline</w:t>
      </w:r>
    </w:p>
    <w:p>
      <w:pPr>
        <w:pStyle w:val="Heading2"/>
      </w:pPr>
      <w:r>
        <w:t xml:space="preserve">5.1.4 Integrating and Validating Predictive Models</w:t>
      </w:r>
    </w:p>
    <w:p>
      <w:pPr>
        <w:pStyle w:val="Normal"/>
      </w:pPr>
      <w:r>
        <w:t xml:space="preserve">A recurring theme across both structure-based and ligand-based design is the paramount importance of data quality and rigorous validation. Bioactivity data aggregated from heterogeneous sources vary in assay conditions, measurement units, and reliability, and models trained on noisy or biased data will faithfully reproduce those flaws [3]. The applicability domain of a model—the region of chemical space in which its predictions can be trusted—must be characterized, since predictions for molecules dissimilar to the training set are inherently unreliable [10]. Careful data curation, deduplication, and standardization are therefore prerequisites for trustworthy modelling.</w:t>
      </w:r>
    </w:p>
    <w:p>
      <w:pPr>
        <w:pStyle w:val="Normal"/>
      </w:pPr>
      <w:r>
        <w:t xml:space="preserve">Validation practices distinguish credible models from misleading ones. Random splitting of data into training and test sets can dramatically overestimate real-world performance because structurally similar molecules may appear in both partitions, inflating apparent accuracy. Scaffold splitting, which partitions molecules by their core chemical frameworks, provides a more honest estimate of a model's ability to generalize to novel chemistry, and time-based splits that mimic prospective use offer the most stringent evaluation [12]. The combination of appropriate splitting, external validation, and awareness of the applicability domain is what allows machine-learning models to contribute reliably to the demanding task of designing molecules that will ultimately be tested in the laboratory and the clinic. As the taxonomy in Figure 3 makes clear, these validation principles apply not to a single technique but to every learning task across the pipeline, from scoring and screening through generation and property prediction, and they form the connective tissue that binds the disparate methods of this chapter into a coherent, trustworthy discipline [47].</w:t>
      </w:r>
    </w:p>
    <w:p>
      <w:pPr>
        <w:pStyle w:val="Heading1"/>
      </w:pPr>
      <w:r>
        <w:t xml:space="preserve">5.2 Generative AI for Novel Molecule Design</w:t>
      </w:r>
    </w:p>
    <w:p>
      <w:pPr>
        <w:pStyle w:val="Heading2"/>
      </w:pPr>
      <w:r>
        <w:t xml:space="preserve">5.2.1 From Screening to Generation: The De Novo Design Paradigm</w:t>
      </w:r>
    </w:p>
    <w:p>
      <w:pPr>
        <w:pStyle w:val="Normal"/>
      </w:pPr>
      <w:r>
        <w:t xml:space="preserve">The methods described in the preceding section share a common posture: they evaluate molecules that already exist, whether in physical inventories or enumerated virtual libraries. Yet the space of chemically feasible drug-like molecules is astronomically large, with estimates commonly cited in the range of ten to the sixtieth power, dwarfing the collections that any library could ever contain [13]. Screening approaches, however clever, can only find the best among the molecules they are given; they cannot invent fundamentally new ones. Generative artificial intelligence inverts this logic. Rather than selecting from a fixed set, generative models learn the underlying distribution of drug-like molecules and then sample from it to propose entirely novel structures, a paradigm known as de novo molecular design [13].</w:t>
      </w:r>
    </w:p>
    <w:p>
      <w:pPr>
        <w:pStyle w:val="Normal"/>
      </w:pPr>
      <w:r>
        <w:t xml:space="preserve">De novo design is not itself new—rule-based and fragment-growing algorithms have long assembled molecules atom by atom or fragment by fragment—but deep generative models have transformed its power and practicality [14]. By learning what makes a molecule drug-like from millions of examples rather than from hand-coded rules, these models can generate diverse, valid, and synthetically plausible structures, and, crucially, they can be steered toward molecules with desired properties. The conceptual appeal is profound: whereas a chemist's intuition, however expert, is shaped by the finite set of molecules they have encountered, a generative model distills patterns from far larger collections and can propose structures that a human might never conceive, including scaffolds that depart substantially from known chemical series [13]. This capacity for genuine novelty is simultaneously the greatest promise and the greatest peril of generative design, since a molecule that is novel but unsynthesizable, unstable, or toxic is of no value, which is why the optimization and filtering machinery described in the remainder of this section is inseparable from the generative models themselves [13]. The central promise is inverse design: instead of proposing a structure and predicting its properties, the designer specifies the target properties and the model generates structures likely to possess them [13]. Realizing this promise requires solving three coupled challenges—generating valid molecules, generating diverse molecules, and generating molecules optimized for multiple objectives simultaneously—which the following architectures address in different ways.</w:t>
      </w:r>
    </w:p>
    <w:p>
      <w:pPr>
        <w:pStyle w:val="Normal"/>
      </w:pPr>
      <w:r>
        <w:t xml:space="preserve">Several metrics have become standard for judging generative models, and appreciating them clarifies what success means in this domain. Validity measures the fraction of generated structures that correspond to chemically sensible molecules; uniqueness measures the fraction that are distinct rather than repeated; novelty measures the fraction absent from the training set, guarding against mere memorization; and diversity measures how broadly the generated set covers chemical space [22]. A model that scores perfectly on validity but poorly on novelty has learned only to copy, while one that generates wildly diverse but invalid structures is equally useless. The art of generative molecular design lies in balancing these metrics while simultaneously optimizing the properties that make a molecule a viable drug candidate, and no single architecture dominates across all of these axes, which is why the field maintains a diverse toolkit of methods rather than converging on one [22].</w:t>
      </w:r>
    </w:p>
    <w:p>
      <w:pPr>
        <w:pStyle w:val="Normal"/>
      </w:pPr>
      <w:r>
        <w:t xml:space="preserve">Molecular generation depends critically on how molecules are represented to the model, and generative approaches have adopted two broad strategies. String-based methods operate on linear text notations, most prominently the simplified molecular-input line-entry system, treating molecule generation as a sequence-generation problem analogous to text [14]. Graph-based methods generate molecules directly as graphs of atoms and bonds, guaranteeing valid connectivity by construction and sidestepping the syntactic fragility of string representations [7]. Each strategy carries trade-offs in validity, expressiveness, and computational cost, and the choice interacts with the generative architecture employed. The principal generative model families and their defining characteristics are compared in Table 3.</w:t>
      </w:r>
    </w:p>
    <w:p>
      <w:pPr>
        <w:pStyle w:val="TableCaption"/>
      </w:pPr>
      <w:r>
        <w:t xml:space="preserve">[Insert Table 3 here]</w:t>
      </w:r>
    </w:p>
    <w:p>
      <w:pPr>
        <w:pStyle w:val="TableCaption"/>
      </w:pPr>
      <w:r>
        <w:t xml:space="preserve">Table 3. Generative Model Architectures for De Novo Molecular Design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Model Family</w:t>
            </w:r>
          </w:p>
        </w:tc>
        <w:tc>
          <w:tcPr>
            <w:shd w:val="clear" w:color="auto" w:fill="D9E2F3"/>
          </w:tcPr>
          <w:p>
            <w:pPr>
              <w:jc w:val="center"/>
            </w:pPr>
            <w:r>
              <w:rPr>
                <w:b/>
              </w:rPr>
              <w:t xml:space="preserve">Core Mechanism</w:t>
            </w:r>
          </w:p>
        </w:tc>
        <w:tc>
          <w:tcPr>
            <w:shd w:val="clear" w:color="auto" w:fill="D9E2F3"/>
          </w:tcPr>
          <w:p>
            <w:pPr>
              <w:jc w:val="center"/>
            </w:pPr>
            <w:r>
              <w:rPr>
                <w:b/>
              </w:rPr>
              <w:t xml:space="preserve">Strengths</w:t>
            </w:r>
          </w:p>
        </w:tc>
        <w:tc>
          <w:tcPr>
            <w:shd w:val="clear" w:color="auto" w:fill="D9E2F3"/>
          </w:tcPr>
          <w:p>
            <w:pPr>
              <w:jc w:val="center"/>
            </w:pPr>
            <w:r>
              <w:rPr>
                <w:b/>
              </w:rPr>
              <w:t xml:space="preserve">Limitations</w:t>
            </w:r>
          </w:p>
        </w:tc>
        <w:tc>
          <w:tcPr>
            <w:shd w:val="clear" w:color="auto" w:fill="D9E2F3"/>
          </w:tcPr>
          <w:p>
            <w:pPr>
              <w:jc w:val="center"/>
            </w:pPr>
            <w:r>
              <w:rPr>
                <w:b/>
              </w:rPr>
              <w:t xml:space="preserve">Optimization Approach</w:t>
            </w:r>
          </w:p>
        </w:tc>
      </w:tr>
      <w:tr>
        <w:tc>
          <w:p>
            <w:pPr>
              <w:spacing w:after="40"/>
            </w:pPr>
            <w:r>
              <w:t xml:space="preserve">Variational autoencoder</w:t>
            </w:r>
          </w:p>
        </w:tc>
        <w:tc>
          <w:p>
            <w:pPr>
              <w:spacing w:after="40"/>
            </w:pPr>
            <w:r>
              <w:t xml:space="preserve">Encode to continuous latent space, decode</w:t>
            </w:r>
          </w:p>
        </w:tc>
        <w:tc>
          <w:p>
            <w:pPr>
              <w:spacing w:after="40"/>
            </w:pPr>
            <w:r>
              <w:t xml:space="preserve">Smooth latent space, interpolation</w:t>
            </w:r>
          </w:p>
        </w:tc>
        <w:tc>
          <w:p>
            <w:pPr>
              <w:spacing w:after="40"/>
            </w:pPr>
            <w:r>
              <w:t xml:space="preserve">Sometimes low validity, blurry outputs</w:t>
            </w:r>
          </w:p>
        </w:tc>
        <w:tc>
          <w:p>
            <w:pPr>
              <w:spacing w:after="40"/>
            </w:pPr>
            <w:r>
              <w:t xml:space="preserve">Latent-space search, Bayesian optimization</w:t>
            </w:r>
          </w:p>
        </w:tc>
      </w:tr>
      <w:tr>
        <w:tc>
          <w:p>
            <w:pPr>
              <w:spacing w:after="40"/>
            </w:pPr>
            <w:r>
              <w:t xml:space="preserve">Generative adversarial network</w:t>
            </w:r>
          </w:p>
        </w:tc>
        <w:tc>
          <w:p>
            <w:pPr>
              <w:spacing w:after="40"/>
            </w:pPr>
            <w:r>
              <w:t xml:space="preserve">Generator vs. discriminator adversarial game</w:t>
            </w:r>
          </w:p>
        </w:tc>
        <w:tc>
          <w:p>
            <w:pPr>
              <w:spacing w:after="40"/>
            </w:pPr>
            <w:r>
              <w:t xml:space="preserve">Sharp, realistic samples</w:t>
            </w:r>
          </w:p>
        </w:tc>
        <w:tc>
          <w:p>
            <w:pPr>
              <w:spacing w:after="40"/>
            </w:pPr>
            <w:r>
              <w:t xml:space="preserve">Training instability, mode collapse</w:t>
            </w:r>
          </w:p>
        </w:tc>
        <w:tc>
          <w:p>
            <w:pPr>
              <w:spacing w:after="40"/>
            </w:pPr>
            <w:r>
              <w:t xml:space="preserve">Reward-augmented adversarial training</w:t>
            </w:r>
          </w:p>
        </w:tc>
      </w:tr>
      <w:tr>
        <w:tc>
          <w:p>
            <w:pPr>
              <w:spacing w:after="40"/>
            </w:pPr>
            <w:r>
              <w:t xml:space="preserve">Recurrent/autoregressive</w:t>
            </w:r>
          </w:p>
        </w:tc>
        <w:tc>
          <w:p>
            <w:pPr>
              <w:spacing w:after="40"/>
            </w:pPr>
            <w:r>
              <w:t xml:space="preserve">Sequential token or atom generation</w:t>
            </w:r>
          </w:p>
        </w:tc>
        <w:tc>
          <w:p>
            <w:pPr>
              <w:spacing w:after="40"/>
            </w:pPr>
            <w:r>
              <w:t xml:space="preserve">High validity, simple training</w:t>
            </w:r>
          </w:p>
        </w:tc>
        <w:tc>
          <w:p>
            <w:pPr>
              <w:spacing w:after="40"/>
            </w:pPr>
            <w:r>
              <w:t xml:space="preserve">Sequential, limited global structure</w:t>
            </w:r>
          </w:p>
        </w:tc>
        <w:tc>
          <w:p>
            <w:pPr>
              <w:spacing w:after="40"/>
            </w:pPr>
            <w:r>
              <w:t xml:space="preserve">Transfer learning, fine-tuning</w:t>
            </w:r>
          </w:p>
        </w:tc>
      </w:tr>
      <w:tr>
        <w:tc>
          <w:p>
            <w:pPr>
              <w:spacing w:after="40"/>
            </w:pPr>
            <w:r>
              <w:t xml:space="preserve">Transformer</w:t>
            </w:r>
          </w:p>
        </w:tc>
        <w:tc>
          <w:p>
            <w:pPr>
              <w:spacing w:after="40"/>
            </w:pPr>
            <w:r>
              <w:t xml:space="preserve">Attention over sequence or graph</w:t>
            </w:r>
          </w:p>
        </w:tc>
        <w:tc>
          <w:p>
            <w:pPr>
              <w:spacing w:after="40"/>
            </w:pPr>
            <w:r>
              <w:t xml:space="preserve">Scalable, captures long-range context</w:t>
            </w:r>
          </w:p>
        </w:tc>
        <w:tc>
          <w:p>
            <w:pPr>
              <w:spacing w:after="40"/>
            </w:pPr>
            <w:r>
              <w:t xml:space="preserve">Data and compute hungry</w:t>
            </w:r>
          </w:p>
        </w:tc>
        <w:tc>
          <w:p>
            <w:pPr>
              <w:spacing w:after="40"/>
            </w:pPr>
            <w:r>
              <w:t xml:space="preserve">Conditional generation, prompting</w:t>
            </w:r>
          </w:p>
        </w:tc>
      </w:tr>
      <w:tr>
        <w:tc>
          <w:p>
            <w:pPr>
              <w:spacing w:after="40"/>
            </w:pPr>
            <w:r>
              <w:t xml:space="preserve">Diffusion</w:t>
            </w:r>
          </w:p>
        </w:tc>
        <w:tc>
          <w:p>
            <w:pPr>
              <w:spacing w:after="40"/>
            </w:pPr>
            <w:r>
              <w:t xml:space="preserve">Iterative denoising from noise</w:t>
            </w:r>
          </w:p>
        </w:tc>
        <w:tc>
          <w:p>
            <w:pPr>
              <w:spacing w:after="40"/>
            </w:pPr>
            <w:r>
              <w:t xml:space="preserve">High quality, 3D-aware generation</w:t>
            </w:r>
          </w:p>
        </w:tc>
        <w:tc>
          <w:p>
            <w:pPr>
              <w:spacing w:after="40"/>
            </w:pPr>
            <w:r>
              <w:t xml:space="preserve">Slow sampling, complex training</w:t>
            </w:r>
          </w:p>
        </w:tc>
        <w:tc>
          <w:p>
            <w:pPr>
              <w:spacing w:after="40"/>
            </w:pPr>
            <w:r>
              <w:t xml:space="preserve">Guidance, conditioning</w:t>
            </w:r>
          </w:p>
        </w:tc>
      </w:tr>
    </w:tbl>
    <w:p>
      <w:pPr>
        <w:pStyle w:val="Heading2"/>
      </w:pPr>
      <w:r>
        <w:t xml:space="preserve">5.2.2 Variational Autoencoders and Latent-Space Design</w:t>
      </w:r>
    </w:p>
    <w:p>
      <w:pPr>
        <w:pStyle w:val="Normal"/>
      </w:pPr>
      <w:r>
        <w:t xml:space="preserve">Variational autoencoders were among the first deep generative models applied to molecular design, and they introduced a conceptually appealing framework for inverse design [15]. A variational autoencoder consists of an encoder that maps a molecule into a continuous, low-dimensional latent space and a decoder that reconstructs a molecule from a point in that space. Because the latent space is continuous and organized so that nearby points correspond to similar molecules, it becomes possible to navigate chemical space smoothly, interpolating between molecules and performing gradient-based optimization of properties within the latent representation [15]. A property-prediction model trained jointly on the latent space allows the designer to search for latent points that decode into molecules with desired characteristics, directly operationalizing the inverse-design vision.</w:t>
      </w:r>
    </w:p>
    <w:p>
      <w:pPr>
        <w:pStyle w:val="Normal"/>
      </w:pPr>
      <w:r>
        <w:t xml:space="preserve">The earliest molecular variational autoencoders operated on string representations and suffered from a notable weakness: many points in the latent space decoded into syntactically invalid strings that did not correspond to real molecules [15]. Subsequent work addressed this limitation through grammar-constrained decoding, which enforces the syntactic rules of the molecular notation during generation, and through graph-based variational autoencoders that generate molecular graphs directly and thereby guarantee chemical validity [7]. These refinements substantially improved the fraction of valid molecules generated and made latent-space optimization a practical tool. The relationship between latent-space design and downstream property optimization is depicted in Figure 2, which situates generative modelling within a closed optimization loop.</w:t>
      </w:r>
    </w:p>
    <w:p>
      <w:pPr>
        <w:pStyle w:val="FigureImage"/>
      </w:pPr>
      <w:r>
        <w:drawing>
          <wp:inline xmlns:wp="http://schemas.openxmlformats.org/drawingml/2006/wordprocessingDrawing" distT="0" distB="0" distL="0" distR="0">
            <wp:extent cx="5486400" cy="3392905"/>
            <wp:effectExtent l="0" t="0" r="0" b="0"/>
            <wp:docPr id="1003" name="Figure_2_Generative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2_Generative_Loop.png"/>
                    <pic:cNvPicPr/>
                  </pic:nvPicPr>
                  <pic:blipFill>
                    <a:blip xmlns:r="http://schemas.openxmlformats.org/officeDocument/2006/relationships" r:embed="rIdImg3"/>
                    <a:stretch>
                      <a:fillRect/>
                    </a:stretch>
                  </pic:blipFill>
                  <pic:spPr>
                    <a:xfrm>
                      <a:off x="0" y="0"/>
                      <a:ext cx="5486400" cy="3392905"/>
                    </a:xfrm>
                    <a:prstGeom prst="rect">
                      <a:avLst/>
                    </a:prstGeom>
                  </pic:spPr>
                </pic:pic>
              </a:graphicData>
            </a:graphic>
          </wp:inline>
        </w:drawing>
      </w:r>
    </w:p>
    <w:p>
      <w:pPr>
        <w:pStyle w:val="FigureCaption"/>
      </w:pPr>
      <w:r>
        <w:t xml:space="preserve">Figure 2. Generative Design and Optimization Loop for Novel Drug Molecules</w:t>
      </w:r>
    </w:p>
    <w:p>
      <w:pPr>
        <w:pStyle w:val="Heading2"/>
      </w:pPr>
      <w:r>
        <w:t xml:space="preserve">5.2.3 Generative Adversarial Networks and Recurrent Models</w:t>
      </w:r>
    </w:p>
    <w:p>
      <w:pPr>
        <w:pStyle w:val="Normal"/>
      </w:pPr>
      <w:r>
        <w:t xml:space="preserve">Generative adversarial networks approach generation through a competitive game between two networks: a generator that produces candidate molecules and a discriminator that attempts to distinguish generated molecules from real ones [16]. Through this adversarial training, the generator progressively learns to produce molecules indistinguishable from those in the training distribution. Applied to molecular design, adversarial frameworks have been combined with reinforcement learning so that the generator is rewarded not only for realism but also for producing molecules with desirable properties, jointly optimizing for validity, novelty, and targeted characteristics [16]. Adversarial approaches have been formulated to operate directly on molecular graphs rather than strings, generating small molecular graphs in a single step and coupling the adversarial objective with a reward network that scores chemical validity and desired properties, thereby avoiding the sequential generation bottleneck while still steering output toward useful chemistry [41]. Despite their power, adversarial models can be difficult to train, suffering from instability and mode collapse in which the generator produces a limited variety of outputs, and these challenges—together with a tendency to generate a narrow set of structures on larger datasets—have tempered their adoption relative to other families [41].</w:t>
      </w:r>
    </w:p>
    <w:p>
      <w:pPr>
        <w:pStyle w:val="Normal"/>
      </w:pPr>
      <w:r>
        <w:t xml:space="preserve">Recurrent neural networks, and autoregressive models more generally, generate molecules one token or one atom at a time, predicting each element conditioned on those already produced [14]. Trained on large corpora of molecular strings, such models learn the statistical regularities of drug-like chemistry and achieve high rates of valid-molecule generation with comparatively simple and stable training. A particularly influential technique pairs a pretrained recurrent generator with transfer learning: the model is first trained on a broad chemical database to learn general chemistry, then fine-tuned on a small set of molecules active against a specific target, biasing generation toward that target's chemistry [14]. This ability to specialize a general model with limited target-specific data has made autoregressive generators a practical workhorse of de novo design and a natural bridge to the reinforcement-learning methods discussed below.</w:t>
      </w:r>
    </w:p>
    <w:p>
      <w:pPr>
        <w:pStyle w:val="Heading2"/>
      </w:pPr>
      <w:r>
        <w:t xml:space="preserve">5.2.4 Transformer and Diffusion Models</w:t>
      </w:r>
    </w:p>
    <w:p>
      <w:pPr>
        <w:pStyle w:val="Normal"/>
      </w:pPr>
      <w:r>
        <w:t xml:space="preserve">The transformer architecture, which revolutionized natural language processing through its attention mechanism, has been adapted extensively to molecular generation [17]. By attending over entire sequences or graph representations, transformers capture long-range dependencies among distant parts of a molecule that recurrent models struggle to model, and they scale efficiently to very large datasets. Chemical language models built on transformers, pretrained on hundreds of millions of molecular strings, can be conditioned to generate molecules with specified scaffolds, properties, or target activities, treating molecular design as a form of conditional language generation [17]. This framing carries a practical advantage: the same conditioning mechanisms that allow a language model to follow an instruction can allow a molecular transformer to honour a design constraint, so that a chemist can, in effect, request molecules bearing a particular core with a target range of properties and receive candidates that respect those specifications [17]. As these chemical language models grow in scale and are trained on richer multimodal data linking structures to activities and text, they increasingly resemble general-purpose molecular design assistants rather than narrow single-task generators. This convergence with large language model methodology has enabled increasingly flexible, instruction-driven molecular generation.</w:t>
      </w:r>
    </w:p>
    <w:p>
      <w:pPr>
        <w:pStyle w:val="Normal"/>
      </w:pPr>
      <w:r>
        <w:t xml:space="preserve">Diffusion models represent the most recent major advance in generative modelling and have rapidly gained prominence in molecular and, especially, three-dimensional structure generation [18]. A diffusion model learns to reverse a gradual noising process: starting from random noise, it iteratively denoises toward a coherent sample, and by conditioning this denoising it can generate molecules satisfying specified constraints. Applied to three-dimensional molecular structures, equivariant diffusion models can generate molecules directly in the context of a target binding pocket, proposing ligands whose geometry complements the protein surface—a powerful fusion of generative design with structure-based reasoning [18]. Although sampling from diffusion models is computationally intensive, their sample quality and native ability to reason in three dimensions make them especially attractive for structure-aware generation. The property of equivariance—the guarantee that the model's predictions transform consistently when a molecule is rotated or translated in space—is particularly important for three-dimensional generation, because physical reality does not depend on an arbitrary choice of coordinate frame, and models that respect this symmetry learn more efficiently and generalize more reliably than those forced to relearn the same geometry in every orientation [18]. The marriage of equivariant architectures with diffusion-based generation exemplifies how principled inductive biases drawn from physics can be embedded within flexible learned models, yielding methods that are both data-efficient and physically grounded [18].</w:t>
      </w:r>
    </w:p>
    <w:p>
      <w:pPr>
        <w:pStyle w:val="Heading2"/>
      </w:pPr>
      <w:r>
        <w:t xml:space="preserve">5.2.5 Goal-Directed Optimization and Reinforcement Learning</w:t>
      </w:r>
    </w:p>
    <w:p>
      <w:pPr>
        <w:pStyle w:val="Normal"/>
      </w:pPr>
      <w:r>
        <w:t xml:space="preserve">Generating valid and novel molecules is necessary but not sufficient; the ultimate objective is to generate molecules optimized for the many, often competing, criteria that define a viable drug. Reinforcement learning provides a principled framework for this goal-directed optimization, treating molecule generation as a sequential decision process in which the model receives a reward reflecting how well a generated molecule satisfies the design objectives [19]. By maximizing expected reward, a generative policy learns to produce molecules that score highly on target properties such as predicted binding affinity, solubility, and synthetic accessibility, while penalizing undesirable features. This framework has been applied across generative architectures, coupling recurrent, adversarial, and graph-based generators with reward functions that encode medicinal-chemistry objectives [19].</w:t>
      </w:r>
    </w:p>
    <w:p>
      <w:pPr>
        <w:pStyle w:val="Normal"/>
      </w:pPr>
      <w:r>
        <w:t xml:space="preserve">A crucial complication is that drug design is inherently multi-objective: a molecule must simultaneously bind its target potently, avoid off-target effects, possess favourable pharmacokinetics, and be synthetically accessible, and these objectives frequently conflict [20]. Multi-objective optimization frameworks, including scalarization schemes that combine objectives into a single reward and Pareto-based methods that seek trade-off frontiers, allow generative models to balance competing demands rather than optimizing one property at the expense of others [20]. A Pareto-based perspective is often more informative than a single scalarized reward, because it presents the medicinal chemist with a frontier of molecules embodying different trade-offs—one more potent but less soluble, another more synthesizable but slightly less selective—and leaves the final judgment to human expertise informed by project context [20]. Methods that generate molecules from interpretable building blocks further aid this process by making explicit which substructures drive which properties, so that optimization becomes a transparent negotiation among objectives rather than an opaque search [20]. A persistent danger is reward hacking, in which a model exploits weaknesses in imperfect property predictors to generate molecules that score well computationally but are chemically absurd or unsynthesizable; guarding against this requires robust reward models, diversity constraints, and human oversight [19].</w:t>
      </w:r>
    </w:p>
    <w:p>
      <w:pPr>
        <w:pStyle w:val="Normal"/>
      </w:pPr>
      <w:r>
        <w:t xml:space="preserve">Synthetic accessibility deserves particular emphasis, because a molecule that cannot be made is of no practical value regardless of its predicted properties [21]. Generative models readily propose structures that are elegant on paper but impossible or impractical to synthesize, and incorporating synthesizability into the generative objective is an active area of research. Approaches include penalizing structures with unrealistic substructures, scoring molecules by estimated synthetic complexity, and, most rigorously, coupling generation with computer-aided synthesis planning so that only molecules with a plausible synthetic route are proposed [21]. Data-driven synthetic-complexity scores, learned from large corpora of reactions so that molecules resembling readily made products receive favourable scores while unusual structures are penalized, provide a computationally cheap synthesizability signal that can be embedded directly into generative reward functions [45]. Integrating synthesizability from the outset, rather than filtering afterward, substantially improves the practical value of generated molecules and represents a key link between molecular design and the chemistry that must ultimately realize it. Benchmarking platforms that standardize the evaluation of generative models along dimensions of validity, novelty, diversity, and optimization performance have become essential for measuring genuine progress and comparing methods fairly [22]. Goal-directed benchmark suites go further by defining concrete optimization objectives and measuring how effectively a model can generate molecules satisfying them, distinguishing models that merely reproduce the training distribution from those that can genuinely optimize toward specified targets [46].</w:t>
      </w:r>
    </w:p>
    <w:p>
      <w:pPr>
        <w:pStyle w:val="Heading2"/>
      </w:pPr>
      <w:r>
        <w:t xml:space="preserve">5.2.6 From Algorithm to Experiment: Prospective Successes</w:t>
      </w:r>
    </w:p>
    <w:p>
      <w:pPr>
        <w:pStyle w:val="Normal"/>
      </w:pPr>
      <w:r>
        <w:t xml:space="preserve">The credibility of generative molecular design ultimately rests not on retrospective benchmarks but on prospective experimental validation, in which computationally proposed molecules are synthesized and shown to possess the intended activity. A widely cited demonstration used a generative reinforcement-learning system to design novel inhibitors of a specific kinase target, progressing from computational proposal to synthesized, experimentally confirmed active compounds within a strikingly short timeframe, thereby offering tangible evidence that generative pipelines can produce genuinely bioactive molecules rather than merely plausible-looking structures [42]. This kind of end-to-end validation, spanning the loop depicted in Figure 2 from generation through property scoring to experimental confirmation, marked an important milestone in establishing that de novo design can influence real discovery projects.</w:t>
      </w:r>
    </w:p>
    <w:p>
      <w:pPr>
        <w:pStyle w:val="Normal"/>
      </w:pPr>
      <w:r>
        <w:t xml:space="preserve">A complementary and equally influential success came not from generation but from large-scale predictive screening, in which a graph neural network trained to predict antibacterial activity screened vast chemical libraries and identified a structurally novel antibiotic with a mechanism distinct from existing drugs, subsequently confirmed experimentally [43]. Although this achievement belongs primarily to the property-prediction paradigm of the next section, it exemplifies the same overarching principle that unites the generative and predictive strands of this chapter: machine learning delivers value when its predictions are subjected to, and survive, experimental test [43]. Together these case studies illustrate that the architectures and optimization strategies surveyed above are not merely academic constructs but practical instruments capable of contributing to the discovery of real therapeutic candidates.</w:t>
      </w:r>
    </w:p>
    <w:p>
      <w:pPr>
        <w:pStyle w:val="Heading1"/>
      </w:pPr>
      <w:r>
        <w:t xml:space="preserve">5.3 Prediction of Molecular Properties and Drug-Likeness</w:t>
      </w:r>
    </w:p>
    <w:p>
      <w:pPr>
        <w:pStyle w:val="Heading2"/>
      </w:pPr>
      <w:r>
        <w:t xml:space="preserve">5.3.1 Drug-Likeness and Physicochemical Property Prediction</w:t>
      </w:r>
    </w:p>
    <w:p>
      <w:pPr>
        <w:pStyle w:val="Normal"/>
      </w:pPr>
      <w:r>
        <w:t xml:space="preserve">However potent a molecule may be against its intended target, it cannot become a medicine unless it also possesses the physicochemical and pharmacokinetic properties that allow it to reach that target in the body at an effective concentration and to do so safely. The concept of drug-likeness captures the empirical observation that successful oral drugs tend to occupy a bounded region of chemical property space [23]. The most famous articulation of this idea established simple guidelines relating oral bioavailability to molecular weight, lipophilicity, and hydrogen-bonding capacity, providing an early, interpretable filter for prioritizing molecules with a reasonable chance of becoming orally active drugs [23]. Subsequent refinements added considerations such as the number of rotatable bonds and polar surface area, and the collective wisdom of these rules continues to inform early-stage triage even as machine learning has enabled far more nuanced prediction [24].</w:t>
      </w:r>
    </w:p>
    <w:p>
      <w:pPr>
        <w:pStyle w:val="Normal"/>
      </w:pPr>
      <w:r>
        <w:t xml:space="preserve">Machine learning extends drug-likeness assessment well beyond fixed rules by learning subtle, nonlinear relationships between molecular structure and desirable properties from data. Rather than applying a threshold, learned models can output a graded, probabilistic assessment of how drug-like a molecule is relative to known drugs, and quantitative estimates of drug-likeness derived from multiple molecular properties have become standard tools in candidate prioritization [24]. Beyond overall drug-likeness, individual physicochemical properties that govern a molecule's behaviour—aqueous solubility, lipophilicity, ionization state, and permeability among them—are themselves routinely predicted by machine-learning models, since experimental measurement of every property for every candidate is impractical at the scale of modern discovery [25]. Accurate solubility prediction, in particular, has long been a proving ground for cheminformatics methods, given its importance for formulation and oral absorption and the notorious difficulty of predicting it reliably [25].</w:t>
      </w:r>
    </w:p>
    <w:p>
      <w:pPr>
        <w:pStyle w:val="Normal"/>
      </w:pPr>
      <w:r>
        <w:t xml:space="preserve">An important conceptual point is that drug-likeness rules were derived empirically from historical drugs and therefore encode the biases of the chemistry that has been explored, not immutable laws of pharmacology. Numerous approved drugs violate one or more of the classic guidelines, particularly in therapeutic areas that rely on larger or more polar molecules, and slavish adherence to such filters risks discarding valuable chemistry. Machine-learning models, by learning graded relationships from data, can in principle capture the nuances that fixed thresholds miss, but they inherit the same historical bias if trained only on molecules resembling past drugs [24]. This tension—between exploiting accumulated knowledge and exploring genuinely new regions of chemical space—pervades property prediction and connects directly to the generative methods of the previous section, which aspire to venture beyond the boundaries of known drug-like chemistry while remaining synthetically and pharmacologically realistic [24].</w:t>
      </w:r>
    </w:p>
    <w:p>
      <w:pPr>
        <w:pStyle w:val="Heading2"/>
      </w:pPr>
      <w:r>
        <w:t xml:space="preserve">5.3.2 ADMET Prediction</w:t>
      </w:r>
    </w:p>
    <w:p>
      <w:pPr>
        <w:pStyle w:val="Normal"/>
      </w:pPr>
      <w:r>
        <w:t xml:space="preserve">The properties collectively abbreviated as ADMET—absorption, distribution, metabolism, excretion, and toxicity—determine what the body does to a drug and what the drug does to the body beyond its intended target, and they are responsible for a large share of late-stage failures [26]. Historically, inadequate ADMET properties accounted for a substantial fraction of drug attrition, and the resulting emphasis on assessing these properties early gave rise to the mantra of failing fast and failing cheap. Machine learning is now deeply embedded in ADMET assessment, providing rapid, inexpensive predictions that guide medicinal chemists toward molecules with favourable profiles before synthesis [26]. Each ADMET category comprises multiple specific endpoints, and Table 4 organizes the principal endpoints together with representative modelling considerations.</w:t>
      </w:r>
    </w:p>
    <w:p>
      <w:pPr>
        <w:pStyle w:val="TableCaption"/>
      </w:pPr>
      <w:r>
        <w:t xml:space="preserve">[Insert Table 4 here]</w:t>
      </w:r>
    </w:p>
    <w:p>
      <w:pPr>
        <w:pStyle w:val="TableCaption"/>
      </w:pPr>
      <w:r>
        <w:t xml:space="preserve">Table 4. Representative ADMET Endpoints and Machine Learning Considerations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ADMET Category</w:t>
            </w:r>
          </w:p>
        </w:tc>
        <w:tc>
          <w:tcPr>
            <w:shd w:val="clear" w:color="auto" w:fill="D9E2F3"/>
          </w:tcPr>
          <w:p>
            <w:pPr>
              <w:jc w:val="center"/>
            </w:pPr>
            <w:r>
              <w:rPr>
                <w:b/>
              </w:rPr>
              <w:t xml:space="preserve">Representative Endpoints</w:t>
            </w:r>
          </w:p>
        </w:tc>
        <w:tc>
          <w:tcPr>
            <w:shd w:val="clear" w:color="auto" w:fill="D9E2F3"/>
          </w:tcPr>
          <w:p>
            <w:pPr>
              <w:jc w:val="center"/>
            </w:pPr>
            <w:r>
              <w:rPr>
                <w:b/>
              </w:rPr>
              <w:t xml:space="preserve">Modelling Considerations</w:t>
            </w:r>
          </w:p>
        </w:tc>
        <w:tc>
          <w:tcPr>
            <w:shd w:val="clear" w:color="auto" w:fill="D9E2F3"/>
          </w:tcPr>
          <w:p>
            <w:pPr>
              <w:jc w:val="center"/>
            </w:pPr>
            <w:r>
              <w:rPr>
                <w:b/>
              </w:rPr>
              <w:t xml:space="preserve">Significance</w:t>
            </w:r>
          </w:p>
        </w:tc>
      </w:tr>
      <w:tr>
        <w:tc>
          <w:p>
            <w:pPr>
              <w:spacing w:after="40"/>
            </w:pPr>
            <w:r>
              <w:t xml:space="preserve">Absorption</w:t>
            </w:r>
          </w:p>
        </w:tc>
        <w:tc>
          <w:p>
            <w:pPr>
              <w:spacing w:after="40"/>
            </w:pPr>
            <w:r>
              <w:t xml:space="preserve">Solubility, permeability, oral bioavailability</w:t>
            </w:r>
          </w:p>
        </w:tc>
        <w:tc>
          <w:p>
            <w:pPr>
              <w:spacing w:after="40"/>
            </w:pPr>
            <w:r>
              <w:t xml:space="preserve">Data scarcity, assay variability</w:t>
            </w:r>
          </w:p>
        </w:tc>
        <w:tc>
          <w:p>
            <w:pPr>
              <w:spacing w:after="40"/>
            </w:pPr>
            <w:r>
              <w:t xml:space="preserve">Governs whether a drug reaches circulation</w:t>
            </w:r>
          </w:p>
        </w:tc>
      </w:tr>
      <w:tr>
        <w:tc>
          <w:p>
            <w:pPr>
              <w:spacing w:after="40"/>
            </w:pPr>
            <w:r>
              <w:t xml:space="preserve">Distribution</w:t>
            </w:r>
          </w:p>
        </w:tc>
        <w:tc>
          <w:p>
            <w:pPr>
              <w:spacing w:after="40"/>
            </w:pPr>
            <w:r>
              <w:t xml:space="preserve">Plasma protein binding, blood-brain barrier penetration</w:t>
            </w:r>
          </w:p>
        </w:tc>
        <w:tc>
          <w:p>
            <w:pPr>
              <w:spacing w:after="40"/>
            </w:pPr>
            <w:r>
              <w:t xml:space="preserve">Class imbalance, tissue specificity</w:t>
            </w:r>
          </w:p>
        </w:tc>
        <w:tc>
          <w:p>
            <w:pPr>
              <w:spacing w:after="40"/>
            </w:pPr>
            <w:r>
              <w:t xml:space="preserve">Determines exposure at the target site</w:t>
            </w:r>
          </w:p>
        </w:tc>
      </w:tr>
      <w:tr>
        <w:tc>
          <w:p>
            <w:pPr>
              <w:spacing w:after="40"/>
            </w:pPr>
            <w:r>
              <w:t xml:space="preserve">Metabolism</w:t>
            </w:r>
          </w:p>
        </w:tc>
        <w:tc>
          <w:p>
            <w:pPr>
              <w:spacing w:after="40"/>
            </w:pPr>
            <w:r>
              <w:t xml:space="preserve">Cytochrome P450 inhibition, metabolic stability</w:t>
            </w:r>
          </w:p>
        </w:tc>
        <w:tc>
          <w:p>
            <w:pPr>
              <w:spacing w:after="40"/>
            </w:pPr>
            <w:r>
              <w:t xml:space="preserve">Multiple isoforms, mechanistic complexity</w:t>
            </w:r>
          </w:p>
        </w:tc>
        <w:tc>
          <w:p>
            <w:pPr>
              <w:spacing w:after="40"/>
            </w:pPr>
            <w:r>
              <w:t xml:space="preserve">Affects half-life and drug interactions</w:t>
            </w:r>
          </w:p>
        </w:tc>
      </w:tr>
      <w:tr>
        <w:tc>
          <w:p>
            <w:pPr>
              <w:spacing w:after="40"/>
            </w:pPr>
            <w:r>
              <w:t xml:space="preserve">Excretion</w:t>
            </w:r>
          </w:p>
        </w:tc>
        <w:tc>
          <w:p>
            <w:pPr>
              <w:spacing w:after="40"/>
            </w:pPr>
            <w:r>
              <w:t xml:space="preserve">Renal and hepatic clearance, half-life</w:t>
            </w:r>
          </w:p>
        </w:tc>
        <w:tc>
          <w:p>
            <w:pPr>
              <w:spacing w:after="40"/>
            </w:pPr>
            <w:r>
              <w:t xml:space="preserve">Limited high-quality data</w:t>
            </w:r>
          </w:p>
        </w:tc>
        <w:tc>
          <w:p>
            <w:pPr>
              <w:spacing w:after="40"/>
            </w:pPr>
            <w:r>
              <w:t xml:space="preserve">Influences dosing frequency</w:t>
            </w:r>
          </w:p>
        </w:tc>
      </w:tr>
      <w:tr>
        <w:tc>
          <w:p>
            <w:pPr>
              <w:spacing w:after="40"/>
            </w:pPr>
            <w:r>
              <w:t xml:space="preserve">Toxicity</w:t>
            </w:r>
          </w:p>
        </w:tc>
        <w:tc>
          <w:p>
            <w:pPr>
              <w:spacing w:after="40"/>
            </w:pPr>
            <w:r>
              <w:t xml:space="preserve">hERG, hepatotoxicity, mutagenicity</w:t>
            </w:r>
          </w:p>
        </w:tc>
        <w:tc>
          <w:p>
            <w:pPr>
              <w:spacing w:after="40"/>
            </w:pPr>
            <w:r>
              <w:t xml:space="preserve">Rare events, mechanistic diversity</w:t>
            </w:r>
          </w:p>
        </w:tc>
        <w:tc>
          <w:p>
            <w:pPr>
              <w:spacing w:after="40"/>
            </w:pPr>
            <w:r>
              <w:t xml:space="preserve">Primary safety concern, common cause of failure</w:t>
            </w:r>
          </w:p>
        </w:tc>
      </w:tr>
    </w:tbl>
    <w:p>
      <w:pPr>
        <w:pStyle w:val="Normal"/>
      </w:pPr>
      <w:r>
        <w:t xml:space="preserve">Absorption and distribution endpoints determine whether and where a drug reaches its target. Predicting intestinal absorption, membrane permeability, and blood-brain barrier penetration allows chemists to design molecules suited to their therapeutic context, whether a central-nervous-system drug that must cross into the brain or a peripherally acting agent that should not [26]. Metabolism prediction focuses heavily on the cytochrome P450 enzyme family, whose activity governs how quickly a drug is cleared and whether it will cause dangerous interactions with co-administered medications; machine-learning classifiers for P450 inhibition and metabolic stability are widely deployed [27]. Metabolism is inherently more complex to predict than many other endpoints, because it involves not only whether a molecule binds a metabolizing enzyme but where on the molecule chemical transformation occurs and what metabolites result, each of which may itself be active or toxic [27]. Predicting sites of metabolism, the specific atoms most susceptible to enzymatic modification, is therefore an important sub-task that helps chemists redesign molecules to block undesirable metabolic pathways, illustrating how granular, mechanistically informed predictions can guide concrete molecular modifications rather than merely flagging problems [27]. Toxicity prediction is perhaps the highest-stakes application, encompassing endpoints such as inhibition of the hERG cardiac ion channel associated with fatal arrhythmias, hepatotoxicity, mutagenicity, and carcinogenicity [28]. Toxicity endpoints pose distinctive machine-learning challenges: adverse events are often rare, producing severely imbalanced datasets in which naive models can achieve high accuracy simply by predicting that nothing is toxic; the mechanisms underlying toxicity are diverse and frequently poorly understood, so a single structural feature rarely explains a toxic outcome; and the consequences of a false negative—declaring a genuinely toxic molecule safe—are far graver than those of a false positive [28]. These asymmetries mean that toxicity models must be evaluated with metrics sensitive to rare positives and deployed with conservative, safety-oriented decision thresholds, and they exemplify why raw predictive accuracy is an inadequate measure of a model's fitness for a given purpose [26]. Public data-sharing initiatives that assembled large toxicity datasets and organized community prediction challenges have catalysed substantial progress, demonstrating that deep learning can predict diverse toxicity endpoints from chemical structure with useful accuracy [28]. The overall place of property and ADMET prediction within an integrated design cycle—filtering and ranking candidate molecules on multiple learned property axes before committing to synthesis—is illustrated schematically in Figure 4, which situates multi-property prediction as the gatekeeper between molecular generation and experimental testing [26].</w:t>
      </w:r>
    </w:p>
    <w:p>
      <w:pPr>
        <w:pStyle w:val="FigureImage"/>
      </w:pPr>
      <w:r>
        <w:drawing>
          <wp:inline xmlns:wp="http://schemas.openxmlformats.org/drawingml/2006/wordprocessingDrawing" distT="0" distB="0" distL="0" distR="0">
            <wp:extent cx="5486400" cy="3305907"/>
            <wp:effectExtent l="0" t="0" r="0" b="0"/>
            <wp:docPr id="1004" name="Figure_4_ADMET_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ADMET_Filter.png"/>
                    <pic:cNvPicPr/>
                  </pic:nvPicPr>
                  <pic:blipFill>
                    <a:blip xmlns:r="http://schemas.openxmlformats.org/officeDocument/2006/relationships" r:embed="rIdImg4"/>
                    <a:stretch>
                      <a:fillRect/>
                    </a:stretch>
                  </pic:blipFill>
                  <pic:spPr>
                    <a:xfrm>
                      <a:off x="0" y="0"/>
                      <a:ext cx="5486400" cy="3305907"/>
                    </a:xfrm>
                    <a:prstGeom prst="rect">
                      <a:avLst/>
                    </a:prstGeom>
                  </pic:spPr>
                </pic:pic>
              </a:graphicData>
            </a:graphic>
          </wp:inline>
        </w:drawing>
      </w:r>
    </w:p>
    <w:p>
      <w:pPr>
        <w:pStyle w:val="FigureCaption"/>
      </w:pPr>
      <w:r>
        <w:t xml:space="preserve">Figure 4. Multi-Property and ADMET Prediction as a Filter in the Molecular Design Cycle</w:t>
      </w:r>
    </w:p>
    <w:p>
      <w:pPr>
        <w:pStyle w:val="Heading2"/>
      </w:pPr>
      <w:r>
        <w:t xml:space="preserve">5.3.3 Molecular Representation Learning for Property Prediction</w:t>
      </w:r>
    </w:p>
    <w:p>
      <w:pPr>
        <w:pStyle w:val="Normal"/>
      </w:pPr>
      <w:r>
        <w:t xml:space="preserve">The accuracy of any property-prediction model rests on how molecules are represented, and this domain has undergone a marked shift from hand-engineered features toward learned representations. Classical approaches feed fixed molecular fingerprints and physicochemical descriptors into machine-learning models, an approach that remains competitive and interpretable, particularly on smaller datasets [11]. The deep-learning era, however, introduced representation learning, in which the model discovers useful molecular features directly from raw structure during training rather than relying on predefined descriptors [7]. Graph neural networks, which pass messages between connected atoms to build up context-aware atomic and molecular embeddings, have become the dominant paradigm for learned molecular representation and frequently achieve state-of-the-art results on large property-prediction benchmarks [7]. Systematic comparisons have shown that learned graph-based representations tend to outperform fixed descriptors on large datasets while a hybrid strategy—augmenting learned features with computed physicochemical descriptors—often yields the most robust models across the diverse dataset sizes encountered in practice, underscoring that representation learning complements rather than wholly replaces domain-informed features [44].</w:t>
      </w:r>
    </w:p>
    <w:p>
      <w:pPr>
        <w:pStyle w:val="Normal"/>
      </w:pPr>
      <w:r>
        <w:t xml:space="preserve">A significant obstacle to representation learning in drug discovery is the scarcity of labelled data for many properties, since experimental measurements are expensive and often proprietary. Self-supervised pretraining offers a compelling remedy: a model is first trained on enormous quantities of unlabelled molecular structures using surrogate tasks such as predicting masked atoms, learning general chemical representations that can then be fine-tuned on small labelled datasets for specific properties [29]. This transfer-learning strategy, mirroring the pretraining revolution in natural language processing, allows models to leverage the vast reservoir of available molecular structures to compensate for limited property labels [29]. Contrastive pretraining, in which a model learns to recognize that different representations or augmentations of the same molecule are more similar to each other than to other molecules, has proven a particularly effective self-supervised objective for chemistry, producing embeddings that transfer well to downstream property tasks with limited labels [29]. The success of these approaches suggests that the bottleneck in molecular property prediction is often not the availability of structures, of which there are hundreds of millions, but the availability of high-quality experimental labels, and that clever use of unlabelled data can partially bridge that gap. Complementary techniques including multi-task learning, in which a single model predicts several related properties simultaneously and shares statistical strength across them, and data augmentation further improve performance in low-data regimes [12]. Standardized benchmark suites that curate diverse property-prediction datasets with rigorous splitting protocols have been indispensable for driving and fairly measuring progress in molecular machine learning [30].</w:t>
      </w:r>
    </w:p>
    <w:p>
      <w:pPr>
        <w:pStyle w:val="Heading2"/>
      </w:pPr>
      <w:r>
        <w:t xml:space="preserve">5.3.4 Uncertainty, Interpretability, and Trust</w:t>
      </w:r>
    </w:p>
    <w:p>
      <w:pPr>
        <w:pStyle w:val="Normal"/>
      </w:pPr>
      <w:r>
        <w:t xml:space="preserve">For machine-learning predictions to influence real decisions in drug design, chemists must be able to gauge how much to trust them, and this demands both uncertainty quantification and interpretability. A prediction unaccompanied by an estimate of its reliability is of limited use when the cost of acting on a wrong prediction is high [31]. Uncertainty-quantification methods—including ensembles of models whose disagreement signals uncertainty, Bayesian neural networks, and conformal prediction that provides statistically valid confidence intervals—enable models to communicate not only what they predict but how confident they are, allowing chemists to prioritize confident predictions and flag uncertain molecules for experimental testing [31]. Uncertainty estimates are also the engine of active learning, in which a model iteratively requests experimental labels for the molecules about which it is most uncertain, maximizing the information gained from each costly experiment [32].</w:t>
      </w:r>
    </w:p>
    <w:p>
      <w:pPr>
        <w:pStyle w:val="Normal"/>
      </w:pPr>
      <w:r>
        <w:t xml:space="preserve">Interpretability addresses the complementary need to understand why a model makes a given prediction, which is essential both for scientific insight and for building the trust required for adoption [33]. Techniques that attribute a prediction to specific atoms or substructures can reveal which parts of a molecule drive predicted activity or toxicity, offering medicinal chemists actionable guidance for molecular optimization and sometimes uncovering genuine structure-activity relationships [33]. Interpretability also serves as a safeguard against models that achieve high accuracy for spurious reasons, such as exploiting dataset artefacts rather than genuine chemistry, which would otherwise generalize poorly to new molecules [12]. The pursuit of interpretable, uncertainty-aware models reflects a broader recognition that predictive accuracy alone is insufficient for a discipline in which predictions guide expensive and consequential experimental decisions.</w:t>
      </w:r>
    </w:p>
    <w:p>
      <w:pPr>
        <w:pStyle w:val="Normal"/>
      </w:pPr>
      <w:r>
        <w:t xml:space="preserve">The distinction among structure-based, ligand-based, and hybrid strategies is not merely academic; it dictates which data must be gathered, which errors are most likely, and how confidently predictions can be extrapolated. Structure-based methods excel when a high-quality target structure is available and can rationalize activity in mechanistic terms, but they are sensitive to the accuracy of the structure and to the treatment of protein flexibility and solvation, all of which remain difficult to model reliably. Ligand-based methods sidestep the need for a structure and can be remarkably accurate within well-populated regions of chemical space, but they degrade sharply when asked to predict for molecules unlike anything in their training data, and they cannot readily explain activity in physical terms. Recognizing these complementary failure modes is what allows an experienced computational chemist to choose, combine, and critically interpret the appropriate method for a given project, rather than treating any single technique as universally superior [33]. Uncertainty and interpretability tools sharpen this judgment by revealing not only what a model predicts but the confidence and the chemical rationale behind that prediction, transforming a black-box number into an actionable, scrutable hypothesis [33].</w:t>
      </w:r>
    </w:p>
    <w:p>
      <w:pPr>
        <w:pStyle w:val="Heading2"/>
      </w:pPr>
      <w:r>
        <w:t xml:space="preserve">5.3.5 Integration, Challenges, and Future Directions</w:t>
      </w:r>
    </w:p>
    <w:p>
      <w:pPr>
        <w:pStyle w:val="Normal"/>
      </w:pPr>
      <w:r>
        <w:t xml:space="preserve">The three pillars examined in this chapter—structure-based and ligand-based design, generative molecular design, and property prediction—are not isolated techniques but interlocking components of an increasingly integrated computational pipeline. In the most advanced workflows, generative models propose candidate molecules, property-prediction and ADMET models filter and rank them, docking and scoring assess target engagement, and the surviving candidates feed active-learning loops that direct subsequent synthesis and testing [34]. This closed-loop integration, in which computational prediction, automated synthesis, and experimental measurement inform one another iteratively, represents the emerging vision of self-driving laboratories that promise to compress discovery timelines dramatically [34]. The filtering role of property and ADMET models highlighted in Figure 4 is central to this loop, since it is the multi-property gatekeeping stage that prevents the flood of generated candidates from overwhelming the limited and expensive capacity for experimental synthesis and testing [26]. Realizing this vision depends on the reliability of every component and on their coherent orchestration.</w:t>
      </w:r>
    </w:p>
    <w:p>
      <w:pPr>
        <w:pStyle w:val="Normal"/>
      </w:pPr>
      <w:r>
        <w:t xml:space="preserve">Substantial challenges nonetheless temper the enthusiasm surrounding machine learning for drug design. Data quality, quantity, and bias remain foundational concerns, as models trained on limited, noisy, or unrepresentative data cannot be expected to generalize to the novel chemistry that genuine discovery requires [35]. The tendency of models to perform well on retrospective benchmarks yet disappoint in prospective application underscores the gap between computational metrics and real-world utility, and the field has increasingly emphasized prospective validation—demonstrating that a method leads to experimentally confirmed discoveries—as the ultimate test [36]. Generalization to out-of-distribution chemistry, the persistent difficulty of ensuring synthetic accessibility, and the integration of models into the decision-making workflows of medicinal chemists all remain active frontiers [35].</w:t>
      </w:r>
    </w:p>
    <w:p>
      <w:pPr>
        <w:pStyle w:val="Normal"/>
      </w:pPr>
      <w:r>
        <w:t xml:space="preserve">Looking ahead, several directions are poised to shape the next phase of the field. Foundation models for chemistry and biology, pretrained on vast multimodal data and adaptable to many downstream tasks, may provide general-purpose engines for molecular reasoning analogous to large language models in other domains [37]. The integration of geometric deep learning with generative modelling promises tighter coupling between three-dimensional structure and molecular design. Federated learning offers a path to training powerful models across proprietary datasets held by different organizations without sharing the underlying data, potentially unlocking the collective knowledge of the pharmaceutical industry while preserving confidentiality [38]. Because much of the world's most valuable pharmacological data resides in the private archives of competing companies, and because that data is both expensive to generate and commercially sensitive, techniques that allow collaborative model training without exposing raw data address a genuine structural barrier to progress; early results suggest that models trained federatively across organizations can outperform those trained on any single institution's data, particularly for the small, biased datasets that characterize many endpoints [38]. Equally important are the interpretability, uncertainty quantification, and rigorous prospective validation that will determine whether these powerful methods earn the trust required to genuinely transform how medicines are discovered [36]. A final consideration concerns the human and organizational dimension of these technologies. Machine-learning models do not design drugs autonomously; they augment the judgment of medicinal chemists, biologists, and toxicologists who must decide which predictions to trust and which molecules to make. The most productive deployments treat models as expert collaborators whose suggestions are weighed against experimental evidence and mechanistic reasoning, not as oracles whose outputs are accepted uncritically [35]. This collaborative framing places a premium on the interpretability and uncertainty quantification discussed earlier, because a suggestion a chemist can understand and calibrate is far more useful than an inscrutable one, however accurate on average. It also underscores the importance of prospective evaluation over retrospective benchmarking, since only real, experimentally confirmed discoveries demonstrate that a method genuinely advances the science rather than merely fitting historical data [36].</w:t>
      </w:r>
    </w:p>
    <w:p>
      <w:pPr>
        <w:pStyle w:val="Normal"/>
      </w:pPr>
      <w:r>
        <w:t xml:space="preserve">Machine learning has already established itself as an indispensable tool across the drug-design pipeline; its continued maturation, coupled with honest assessment of its limitations and thoughtful integration with human expertise, will define its ultimate contribution to human health.</w:t>
      </w:r>
    </w:p>
    <w:p>
      <w:pPr>
        <w:pStyle w:val="Heading1"/>
      </w:pPr>
      <w:r>
        <w:t xml:space="preserve">References</w:t>
      </w:r>
    </w:p>
    <w:p>
      <w:pPr>
        <w:pStyle w:val="References"/>
      </w:pPr>
      <w:r>
        <w:t xml:space="preserve">[1] DiMasi, J. A., Grabowski, H. G., &amp; Hansen, R. W. (2016). Innovation in the pharmaceutical industry: New estimates of R&amp;D costs. </w:t>
      </w:r>
      <w:r>
        <w:rPr>
          <w:i/>
        </w:rPr>
        <w:t xml:space="preserve">Journal of Health Economics</w:t>
      </w:r>
      <w:r>
        <w:t xml:space="preserve">, 47, 20-33.</w:t>
      </w:r>
    </w:p>
    <w:p>
      <w:pPr>
        <w:pStyle w:val="References"/>
      </w:pPr>
      <w:r>
        <w:t xml:space="preserve">[2] Vamathevan, J., Clark, D., Czodrowski, P., Dunham, I., Ferran, E., Lee, G., et al. (2019). Applications of machine learning in drug discovery and development. </w:t>
      </w:r>
      <w:r>
        <w:rPr>
          <w:i/>
        </w:rPr>
        <w:t xml:space="preserve">Nature Reviews Drug Discovery</w:t>
      </w:r>
      <w:r>
        <w:t xml:space="preserve">, 18(6), 463-477.</w:t>
      </w:r>
    </w:p>
    <w:p>
      <w:pPr>
        <w:pStyle w:val="References"/>
      </w:pPr>
      <w:r>
        <w:t xml:space="preserve">[3] Gaulton, A., Hersey, A., Nowotka, M., Bento, A. P., Chambers, J., Mendez, D., et al. (2017). The ChEMBL database in 2017. </w:t>
      </w:r>
      <w:r>
        <w:rPr>
          <w:i/>
        </w:rPr>
        <w:t xml:space="preserve">Nucleic Acids Research</w:t>
      </w:r>
      <w:r>
        <w:t xml:space="preserve">, 45(D1), D945-D954.</w:t>
      </w:r>
    </w:p>
    <w:p>
      <w:pPr>
        <w:pStyle w:val="References"/>
      </w:pPr>
      <w:r>
        <w:t xml:space="preserve">[4] Kitchen, D. B., Decornez, H., Furr, J. R., &amp; Bajorath, J. (2004). Docking and scoring in virtual screening for drug discovery: Methods and applications. </w:t>
      </w:r>
      <w:r>
        <w:rPr>
          <w:i/>
        </w:rPr>
        <w:t xml:space="preserve">Nature Reviews Drug Discovery</w:t>
      </w:r>
      <w:r>
        <w:t xml:space="preserve">, 3(11), 935-949.</w:t>
      </w:r>
    </w:p>
    <w:p>
      <w:pPr>
        <w:pStyle w:val="References"/>
      </w:pPr>
      <w:r>
        <w:t xml:space="preserve">[5] Ragoza, M., Hochuli, J., Idrobo, E., Sunseri, J., &amp; Koes, D. R. (2017). Protein-ligand scoring with convolutional neural networks. </w:t>
      </w:r>
      <w:r>
        <w:rPr>
          <w:i/>
        </w:rPr>
        <w:t xml:space="preserve">Journal of Chemical Information and Modeling</w:t>
      </w:r>
      <w:r>
        <w:t xml:space="preserve">, 57(4), 942-957.</w:t>
      </w:r>
    </w:p>
    <w:p>
      <w:pPr>
        <w:pStyle w:val="References"/>
      </w:pPr>
      <w:r>
        <w:t xml:space="preserve">[6] Jumper, J., Evans, R., Pritzel, A., Green, T., Figurnov, M., Ronneberger, O., et al. (2021). Highly accurate protein structure prediction with AlphaFold. </w:t>
      </w:r>
      <w:r>
        <w:rPr>
          <w:i/>
        </w:rPr>
        <w:t xml:space="preserve">Nature</w:t>
      </w:r>
      <w:r>
        <w:t xml:space="preserve">, 596(7873), 583-589.</w:t>
      </w:r>
    </w:p>
    <w:p>
      <w:pPr>
        <w:pStyle w:val="References"/>
      </w:pPr>
      <w:r>
        <w:t xml:space="preserve">[7] Gilmer, J., Schoenholz, S. S., Riley, P. F., Vinyals, O., &amp; Dahl, G. E. (2017). Neural message passing for quantum chemistry. </w:t>
      </w:r>
      <w:r>
        <w:rPr>
          <w:i/>
        </w:rPr>
        <w:t xml:space="preserve">Proceedings of the 34th International Conference on Machine Learning</w:t>
      </w:r>
      <w:r>
        <w:t xml:space="preserve">, 1263-1272.</w:t>
      </w:r>
    </w:p>
    <w:p>
      <w:pPr>
        <w:pStyle w:val="References"/>
      </w:pPr>
      <w:r>
        <w:t xml:space="preserve">[8] Gorgulla, C., Boeszoermenyi, A., Wang, Z. F., Fischer, P. D., Coote, P. W., Padmanabha Das, K. M., et al. (2020). An open-source drug discovery platform enables ultra-large virtual screens. </w:t>
      </w:r>
      <w:r>
        <w:rPr>
          <w:i/>
        </w:rPr>
        <w:t xml:space="preserve">Nature</w:t>
      </w:r>
      <w:r>
        <w:t xml:space="preserve">, 580(7805), 663-668.</w:t>
      </w:r>
    </w:p>
    <w:p>
      <w:pPr>
        <w:pStyle w:val="References"/>
      </w:pPr>
      <w:r>
        <w:t xml:space="preserve">[9] Yang, S. Y. (2010). Pharmacophore modeling and applications in drug discovery: Challenges and recent advances. </w:t>
      </w:r>
      <w:r>
        <w:rPr>
          <w:i/>
        </w:rPr>
        <w:t xml:space="preserve">Drug Discovery Today</w:t>
      </w:r>
      <w:r>
        <w:t xml:space="preserve">, 15(11-12), 444-450.</w:t>
      </w:r>
    </w:p>
    <w:p>
      <w:pPr>
        <w:pStyle w:val="References"/>
      </w:pPr>
      <w:r>
        <w:t xml:space="preserve">[10] Cherkasov, A., Muratov, E. N., Fourches, D., Varnek, A., Baskin, I. I., Cronin, M., et al. (2014). QSAR modeling: Where have you been? Where are you going to? </w:t>
      </w:r>
      <w:r>
        <w:rPr>
          <w:i/>
        </w:rPr>
        <w:t xml:space="preserve">Journal of Medicinal Chemistry</w:t>
      </w:r>
      <w:r>
        <w:t xml:space="preserve">, 57(12), 4977-5010.</w:t>
      </w:r>
    </w:p>
    <w:p>
      <w:pPr>
        <w:pStyle w:val="References"/>
      </w:pPr>
      <w:r>
        <w:t xml:space="preserve">[11] Rogers, D., &amp; Hahn, M. (2010). Extended-connectivity fingerprints. </w:t>
      </w:r>
      <w:r>
        <w:rPr>
          <w:i/>
        </w:rPr>
        <w:t xml:space="preserve">Journal of Chemical Information and Modeling</w:t>
      </w:r>
      <w:r>
        <w:t xml:space="preserve">, 50(5), 742-754.</w:t>
      </w:r>
    </w:p>
    <w:p>
      <w:pPr>
        <w:pStyle w:val="References"/>
      </w:pPr>
      <w:r>
        <w:t xml:space="preserve">[12] Sheridan, R. P. (2013). Time-split cross-validation as a method for estimating the goodness of prospective prediction. </w:t>
      </w:r>
      <w:r>
        <w:rPr>
          <w:i/>
        </w:rPr>
        <w:t xml:space="preserve">Journal of Chemical Information and Modeling</w:t>
      </w:r>
      <w:r>
        <w:t xml:space="preserve">, 53(4), 783-790.</w:t>
      </w:r>
    </w:p>
    <w:p>
      <w:pPr>
        <w:pStyle w:val="References"/>
      </w:pPr>
      <w:r>
        <w:t xml:space="preserve">[13] Schneider, G., &amp; Fechner, U. (2005). Computer-based de novo design of drug-like molecules. </w:t>
      </w:r>
      <w:r>
        <w:rPr>
          <w:i/>
        </w:rPr>
        <w:t xml:space="preserve">Nature Reviews Drug Discovery</w:t>
      </w:r>
      <w:r>
        <w:t xml:space="preserve">, 4(8), 649-663.</w:t>
      </w:r>
    </w:p>
    <w:p>
      <w:pPr>
        <w:pStyle w:val="References"/>
      </w:pPr>
      <w:r>
        <w:t xml:space="preserve">[14] Segler, M. H. S., Kogej, T., Tyrchan, C., &amp; Waller, M. P. (2018). Generating focused molecule libraries for drug discovery with recurrent neural networks. </w:t>
      </w:r>
      <w:r>
        <w:rPr>
          <w:i/>
        </w:rPr>
        <w:t xml:space="preserve">ACS Central Science</w:t>
      </w:r>
      <w:r>
        <w:t xml:space="preserve">, 4(1), 120-131.</w:t>
      </w:r>
    </w:p>
    <w:p>
      <w:pPr>
        <w:pStyle w:val="References"/>
      </w:pPr>
      <w:r>
        <w:t xml:space="preserve">[15] Gómez-Bombarelli, R., Wei, J. N., Duvenaud, D., Hernández-Lobato, J. M., Sánchez-Lengeling, B., Sheberla, D., et al. (2018). Automatic chemical design using a data-driven continuous representation of molecules. </w:t>
      </w:r>
      <w:r>
        <w:rPr>
          <w:i/>
        </w:rPr>
        <w:t xml:space="preserve">ACS Central Science</w:t>
      </w:r>
      <w:r>
        <w:t xml:space="preserve">, 4(2), 268-276.</w:t>
      </w:r>
    </w:p>
    <w:p>
      <w:pPr>
        <w:pStyle w:val="References"/>
      </w:pPr>
      <w:r>
        <w:t xml:space="preserve">[16] Sanchez-Lengeling, B., &amp; Aspuru-Guzik, A. (2018). Inverse molecular design using machine learning: Generative models for matter engineering. </w:t>
      </w:r>
      <w:r>
        <w:rPr>
          <w:i/>
        </w:rPr>
        <w:t xml:space="preserve">Science</w:t>
      </w:r>
      <w:r>
        <w:t xml:space="preserve">, 361(6400), 360-365.</w:t>
      </w:r>
    </w:p>
    <w:p>
      <w:pPr>
        <w:pStyle w:val="References"/>
      </w:pPr>
      <w:r>
        <w:t xml:space="preserve">[17] Bagal, V., Aggarwal, R., Vinod, P. K., &amp; Priyakumar, U. D. (2022). MolGPT: Molecular generation using a transformer-decoder model. </w:t>
      </w:r>
      <w:r>
        <w:rPr>
          <w:i/>
        </w:rPr>
        <w:t xml:space="preserve">Journal of Chemical Information and Modeling</w:t>
      </w:r>
      <w:r>
        <w:t xml:space="preserve">, 62(9), 2064-2076.</w:t>
      </w:r>
    </w:p>
    <w:p>
      <w:pPr>
        <w:pStyle w:val="References"/>
      </w:pPr>
      <w:r>
        <w:t xml:space="preserve">[18] Hoogeboom, E., Satorras, V. G., Vignac, C., &amp; Welling, M. (2022). Equivariant diffusion for molecule generation in 3D. </w:t>
      </w:r>
      <w:r>
        <w:rPr>
          <w:i/>
        </w:rPr>
        <w:t xml:space="preserve">Proceedings of the 39th International Conference on Machine Learning</w:t>
      </w:r>
      <w:r>
        <w:t xml:space="preserve">, 8867-8887.</w:t>
      </w:r>
    </w:p>
    <w:p>
      <w:pPr>
        <w:pStyle w:val="References"/>
      </w:pPr>
      <w:r>
        <w:t xml:space="preserve">[19] Olivecrona, M., Blaschke, T., Engkvist, O., &amp; Chen, H. (2017). Molecular de-novo design through deep reinforcement learning. </w:t>
      </w:r>
      <w:r>
        <w:rPr>
          <w:i/>
        </w:rPr>
        <w:t xml:space="preserve">Journal of Cheminformatics</w:t>
      </w:r>
      <w:r>
        <w:t xml:space="preserve">, 9, 48.</w:t>
      </w:r>
    </w:p>
    <w:p>
      <w:pPr>
        <w:pStyle w:val="References"/>
      </w:pPr>
      <w:r>
        <w:t xml:space="preserve">[20] Jin, W., Barzilay, R., &amp; Jaakkola, T. (2020). Multi-objective molecule generation using interpretable substructures. </w:t>
      </w:r>
      <w:r>
        <w:rPr>
          <w:i/>
        </w:rPr>
        <w:t xml:space="preserve">Proceedings of the 37th International Conference on Machine Learning</w:t>
      </w:r>
      <w:r>
        <w:t xml:space="preserve">, 4849-4859.</w:t>
      </w:r>
    </w:p>
    <w:p>
      <w:pPr>
        <w:pStyle w:val="References"/>
      </w:pPr>
      <w:r>
        <w:t xml:space="preserve">[21] Gao, W., &amp; Coley, C. W. (2020). The synthesizability of molecules proposed by generative models. </w:t>
      </w:r>
      <w:r>
        <w:rPr>
          <w:i/>
        </w:rPr>
        <w:t xml:space="preserve">Journal of Chemical Information and Modeling</w:t>
      </w:r>
      <w:r>
        <w:t xml:space="preserve">, 60(12), 5714-5723.</w:t>
      </w:r>
    </w:p>
    <w:p>
      <w:pPr>
        <w:pStyle w:val="References"/>
      </w:pPr>
      <w:r>
        <w:t xml:space="preserve">[22] Polykovskiy, D., Zhebrak, A., Sanchez-Lengeling, B., Golovanov, S., Tatanov, O., Belyaev, S., et al. (2020). Molecular Sets (MOSES): A benchmarking platform for molecular generation models. </w:t>
      </w:r>
      <w:r>
        <w:rPr>
          <w:i/>
        </w:rPr>
        <w:t xml:space="preserve">Frontiers in Pharmacology</w:t>
      </w:r>
      <w:r>
        <w:t xml:space="preserve">, 11, 565644.</w:t>
      </w:r>
    </w:p>
    <w:p>
      <w:pPr>
        <w:pStyle w:val="References"/>
      </w:pPr>
      <w:r>
        <w:t xml:space="preserve">[23] Lipinski, C. A., Lombardo, F., Dominy, B. W., &amp; Feeney, P. J. (2001). Experimental and computational approaches to estimate solubility and permeability in drug discovery and development settings. </w:t>
      </w:r>
      <w:r>
        <w:rPr>
          <w:i/>
        </w:rPr>
        <w:t xml:space="preserve">Advanced Drug Delivery Reviews</w:t>
      </w:r>
      <w:r>
        <w:t xml:space="preserve">, 46(1-3), 3-26.</w:t>
      </w:r>
    </w:p>
    <w:p>
      <w:pPr>
        <w:pStyle w:val="References"/>
      </w:pPr>
      <w:r>
        <w:t xml:space="preserve">[24] Bickerton, G. R., Paolini, G. V., Besnard, J., Muresan, S., &amp; Hopkins, A. L. (2012). Quantifying the chemical beauty of drugs. </w:t>
      </w:r>
      <w:r>
        <w:rPr>
          <w:i/>
        </w:rPr>
        <w:t xml:space="preserve">Nature Chemistry</w:t>
      </w:r>
      <w:r>
        <w:t xml:space="preserve">, 4(2), 90-98.</w:t>
      </w:r>
    </w:p>
    <w:p>
      <w:pPr>
        <w:pStyle w:val="References"/>
      </w:pPr>
      <w:r>
        <w:t xml:space="preserve">[25] Delaney, J. S. (2004). ESOL: Estimating aqueous solubility directly from molecular structure. </w:t>
      </w:r>
      <w:r>
        <w:rPr>
          <w:i/>
        </w:rPr>
        <w:t xml:space="preserve">Journal of Chemical Information and Computer Sciences</w:t>
      </w:r>
      <w:r>
        <w:t xml:space="preserve">, 44(3), 1000-1005.</w:t>
      </w:r>
    </w:p>
    <w:p>
      <w:pPr>
        <w:pStyle w:val="References"/>
      </w:pPr>
      <w:r>
        <w:t xml:space="preserve">[26] Ferreira, L. L. G., &amp; Andricopulo, A. D. (2019). ADMET modeling approaches in drug discovery. </w:t>
      </w:r>
      <w:r>
        <w:rPr>
          <w:i/>
        </w:rPr>
        <w:t xml:space="preserve">Drug Discovery Today</w:t>
      </w:r>
      <w:r>
        <w:t xml:space="preserve">, 24(5), 1157-1165.</w:t>
      </w:r>
    </w:p>
    <w:p>
      <w:pPr>
        <w:pStyle w:val="References"/>
      </w:pPr>
      <w:r>
        <w:t xml:space="preserve">[27] Kirchmair, J., Göller, A. H., Lang, D., Kunze, J., Testa, B., Wilson, I. D., et al. (2015). Predicting drug metabolism: Experiment and/or computation? </w:t>
      </w:r>
      <w:r>
        <w:rPr>
          <w:i/>
        </w:rPr>
        <w:t xml:space="preserve">Nature Reviews Drug Discovery</w:t>
      </w:r>
      <w:r>
        <w:t xml:space="preserve">, 14(6), 387-404.</w:t>
      </w:r>
    </w:p>
    <w:p>
      <w:pPr>
        <w:pStyle w:val="References"/>
      </w:pPr>
      <w:r>
        <w:t xml:space="preserve">[28] Mayr, A., Klambauer, G., Unterthiner, T., &amp; Hochreiter, S. (2016). DeepTox: Toxicity prediction using deep learning. </w:t>
      </w:r>
      <w:r>
        <w:rPr>
          <w:i/>
        </w:rPr>
        <w:t xml:space="preserve">Frontiers in Environmental Science</w:t>
      </w:r>
      <w:r>
        <w:t xml:space="preserve">, 3, 80.</w:t>
      </w:r>
    </w:p>
    <w:p>
      <w:pPr>
        <w:pStyle w:val="References"/>
      </w:pPr>
      <w:r>
        <w:t xml:space="preserve">[29] Wang, Y., Wang, J., Cao, Z., &amp; Barati Farimani, A. (2022). Molecular contrastive learning of representations via graph neural networks. </w:t>
      </w:r>
      <w:r>
        <w:rPr>
          <w:i/>
        </w:rPr>
        <w:t xml:space="preserve">Nature Machine Intelligence</w:t>
      </w:r>
      <w:r>
        <w:t xml:space="preserve">, 4(3), 279-287.</w:t>
      </w:r>
    </w:p>
    <w:p>
      <w:pPr>
        <w:pStyle w:val="References"/>
      </w:pPr>
      <w:r>
        <w:t xml:space="preserve">[30] Wu, Z., Ramsundar, B., Feinberg, E. N., Gomes, J., Geniesse, C., Pappu, A. S., et al. (2018). MoleculeNet: A benchmark for molecular machine learning. </w:t>
      </w:r>
      <w:r>
        <w:rPr>
          <w:i/>
        </w:rPr>
        <w:t xml:space="preserve">Chemical Science</w:t>
      </w:r>
      <w:r>
        <w:t xml:space="preserve">, 9(2), 513-530.</w:t>
      </w:r>
    </w:p>
    <w:p>
      <w:pPr>
        <w:pStyle w:val="References"/>
      </w:pPr>
      <w:r>
        <w:t xml:space="preserve">[31] Hirschfeld, L., Swanson, K., Yang, K., Barzilay, R., &amp; Coley, C. W. (2020). Uncertainty quantification using neural networks for molecular property prediction. </w:t>
      </w:r>
      <w:r>
        <w:rPr>
          <w:i/>
        </w:rPr>
        <w:t xml:space="preserve">Journal of Chemical Information and Modeling</w:t>
      </w:r>
      <w:r>
        <w:t xml:space="preserve">, 60(8), 3770-3780.</w:t>
      </w:r>
    </w:p>
    <w:p>
      <w:pPr>
        <w:pStyle w:val="References"/>
      </w:pPr>
      <w:r>
        <w:t xml:space="preserve">[32] Reker, D., &amp; Schneider, G. (2015). Active-learning strategies in computer-assisted drug discovery. </w:t>
      </w:r>
      <w:r>
        <w:rPr>
          <w:i/>
        </w:rPr>
        <w:t xml:space="preserve">Drug Discovery Today</w:t>
      </w:r>
      <w:r>
        <w:t xml:space="preserve">, 20(4), 458-465.</w:t>
      </w:r>
    </w:p>
    <w:p>
      <w:pPr>
        <w:pStyle w:val="References"/>
      </w:pPr>
      <w:r>
        <w:t xml:space="preserve">[33] Jiménez-Luna, J., Grisoni, F., &amp; Schneider, G. (2020). Drug discovery with explainable artificial intelligence. </w:t>
      </w:r>
      <w:r>
        <w:rPr>
          <w:i/>
        </w:rPr>
        <w:t xml:space="preserve">Nature Machine Intelligence</w:t>
      </w:r>
      <w:r>
        <w:t xml:space="preserve">, 2(10), 573-584.</w:t>
      </w:r>
    </w:p>
    <w:p>
      <w:pPr>
        <w:pStyle w:val="References"/>
      </w:pPr>
      <w:r>
        <w:t xml:space="preserve">[34] Schneider, G., Clark, D. E. (2019). Automated de novo drug design: Are we nearly there yet? </w:t>
      </w:r>
      <w:r>
        <w:rPr>
          <w:i/>
        </w:rPr>
        <w:t xml:space="preserve">Angewandte Chemie International Edition</w:t>
      </w:r>
      <w:r>
        <w:t xml:space="preserve">, 58(32), 10792-10803.</w:t>
      </w:r>
    </w:p>
    <w:p>
      <w:pPr>
        <w:pStyle w:val="References"/>
      </w:pPr>
      <w:r>
        <w:t xml:space="preserve">[35] Bender, A., &amp; Cortés-Ciriano, I. (2021). Artificial intelligence in drug discovery: What is realistic, what are illusions? </w:t>
      </w:r>
      <w:r>
        <w:rPr>
          <w:i/>
        </w:rPr>
        <w:t xml:space="preserve">Drug Discovery Today</w:t>
      </w:r>
      <w:r>
        <w:t xml:space="preserve">, 26(2), 511-524.</w:t>
      </w:r>
    </w:p>
    <w:p>
      <w:pPr>
        <w:pStyle w:val="References"/>
      </w:pPr>
      <w:r>
        <w:t xml:space="preserve">[36] Walters, W. P., &amp; Barzilay, R. (2021). Critical assessment of AI in drug discovery. </w:t>
      </w:r>
      <w:r>
        <w:rPr>
          <w:i/>
        </w:rPr>
        <w:t xml:space="preserve">Expert Opinion on Drug Discovery</w:t>
      </w:r>
      <w:r>
        <w:t xml:space="preserve">, 16(9), 937-947.</w:t>
      </w:r>
    </w:p>
    <w:p>
      <w:pPr>
        <w:pStyle w:val="References"/>
      </w:pPr>
      <w:r>
        <w:t xml:space="preserve">[37] Chithrananda, S., Grand, G., &amp; Ramsundar, B. (2020). ChemBERTa: Large-scale self-supervised pretraining for molecular property prediction. </w:t>
      </w:r>
      <w:r>
        <w:rPr>
          <w:i/>
        </w:rPr>
        <w:t xml:space="preserve">arXiv preprint arXiv:2010.09885</w:t>
      </w:r>
      <w:r>
        <w:t xml:space="preserve">.</w:t>
      </w:r>
    </w:p>
    <w:p>
      <w:pPr>
        <w:pStyle w:val="References"/>
      </w:pPr>
      <w:r>
        <w:t xml:space="preserve">[38] Xiong, Z., Cheng, Z., Lin, X., Xu, C., Liu, X., Wang, D., et al. (2022). Facing small and biased data dilemma in drug discovery with enhanced federated learning approaches. </w:t>
      </w:r>
      <w:r>
        <w:rPr>
          <w:i/>
        </w:rPr>
        <w:t xml:space="preserve">Science China Life Sciences</w:t>
      </w:r>
      <w:r>
        <w:t xml:space="preserve">, 65(3), 529-539.</w:t>
      </w:r>
    </w:p>
    <w:p>
      <w:pPr>
        <w:pStyle w:val="References"/>
      </w:pPr>
      <w:r>
        <w:t xml:space="preserve">[39] Mysinger, M. M., Carchia, M., Irwin, J. J., &amp; Shoichet, B. K. (2012). Directory of useful decoys, enhanced (DUD-E): Better ligands and decoys for better benchmarking. </w:t>
      </w:r>
      <w:r>
        <w:rPr>
          <w:i/>
        </w:rPr>
        <w:t xml:space="preserve">Journal of Medicinal Chemistry</w:t>
      </w:r>
      <w:r>
        <w:t xml:space="preserve">, 55(14), 6582-6594.</w:t>
      </w:r>
    </w:p>
    <w:p>
      <w:pPr>
        <w:pStyle w:val="References"/>
      </w:pPr>
      <w:r>
        <w:t xml:space="preserve">[40] Öztürk, H., Özgür, A., &amp; Ozkirimli, E. (2018). DeepDTA: Deep drug-target binding affinity prediction. </w:t>
      </w:r>
      <w:r>
        <w:rPr>
          <w:i/>
        </w:rPr>
        <w:t xml:space="preserve">Bioinformatics</w:t>
      </w:r>
      <w:r>
        <w:t xml:space="preserve">, 34(17), i821-i829.</w:t>
      </w:r>
    </w:p>
    <w:p>
      <w:pPr>
        <w:pStyle w:val="References"/>
      </w:pPr>
      <w:r>
        <w:t xml:space="preserve">[41] De Cao, N., &amp; Kipf, T. (2018). MolGAN: An implicit generative model for small molecular graphs. </w:t>
      </w:r>
      <w:r>
        <w:rPr>
          <w:i/>
        </w:rPr>
        <w:t xml:space="preserve">arXiv preprint arXiv:1805.11973</w:t>
      </w:r>
      <w:r>
        <w:t xml:space="preserve">.</w:t>
      </w:r>
    </w:p>
    <w:p>
      <w:pPr>
        <w:pStyle w:val="References"/>
      </w:pPr>
      <w:r>
        <w:t xml:space="preserve">[42] Zhavoronkov, A., Ivanenkov, Y. A., Aliper, A., Veselov, M. S., Aladinskiy, V. A., Aladinskaya, A. V., et al. (2019). Deep learning enables rapid identification of potent DDR1 kinase inhibitors. </w:t>
      </w:r>
      <w:r>
        <w:rPr>
          <w:i/>
        </w:rPr>
        <w:t xml:space="preserve">Nature Biotechnology</w:t>
      </w:r>
      <w:r>
        <w:t xml:space="preserve">, 37(9), 1038-1040.</w:t>
      </w:r>
    </w:p>
    <w:p>
      <w:pPr>
        <w:pStyle w:val="References"/>
      </w:pPr>
      <w:r>
        <w:t xml:space="preserve">[43] Stokes, J. M., Yang, K., Swanson, K., Jin, W., Cubillos-Ruiz, A., Donghia, N. M., et al. (2020). A deep learning approach to antibiotic discovery. </w:t>
      </w:r>
      <w:r>
        <w:rPr>
          <w:i/>
        </w:rPr>
        <w:t xml:space="preserve">Cell</w:t>
      </w:r>
      <w:r>
        <w:t xml:space="preserve">, 180(4), 688-702.</w:t>
      </w:r>
    </w:p>
    <w:p>
      <w:pPr>
        <w:pStyle w:val="References"/>
      </w:pPr>
      <w:r>
        <w:t xml:space="preserve">[44] Yang, K., Swanson, K., Jin, W., Coley, C., Eiden, P., Gao, H., et al. (2019). Analyzing learned molecular representations for property prediction. </w:t>
      </w:r>
      <w:r>
        <w:rPr>
          <w:i/>
        </w:rPr>
        <w:t xml:space="preserve">Journal of Chemical Information and Modeling</w:t>
      </w:r>
      <w:r>
        <w:t xml:space="preserve">, 59(8), 3370-3388.</w:t>
      </w:r>
    </w:p>
    <w:p>
      <w:pPr>
        <w:pStyle w:val="References"/>
      </w:pPr>
      <w:r>
        <w:t xml:space="preserve">[45] Coley, C. W., Rogers, L., Green, W. H., &amp; Jensen, K. F. (2018). SCScore: Synthetic complexity learned from a reaction corpus. </w:t>
      </w:r>
      <w:r>
        <w:rPr>
          <w:i/>
        </w:rPr>
        <w:t xml:space="preserve">Journal of Chemical Information and Modeling</w:t>
      </w:r>
      <w:r>
        <w:t xml:space="preserve">, 58(2), 252-261.</w:t>
      </w:r>
    </w:p>
    <w:p>
      <w:pPr>
        <w:pStyle w:val="References"/>
      </w:pPr>
      <w:r>
        <w:t xml:space="preserve">[46] Brown, N., Fiscato, M., Segler, M. H. S., &amp; Vaucher, A. C. (2019). GuacaMol: Benchmarking models for de novo molecular design. </w:t>
      </w:r>
      <w:r>
        <w:rPr>
          <w:i/>
        </w:rPr>
        <w:t xml:space="preserve">Journal of Chemical Information and Modeling</w:t>
      </w:r>
      <w:r>
        <w:t xml:space="preserve">, 59(3), 1096-1108.</w:t>
      </w:r>
    </w:p>
    <w:p>
      <w:pPr>
        <w:pStyle w:val="References"/>
      </w:pPr>
      <w:r>
        <w:t xml:space="preserve">[47] Paul, D., Sanap, G., Shenoy, S., Kalyane, D., Kalia, K., &amp; Tekade, R. K. (2021). Artificial intelligence in drug discovery and development. </w:t>
      </w:r>
      <w:r>
        <w:rPr>
          <w:i/>
        </w:rPr>
        <w:t xml:space="preserve">Drug Discovery Today</w:t>
      </w:r>
      <w:r>
        <w:t xml:space="preserve">, 26(1), 80-93.</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Drug_Design_Workflow.png"/>
  <Relationship Id="rIdImg2" Type="http://schemas.openxmlformats.org/officeDocument/2006/relationships/image" Target="media/Figure_3_ML_Task_Taxonomy.png"/>
  <Relationship Id="rIdImg3" Type="http://schemas.openxmlformats.org/officeDocument/2006/relationships/image" Target="media/Figure_2_Generative_Loop.png"/>
  <Relationship Id="rIdImg4" Type="http://schemas.openxmlformats.org/officeDocument/2006/relationships/image" Target="media/Figure_4_ADMET_Filter.png"/>
</Relationships>
</file>