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AI-DRIVEN RESEARCH SUPPORT, RESEARCH DATA MANAGEMENT, AND RESEARCH WORKFLOWS</w:t>
      </w:r>
    </w:p>
    <w:p>
      <w:pPr>
        <w:pStyle w:val="Normal"/>
      </w:pPr>
      <w:r>
        <w:rPr>
          <w:b/>
        </w:rPr>
        <w:t xml:space="preserve">Book:</w:t>
      </w:r>
      <w:r>
        <w:t xml:space="preserve"> Advancing Education 5.0 Through AI Readiness and Acceptance: Insights from the Academic Community</w:t>
      </w:r>
    </w:p>
    <w:p>
      <w:pPr>
        <w:pStyle w:val="Normal"/>
      </w:pPr>
      <w:r>
        <w:rPr>
          <w:b/>
        </w:rPr>
        <w:t xml:space="preserve">Section 4:</w:t>
      </w:r>
      <w:r>
        <w:t xml:space="preserve"> AI for Research, Innovation, and Scholarly Communication</w:t>
      </w:r>
    </w:p>
    <w:p>
      <w:pPr>
        <w:pStyle w:val="Normal"/>
      </w:pPr>
      <w:r>
        <w:rPr>
          <w:b/>
        </w:rPr>
        <w:t xml:space="preserve">Authors:</w:t>
      </w:r>
      <w:r>
        <w:t xml:space="preserve"> Amman Jakhar 1, * and Sachin Kalsi 1</w:t>
      </w:r>
    </w:p>
    <w:p>
      <w:pPr>
        <w:pStyle w:val="Normal"/>
      </w:pPr>
      <w:r>
        <w:t xml:space="preserve">1 Department of Mechanical Engineering, Chandigarh University, Mohali, Punjab-140301</w:t>
      </w:r>
    </w:p>
    <w:p>
      <w:pPr>
        <w:pStyle w:val="Normal"/>
      </w:pPr>
      <w:r>
        <w:t xml:space="preserve">\* Corresponding Email: ammanjakhar5000734@gmail.com</w:t>
      </w:r>
    </w:p>
    <w:p>
      <w:pPr>
        <w:pStyle w:val="Heading1"/>
      </w:pPr>
      <w:r>
        <w:t xml:space="preserve">Abstract</w:t>
      </w:r>
    </w:p>
    <w:p>
      <w:pPr>
        <w:pStyle w:val="Normal"/>
      </w:pPr>
      <w:r>
        <w:t xml:space="preserve">This chapter discusses artificial intelligence (AI) as a disruptive technology for academic research support, research data management (RDM), and scholarly research workflows, situated within the paradigm of Education 5.0. The era of data-heavy, interdisciplinary, and collaborative research has arrived, and the way research life cycles have traditionally been handled is proving insufficient in terms of scope and efficiency—from finding the literature to designing experiments to curating, analysing, and publishing data. The chapter carefully explores how AI tools and platforms are transforming all four phases of the research process. For literature discovery and knowledge summarization, natural language processing (NLP) and large language models (LLMs) can facilitate faster systematic reviews, automatic summarization, and semantic search, surpassing the limitations of keyword-based search and thus profoundly affecting the process of scientific inquiry. In the context of research data management, the chapter delves into AI's role in automating metadata generation, data-quality checks, intelligent data archiving, and ensuring compliance with the FAIR (Findable, Accessible, Interoperable, Reusable) data principles, which are increasingly essential for transparent and reproducible scientific inquiry. The discussion also covers the use of AI in optimizing research workflows, such as intelligent experimental design, automated laboratory documentation, team collaboration, and predictive research-impact analysis. The ethical and practical dilemmas that follow the use of AI in research are explored, including concerns about algorithmic bias in literature recommendations, the protection of data privacy and security in cloud-based research platforms, the reproducibility of insights generated by AI, academic honesty and attribution, and the digital divide that could deepen research inequalities between well-funded and under-resourced institutions. The chapter uses illustrative case studies from a variety of disciplines—biomedical sciences, social sciences, engineering, and humanities—to show how AI is changing the nature of scholarly communication, peer-review processes, and research-evaluation metrics. The final part provides strategic guidance to academic institutions, funders, and individual researchers on how to use AI responsibly to drive research innovation.</w:t>
      </w:r>
    </w:p>
    <w:p>
      <w:pPr>
        <w:pStyle w:val="Normal"/>
      </w:pPr>
      <w:r>
        <w:rPr>
          <w:b/>
        </w:rPr>
        <w:t xml:space="preserve">Keywords:</w:t>
      </w:r>
      <w:r>
        <w:t xml:space="preserve"> Artificial Intelligence; research data management; FAIR principles; large language models; systematic review; research workflows; scholarly communication; Education 5.0; reproducibility; responsible AI</w:t>
      </w:r>
    </w:p>
    <w:p>
      <w:pPr>
        <w:pStyle w:val="Heading1"/>
      </w:pPr>
      <w:r>
        <w:t xml:space="preserve">1. Introduction: Research Support in the Era of Education 5.0</w:t>
      </w:r>
    </w:p>
    <w:p>
      <w:pPr>
        <w:pStyle w:val="Heading2"/>
      </w:pPr>
      <w:r>
        <w:t xml:space="preserve">1.1 From Education 4.0 to Education 5.0</w:t>
      </w:r>
    </w:p>
    <w:p>
      <w:pPr>
        <w:pStyle w:val="Normal"/>
      </w:pPr>
      <w:r>
        <w:t xml:space="preserve">The concept of Education 5.0 has emerged as a response to the perceived limitations of Education 4.0, which emphasized digitization, automation, and the technological mechanization of learning. Whereas Education 4.0 aligned educational practice with the machine-centric logic of the fourth industrial revolution, Education 5.0 reorients the enterprise toward human-centred, value-driven, and socially responsible innovation in which advanced technologies serve human flourishing rather than displace it (Aithal &amp; Aithal, 2023). In this framing, artificial intelligence is not a substitute for human judgment but a collaborator that amplifies human creativity, critical reasoning, and ethical deliberation. Within higher education specifically, this shift carries profound implications for research, because the university is simultaneously a site of teaching and a primary engine of knowledge production. The research mission of the academy—discovering, validating, curating, and disseminating knowledge—is precisely where the human-centred augmentation promised by Education 5.0 is most consequential.</w:t>
      </w:r>
    </w:p>
    <w:p>
      <w:pPr>
        <w:pStyle w:val="Normal"/>
      </w:pPr>
      <w:r>
        <w:t xml:space="preserve">Education 5.0 is best understood as the educational counterpart of the broader Society 5.0 vision, in which cyber-physical integration is deliberately steered toward resolving social problems and enhancing quality of life. Where earlier industrial and educational paradigms measured progress chiefly in terms of efficiency and output, the fifth-generation framing foregrounds values—inclusivity, sustainability, ethics, and human dignity—as design constraints on technology rather than afterthoughts (Aithal &amp; Aithal, 2023). For the research mission of the university, this reframing has a specific consequence: the success of AI-driven research support is to be judged not only by how much faster it makes discovery, but by whether it makes scholarship more rigorous, more transparent, more equitable, and more responsible. This dual criterion—capability and responsibility held together—runs through every section of this chapter and distinguishes an Education 5.0 account of research AI from a purely technocentric one.</w:t>
      </w:r>
    </w:p>
    <w:p>
      <w:pPr>
        <w:pStyle w:val="Normal"/>
      </w:pPr>
      <w:r>
        <w:t xml:space="preserve">Research in the contemporary academy is characterized by three features that together strain traditional practices: scale, interdisciplinarity, and collaboration. The volume of scholarly output has grown at a compound rate that now roughly doubles the global corpus of literature every nine to fifteen years, rendering comprehensive human tracking of any but the narrowest subfield effectively impossible (Bornmann, Haunschild, &amp; Mutz, 2021). Simultaneously, the most pressing scientific problems—climate change, pandemic preparedness, sustainable manufacturing—are inherently interdisciplinary, requiring researchers to synthesize knowledge across domains whose vocabularies, methods, and data conventions differ markedly. Finally, research is increasingly collaborative and distributed across institutions, nations, and time zones, generating coordination and data-sharing challenges that manual workflows handle poorly. Education 5.0 positions AI as the connective infrastructure capable of relieving these pressures while keeping human researchers in command of scholarly meaning and value.</w:t>
      </w:r>
    </w:p>
    <w:p>
      <w:pPr>
        <w:pStyle w:val="Heading2"/>
      </w:pPr>
      <w:r>
        <w:t xml:space="preserve">1.2 The Research Life Cycle Under Strain</w:t>
      </w:r>
    </w:p>
    <w:p>
      <w:pPr>
        <w:pStyle w:val="Normal"/>
      </w:pPr>
      <w:r>
        <w:t xml:space="preserve">The research life cycle can be usefully decomposed into four interdependent phases: literature discovery and knowledge synthesis; research data management; the execution of research workflows including experimentation and analysis; and scholarly communication and evaluation. Historically, each phase has relied heavily on manual, expert labour—reading and appraising papers, hand-curating datasets, designing and running experiments, and writing and reviewing manuscripts. The fourth paradigm of science, in which data-intensive discovery complements empirical, theoretical, and computational modes of inquiry, has dramatically increased the quantity of data and literature that flows through each phase (Hey, Tansley, &amp; Tolle, 2009). The mismatch between exponentially growing inputs and the fixed cognitive bandwidth of human researchers is the central operational problem that AI-driven research support seeks to address.</w:t>
      </w:r>
    </w:p>
    <w:p>
      <w:pPr>
        <w:pStyle w:val="Normal"/>
      </w:pPr>
      <w:r>
        <w:t xml:space="preserve">This mismatch manifests differently in each phase. In discovery, researchers cannot read the tens of thousands of potentially relevant papers published annually in an active field, so relevant prior work is missed and effort is duplicated. In data management, the sheer heterogeneity and volume of research data outstrip the capacity of manual curation, leaving datasets poorly described, hard to find, and effectively unreusable. In workflow execution, manual experimental design and documentation introduce bottlenecks and errors that limit throughput and undermine reproducibility. In communication and evaluation, the growth of submissions overwhelms the volunteer peer-review system, and crude bibliometric proxies distort assessment. AI offers targeted interventions at each of these choke points, and the chapter is organized around these four phases.</w:t>
      </w:r>
    </w:p>
    <w:p>
      <w:pPr>
        <w:pStyle w:val="Heading2"/>
      </w:pPr>
      <w:r>
        <w:t xml:space="preserve">1.3 AI as a Disruptive Enabler of Research</w:t>
      </w:r>
    </w:p>
    <w:p>
      <w:pPr>
        <w:pStyle w:val="Normal"/>
      </w:pPr>
      <w:r>
        <w:t xml:space="preserve">Artificial intelligence functions as a disruptive technology in research not merely because it accelerates existing tasks but because it changes what tasks are feasible at all. The maturation of machine learning, and especially of the transformer architecture that underpins modern language models, has produced systems capable of reading, summarizing, and reasoning over natural-language text and structured data at a scale and speed no human team can match (Vaswani et al., 2017). When such capabilities are embedded across the research life cycle, they enable qualitatively new practices: exhaustive rather than sampled literature synthesis, continuous rather than periodic data curation, autonomous rather than manual experimentation, and predictive rather than retrospective evaluation. Figure 1 presents the AI-augmented research life cycle that organizes this chapter, showing how AI capabilities intersect with each of the four phases and feed back into one another.</w:t>
      </w:r>
    </w:p>
    <w:p>
      <w:pPr>
        <w:pStyle w:val="FigureImage"/>
      </w:pPr>
      <w:r>
        <w:drawing>
          <wp:inline xmlns:wp="http://schemas.openxmlformats.org/drawingml/2006/wordprocessingDrawing" distT="0" distB="0" distL="0" distR="0">
            <wp:extent cx="5486400" cy="3392905"/>
            <wp:effectExtent l="0" t="0" r="0" b="0"/>
            <wp:docPr id="1001" name="Figure_1_Research_Life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Research_Life_Cycle.png"/>
                    <pic:cNvPicPr/>
                  </pic:nvPicPr>
                  <pic:blipFill>
                    <a:blip xmlns:r="http://schemas.openxmlformats.org/officeDocument/2006/relationships" r:embed="rIdImg1"/>
                    <a:stretch>
                      <a:fillRect/>
                    </a:stretch>
                  </pic:blipFill>
                  <pic:spPr>
                    <a:xfrm>
                      <a:off x="0" y="0"/>
                      <a:ext cx="5486400" cy="3392905"/>
                    </a:xfrm>
                    <a:prstGeom prst="rect">
                      <a:avLst/>
                    </a:prstGeom>
                  </pic:spPr>
                </pic:pic>
              </a:graphicData>
            </a:graphic>
          </wp:inline>
        </w:drawing>
      </w:r>
    </w:p>
    <w:p>
      <w:pPr>
        <w:pStyle w:val="FigureCaption"/>
      </w:pPr>
      <w:r>
        <w:t xml:space="preserve">Figure 1. The AI-Augmented Research Life Cycle Across Four Interdependent Phases</w:t>
      </w:r>
    </w:p>
    <w:p>
      <w:pPr>
        <w:pStyle w:val="Normal"/>
      </w:pPr>
      <w:r>
        <w:t xml:space="preserve">It is worth distinguishing at the outset between two visions of AI in research that are often conflated: automation and augmentation. The automation vision seeks to remove the human from as many research tasks as possible, treating the researcher as a bottleneck to be engineered away. The augmentation vision, by contrast, seeks to amplify human capability, delegating mechanical and repetitive labour to machines so that scholars can devote their limited attention to the tasks that most require human judgment—framing questions, interpreting ambiguous results, weighing ethical considerations, and deciding what is worth knowing. Education 5.0 aligns squarely with the augmentation vision, and this chapter adopts it as an organizing commitment. The distinction is not merely rhetorical: it has concrete implications for how systems are designed, where human checkpoints are placed, and how success is measured. A system designed for augmentation surfaces its reasoning for inspection, invites correction, and preserves the researcher's authority over consequential decisions, whereas a system designed for automation optimizes for throughput and treats human intervention as friction. The choice between these design philosophies recurs throughout the four phases examined below.</w:t>
      </w:r>
    </w:p>
    <w:p>
      <w:pPr>
        <w:pStyle w:val="Normal"/>
      </w:pPr>
      <w:r>
        <w:t xml:space="preserve">Realizing this potential responsibly, however, requires attention to the risks that accompany disruption. Recent large-scale surveys of researchers reveal both enthusiasm for the efficiency gains AI offers and considerable anxiety about reproducibility, bias, over-reliance, and the erosion of essential skills (Van Noorden &amp; Perkel, 2023). The remainder of this chapter therefore pairs a detailed account of AI capabilities in each research phase—summarized across the life cycle in Figure 1—with a sustained analysis of the ethical and practical dilemmas these capabilities introduce, before offering strategic guidance for institutions, funders, and individual researchers. Throughout, the guiding principle is that of Education 5.0: technology deployed in the service of human-centred, responsible scholarship.</w:t>
      </w:r>
    </w:p>
    <w:p>
      <w:pPr>
        <w:pStyle w:val="Heading1"/>
      </w:pPr>
      <w:r>
        <w:t xml:space="preserve">2. AI for Literature Discovery and Knowledge Summarization</w:t>
      </w:r>
    </w:p>
    <w:p>
      <w:pPr>
        <w:pStyle w:val="Heading2"/>
      </w:pPr>
      <w:r>
        <w:t xml:space="preserve">2.1 Beyond Keyword Search: Semantic Retrieval and Natural Language Processing</w:t>
      </w:r>
    </w:p>
    <w:p>
      <w:pPr>
        <w:pStyle w:val="Normal"/>
      </w:pPr>
      <w:r>
        <w:t xml:space="preserve">The first phase of the research life cycle—discovering and synthesizing prior knowledge—has been transformed most visibly by advances in NLP. Traditional bibliographic search relies on Boolean combinations of keywords matched against titles, abstracts, and indexed terms. This approach suffers from well-known failures: it misses documents that express the same concept using different terminology (the vocabulary-mismatch problem), it retrieves irrelevant documents that happen to share keywords, and it cannot rank results by conceptual relevance to a researcher's actual information need. Semantic search addresses these limitations by representing both queries and documents as dense vectors in a shared embedding space, so that conceptually similar texts lie close together regardless of their surface wording (Devlin et al., 2019). A query about "additive manufacturing of titanium implants" can thus surface a paper on "3D-printed Ti-6Al-4V orthopaedic scaffolds" even when the two share few literal terms.</w:t>
      </w:r>
    </w:p>
    <w:p>
      <w:pPr>
        <w:pStyle w:val="Normal"/>
      </w:pPr>
      <w:r>
        <w:t xml:space="preserve">The technical foundation of this capability is the transformer architecture and the contextual language representations it produces (Vaswani et al., 2017). By pre-training on massive corpora and then encoding each word in the context of its neighbours, transformer-based models generate embeddings that capture meaning far more faithfully than bag-of-words methods. Domain-adapted models extend this power to specialized literatures; SciBERT, for example, is pre-trained on a large corpus of scientific text and consequently outperforms general-purpose models on scientific NLP tasks such as citation intent classification and entity extraction (Beltagy, Lo, &amp; Cohan, 2019). Modern scholarly search engines and recommendation systems built on these representations move researchers from keyword hunting toward genuine semantic discovery, materially changing how the literature is navigated (Extance, 2018).</w:t>
      </w:r>
    </w:p>
    <w:p>
      <w:pPr>
        <w:pStyle w:val="Heading2"/>
      </w:pPr>
      <w:r>
        <w:t xml:space="preserve">2.2 Large Language Models for Systematic Reviews and Summarization</w:t>
      </w:r>
    </w:p>
    <w:p>
      <w:pPr>
        <w:pStyle w:val="Normal"/>
      </w:pPr>
      <w:r>
        <w:t xml:space="preserve">Systematic reviews—the rigorous, protocol-driven synthesis of all evidence relevant to a research question—are the gold standard of evidence synthesis but are notoriously laborious, often requiring a year or more of expert effort to screen thousands of records. Machine learning has been applied to automate the most tedious stages of this process, particularly the screening of titles and abstracts against inclusion criteria. Text-mining and active-learning approaches can prioritize relevant records so that reviewers encounter includable studies early and can confidently stop screening once the yield of new relevant records falls below a threshold, reducing screening workload by half or more without sacrificing sensitivity (O'Mara-Eves et al., 2015). More recent work demonstrates that machine-learning classifiers and NLP pipelines can support data extraction, risk-of-bias assessment, and evidence surveillance across the review workflow (Marshall &amp; Wallace, 2019).</w:t>
      </w:r>
    </w:p>
    <w:p>
      <w:pPr>
        <w:pStyle w:val="Normal"/>
      </w:pPr>
      <w:r>
        <w:t xml:space="preserve">The advent of generative LLMs has extended these capabilities from classification to synthesis. Models trained on internet-scale corpora exhibit strong few-shot learning, performing summarization, question answering, and drafting tasks from natural-language instructions without task-specific retraining (Brown et al., 2020). Applied to research support, such models can generate plain-language summaries of dense papers, extract structured findings from unstructured text, and draft the descriptive portions of literature reviews. Systematic-review automation frameworks increasingly combine NLP-based retrieval with LLM-based extraction and summarization to compress timelines from months to weeks (van Dinter, Tekinerdogan, &amp; Catal, 2021). These same generative capabilities, however, introduce the risk of fabricated citations and confident misstatement—a hazard rooted in the fact that such models optimize for plausible sequences of text rather than for truth (Bender et al., 2021)—a concern addressed in Section 6.</w:t>
      </w:r>
    </w:p>
    <w:p>
      <w:pPr>
        <w:pStyle w:val="Heading2"/>
      </w:pPr>
      <w:r>
        <w:t xml:space="preserve">2.3 Knowledge Graphs and the Landscape of AI Research Tools</w:t>
      </w:r>
    </w:p>
    <w:p>
      <w:pPr>
        <w:pStyle w:val="Normal"/>
      </w:pPr>
      <w:r>
        <w:t xml:space="preserve">Beyond retrieval and summarization, AI supports discovery through the construction of scholarly knowledge graphs that represent papers, authors, concepts, datasets, and their relationships as a navigable network. Large open corpora assembled to combat urgent problems—such as the COVID-19 Open Research Dataset, which unified hundreds of thousands of coronavirus-related papers into a machine-readable resource for text mining—illustrate how AI-ready infrastructure accelerates collective synthesis during crises (Wang et al., 2020). Knowledge graphs enable researchers to trace the provenance of ideas, identify emerging research fronts, detect gaps, and generate hypotheses by revealing non-obvious connections between disparate literatures. When coupled with reasoning models, they support the machine-assisted generation of candidate hypotheses, a capability increasingly central to data-driven discovery across the sciences (Wang et al., 2023).</w:t>
      </w:r>
    </w:p>
    <w:p>
      <w:pPr>
        <w:pStyle w:val="Normal"/>
      </w:pPr>
      <w:r>
        <w:t xml:space="preserve">A pivotal technique for making LLM-based discovery trustworthy is retrieval-augmented generation, in which a model's response is conditioned on documents retrieved from an authoritative corpus rather than generated solely from its parametric memory. By grounding outputs in retrieved sources, this approach reduces fabrication and, critically, supports verifiable attribution: each claim can be traced to a specific document that the researcher can inspect. In research support, retrieval-augmented systems can answer a scholar's question with a synthesized, cited summary drawn only from a vetted literature base, combining the fluency of generative models with the accountability demanded by scholarship. This grounding is essential precisely because unconstrained language models optimize for plausibility rather than truth (Bender et al., 2021); coupling generation to retrieval realigns the tool with the evidentiary standards of the academy and mitigates the fabrication risk noted above. The design of these systems—how the corpus is curated, how retrieval is ranked, and how sources are surfaced—thus becomes a matter of research integrity, not merely of engineering convenience.</w:t>
      </w:r>
    </w:p>
    <w:p>
      <w:pPr>
        <w:pStyle w:val="Normal"/>
      </w:pPr>
      <w:r>
        <w:t xml:space="preserve">The practical landscape of AI tools spanning the research life cycle is now rich and rapidly evolving. Table 1 maps representative categories of AI capability to the four research phases introduced in Figure 1, illustrating the breadth of the transformation and providing a reference for the discussion that follows. As Table 1 indicates, no single phase is untouched; rather, complementary AI techniques address the distinct bottlenecks of discovery, data management, workflow execution, and communication. Importantly, the value of these tools compounds when they interoperate—when, for instance, semantically retrieved literature (phase one) informs the automated design of an experiment (phase three), and the resulting data are automatically curated to FAIR standards (phase two) before being written up and disseminated (phase four).</w:t>
      </w:r>
    </w:p>
    <w:p>
      <w:pPr>
        <w:pStyle w:val="TableCaption"/>
      </w:pPr>
      <w:r>
        <w:t xml:space="preserve">[Insert Table 1 here]</w:t>
      </w:r>
    </w:p>
    <w:p>
      <w:pPr>
        <w:pStyle w:val="TableCaption"/>
      </w:pPr>
      <w:r>
        <w:t xml:space="preserve">Table 1. Representative AI Capabilities Mapped Across the Four Phases of the Research Life Cycle</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Research Phase</w:t>
            </w:r>
          </w:p>
        </w:tc>
        <w:tc>
          <w:tcPr>
            <w:shd w:val="clear" w:color="auto" w:fill="D9E2F3"/>
          </w:tcPr>
          <w:p>
            <w:pPr>
              <w:jc w:val="center"/>
            </w:pPr>
            <w:r>
              <w:rPr>
                <w:b/>
              </w:rPr>
              <w:t xml:space="preserve">Core AI Techniques</w:t>
            </w:r>
          </w:p>
        </w:tc>
        <w:tc>
          <w:tcPr>
            <w:shd w:val="clear" w:color="auto" w:fill="D9E2F3"/>
          </w:tcPr>
          <w:p>
            <w:pPr>
              <w:jc w:val="center"/>
            </w:pPr>
            <w:r>
              <w:rPr>
                <w:b/>
              </w:rPr>
              <w:t xml:space="preserve">Representative Functions</w:t>
            </w:r>
          </w:p>
        </w:tc>
        <w:tc>
          <w:tcPr>
            <w:shd w:val="clear" w:color="auto" w:fill="D9E2F3"/>
          </w:tcPr>
          <w:p>
            <w:pPr>
              <w:jc w:val="center"/>
            </w:pPr>
            <w:r>
              <w:rPr>
                <w:b/>
              </w:rPr>
              <w:t xml:space="preserve">Primary Benefit</w:t>
            </w:r>
          </w:p>
        </w:tc>
      </w:tr>
      <w:tr>
        <w:tc>
          <w:p>
            <w:pPr>
              <w:spacing w:after="40"/>
            </w:pPr>
            <w:r>
              <w:t xml:space="preserve">Literature discovery &amp; synthesis</w:t>
            </w:r>
          </w:p>
        </w:tc>
        <w:tc>
          <w:p>
            <w:pPr>
              <w:spacing w:after="40"/>
            </w:pPr>
            <w:r>
              <w:t xml:space="preserve">NLP, embeddings, LLMs, knowledge graphs</w:t>
            </w:r>
          </w:p>
        </w:tc>
        <w:tc>
          <w:p>
            <w:pPr>
              <w:spacing w:after="40"/>
            </w:pPr>
            <w:r>
              <w:t xml:space="preserve">Semantic search, screening, summarization, hypothesis generation</w:t>
            </w:r>
          </w:p>
        </w:tc>
        <w:tc>
          <w:p>
            <w:pPr>
              <w:spacing w:after="40"/>
            </w:pPr>
            <w:r>
              <w:t xml:space="preserve">Comprehensive, rapid synthesis</w:t>
            </w:r>
          </w:p>
        </w:tc>
      </w:tr>
      <w:tr>
        <w:tc>
          <w:p>
            <w:pPr>
              <w:spacing w:after="40"/>
            </w:pPr>
            <w:r>
              <w:t xml:space="preserve">Research data management</w:t>
            </w:r>
          </w:p>
        </w:tc>
        <w:tc>
          <w:p>
            <w:pPr>
              <w:spacing w:after="40"/>
            </w:pPr>
            <w:r>
              <w:t xml:space="preserve">Supervised ML, entity recognition, anomaly detection</w:t>
            </w:r>
          </w:p>
        </w:tc>
        <w:tc>
          <w:p>
            <w:pPr>
              <w:spacing w:after="40"/>
            </w:pPr>
            <w:r>
              <w:t xml:space="preserve">Metadata generation, quality checks, FAIR compliance</w:t>
            </w:r>
          </w:p>
        </w:tc>
        <w:tc>
          <w:p>
            <w:pPr>
              <w:spacing w:after="40"/>
            </w:pPr>
            <w:r>
              <w:t xml:space="preserve">Findable, reusable data</w:t>
            </w:r>
          </w:p>
        </w:tc>
      </w:tr>
      <w:tr>
        <w:tc>
          <w:p>
            <w:pPr>
              <w:spacing w:after="40"/>
            </w:pPr>
            <w:r>
              <w:t xml:space="preserve">Research workflows &amp; experimentation</w:t>
            </w:r>
          </w:p>
        </w:tc>
        <w:tc>
          <w:p>
            <w:pPr>
              <w:spacing w:after="40"/>
            </w:pPr>
            <w:r>
              <w:t xml:space="preserve">Bayesian optimization, active learning, robotics</w:t>
            </w:r>
          </w:p>
        </w:tc>
        <w:tc>
          <w:p>
            <w:pPr>
              <w:spacing w:after="40"/>
            </w:pPr>
            <w:r>
              <w:t xml:space="preserve">Experimental design, autonomous labs, documentation</w:t>
            </w:r>
          </w:p>
        </w:tc>
        <w:tc>
          <w:p>
            <w:pPr>
              <w:spacing w:after="40"/>
            </w:pPr>
            <w:r>
              <w:t xml:space="preserve">Higher throughput, reproducibility</w:t>
            </w:r>
          </w:p>
        </w:tc>
      </w:tr>
      <w:tr>
        <w:tc>
          <w:p>
            <w:pPr>
              <w:spacing w:after="40"/>
            </w:pPr>
            <w:r>
              <w:t xml:space="preserve">Scholarly communication &amp; evaluation</w:t>
            </w:r>
          </w:p>
        </w:tc>
        <w:tc>
          <w:p>
            <w:pPr>
              <w:spacing w:after="40"/>
            </w:pPr>
            <w:r>
              <w:t xml:space="preserve">NLP, classification, network analysis</w:t>
            </w:r>
          </w:p>
        </w:tc>
        <w:tc>
          <w:p>
            <w:pPr>
              <w:spacing w:after="40"/>
            </w:pPr>
            <w:r>
              <w:t xml:space="preserve">Reviewer matching, screening, impact prediction</w:t>
            </w:r>
          </w:p>
        </w:tc>
        <w:tc>
          <w:p>
            <w:pPr>
              <w:spacing w:after="40"/>
            </w:pPr>
            <w:r>
              <w:t xml:space="preserve">Faster, fairer evaluation</w:t>
            </w:r>
          </w:p>
        </w:tc>
      </w:tr>
    </w:tbl>
    <w:p>
      <w:pPr>
        <w:pStyle w:val="Normal"/>
      </w:pPr>
      <w:r>
        <w:t xml:space="preserve">The reorientation of literature work from manual reading toward AI-augmented synthesis exemplifies the Education 5.0 principle of human-centred augmentation: the researcher retains interpretive and critical authority while delegating the mechanical labour of exhaustive search and preliminary summarization to machine collaborators. Yet, as the mapping in Table 1 makes clear, discovery is only the first of four phases, and the data that discovery ultimately produces must themselves be managed with equal sophistication.</w:t>
      </w:r>
    </w:p>
    <w:p>
      <w:pPr>
        <w:pStyle w:val="Heading1"/>
      </w:pPr>
      <w:r>
        <w:t xml:space="preserve">3. AI-Driven Research Data Management</w:t>
      </w:r>
    </w:p>
    <w:p>
      <w:pPr>
        <w:pStyle w:val="Heading2"/>
      </w:pPr>
      <w:r>
        <w:t xml:space="preserve">3.1 The FAIR Principles and the Data Curation Challenge</w:t>
      </w:r>
    </w:p>
    <w:p>
      <w:pPr>
        <w:pStyle w:val="Normal"/>
      </w:pPr>
      <w:r>
        <w:t xml:space="preserve">Research data have become a first-class scholarly output, valued not only as the evidentiary basis of published claims but as reusable assets that can be repurposed for new inquiry. The FAIR principles—that data should be Findable, Accessible, Interoperable, and Reusable—articulate the qualities that make data valuable beyond their original study, and have been adopted by funders, publishers, and institutions worldwide (Wilkinson et al., 2016). FAIR is explicitly oriented toward machine actionability: because the volume and complexity of contemporary data exceed human capacity for manual discovery and integration, data must be described and structured so that computational agents can find, access, and combine them with minimal human intervention (Mons et al., 2017). This machine-actionability requirement is precisely why AI is both a beneficiary of, and an enabler for, FAIR data management.</w:t>
      </w:r>
    </w:p>
    <w:p>
      <w:pPr>
        <w:pStyle w:val="Normal"/>
      </w:pPr>
      <w:r>
        <w:t xml:space="preserve">The practical difficulty is that making data FAIR is expensive and skilled labour that researchers are poorly incentivized and ill-equipped to perform. Studies of data-sharing behaviour consistently find that although scientists express willingness to share data, actual sharing is limited by lack of time, unclear standards, and insufficient infrastructure (Tenopir et al., 2011). The result is a vast landscape of "long-tail" datasets that are poorly documented, inconsistently formatted, and effectively invisible—what one influential account termed the problem of big data, little data, and no data, in which the least visible data are often the most abundant and the most at risk of loss (Borgman, 2015). AI-driven RDM directly attacks this curation bottleneck by automating the labour that manual curation cannot scale to meet, and interpretations of how FAIR should be operationalized increasingly assume such automation (Jacobsen et al., 2020).</w:t>
      </w:r>
    </w:p>
    <w:p>
      <w:pPr>
        <w:pStyle w:val="Heading2"/>
      </w:pPr>
      <w:r>
        <w:t xml:space="preserve">3.2 Automated Metadata Generation and Data-Quality Assurance</w:t>
      </w:r>
    </w:p>
    <w:p>
      <w:pPr>
        <w:pStyle w:val="Normal"/>
      </w:pPr>
      <w:r>
        <w:t xml:space="preserve">Metadata—the structured descriptions that render data findable and interpretable—are the linchpin of FAIR compliance and the single greatest curation burden. AI substantially reduces this burden by generating metadata automatically. NLP techniques extract descriptive metadata from associated documents, laboratory notes, and the data themselves, identifying variables, units, methods, and provenance. Named-entity recognition and relation-extraction models tag datasets with standardized vocabulary terms drawn from domain ontologies, enabling interoperability across repositories. Machine-learning classifiers infer subject categories and suggest keywords, while embedding-based methods link related datasets even when their descriptions differ. Figure 2 depicts an AI-driven RDM pipeline in which raw data and context flow through automated ingestion, metadata generation, quality assessment, and FAIR-compliant archiving.</w:t>
      </w:r>
    </w:p>
    <w:p>
      <w:pPr>
        <w:pStyle w:val="FigureImage"/>
      </w:pPr>
      <w:r>
        <w:drawing>
          <wp:inline xmlns:wp="http://schemas.openxmlformats.org/drawingml/2006/wordprocessingDrawing" distT="0" distB="0" distL="0" distR="0">
            <wp:extent cx="5486400" cy="3024553"/>
            <wp:effectExtent l="0" t="0" r="0" b="0"/>
            <wp:docPr id="1002" name="Figure_2_RDM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RDM_Pipeline.png"/>
                    <pic:cNvPicPr/>
                  </pic:nvPicPr>
                  <pic:blipFill>
                    <a:blip xmlns:r="http://schemas.openxmlformats.org/officeDocument/2006/relationships" r:embed="rIdImg2"/>
                    <a:stretch>
                      <a:fillRect/>
                    </a:stretch>
                  </pic:blipFill>
                  <pic:spPr>
                    <a:xfrm>
                      <a:off x="0" y="0"/>
                      <a:ext cx="5486400" cy="3024553"/>
                    </a:xfrm>
                    <a:prstGeom prst="rect">
                      <a:avLst/>
                    </a:prstGeom>
                  </pic:spPr>
                </pic:pic>
              </a:graphicData>
            </a:graphic>
          </wp:inline>
        </w:drawing>
      </w:r>
    </w:p>
    <w:p>
      <w:pPr>
        <w:pStyle w:val="FigureCaption"/>
      </w:pPr>
      <w:r>
        <w:t xml:space="preserve">Figure 2. An AI-Driven, FAIR-Aligned Research Data Management Pipeline</w:t>
      </w:r>
    </w:p>
    <w:p>
      <w:pPr>
        <w:pStyle w:val="Normal"/>
      </w:pPr>
      <w:r>
        <w:t xml:space="preserve">Data quality is the second domain where AI transforms RDM. Manual quality control cannot keep pace with high-volume, high-velocity data streams from instruments, sensors, and simulations. Anomaly-detection algorithms flag outliers, sensor drift, and data-entry errors in real time; supervised classifiers identify missing, duplicated, or malformed records; and statistical models assess distributional consistency across data batches. As shown in Figure 2, these quality gates operate continuously rather than as a one-time step, so that errors are caught close to their source, where they are cheapest to correct. This continuous, automated assurance is essential to the reproducibility of downstream analysis, because errors that propagate silently into published results are a documented contributor to the reproducibility crisis (Baker, 2016).</w:t>
      </w:r>
    </w:p>
    <w:p>
      <w:pPr>
        <w:pStyle w:val="Heading2"/>
      </w:pPr>
      <w:r>
        <w:t xml:space="preserve">3.3 Intelligent Archiving, Compliance, and the Mapping to FAIR</w:t>
      </w:r>
    </w:p>
    <w:p>
      <w:pPr>
        <w:pStyle w:val="Normal"/>
      </w:pPr>
      <w:r>
        <w:t xml:space="preserve">Beyond description and cleaning, AI supports intelligent archiving and lifecycle management of research data. Machine-learning models can classify data by sensitivity to enforce appropriate access controls, recommend retention schedules based on data type and funder policy, and optimize storage tiering by predicting which datasets will be accessed frequently and which can be moved to cold storage. Automated compliance checking verifies that deposited datasets meet the requirements of specific mandates—confirming the presence of required metadata fields, licences, and persistent identifiers—and flags deficiencies for correction before publication. These capabilities align with community efforts to make data deposition a routine, low-friction part of the research workflow rather than an onerous afterthought (Stall et al., 2019).</w:t>
      </w:r>
    </w:p>
    <w:p>
      <w:pPr>
        <w:pStyle w:val="Normal"/>
      </w:pPr>
      <w:r>
        <w:t xml:space="preserve">A further frontier of AI-driven RDM is intelligent data integration—the automated harmonization of heterogeneous datasets so that they can be analysed together. Research data are notoriously fragmented across incompatible formats, units, schemas, and vocabularies, and the manual reconciliation of these differences consumes an outsized share of researchers' analytical time. Machine-learning methods for schema matching, entity resolution, and ontology alignment can propose mappings between datasets, detect when two records refer to the same real-world entity despite differing descriptions, and translate values into common units and representations. Embedding-based techniques identify semantically related fields even when their labels diverge, extending the semantic-discovery logic of Section 2 into the data layer. When these integration capabilities are combined with the automated metadata generation and quality assurance depicted in Figure 2, the result is a pipeline that not only describes and cleans individual datasets but actively prepares them for reuse and synthesis—realizing the interoperability and reusability that the FAIR principles demand but that manual practice rarely achieves at scale (Mons et al., 2017).</w:t>
      </w:r>
    </w:p>
    <w:p>
      <w:pPr>
        <w:pStyle w:val="Normal"/>
      </w:pPr>
      <w:r>
        <w:t xml:space="preserve">To make the contribution of AI to FAIR concrete, Table 2 maps each FAIR principle to the specific AI capabilities that operationalize it and to the risks that must be managed. Table 2 demonstrates that AI touches every FAIR sub-principle, from the assignment of persistent identifiers that support findability to the semantic annotation that underpins interoperability. At the same time, Table 2 signals that automation is not a panacea: automatically generated metadata can be inaccurate, inferred access controls can misclassify sensitive data, and semantic mappings can introduce subtle errors, all of which require human validation. The pipeline in Figure 2 therefore incorporates human-in-the-loop checkpoints at which curators review and correct machine output, reflecting once again the Education 5.0 commitment to augmentation rather than wholesale automation.</w:t>
      </w:r>
    </w:p>
    <w:p>
      <w:pPr>
        <w:pStyle w:val="TableCaption"/>
      </w:pPr>
      <w:r>
        <w:t xml:space="preserve">[Insert Table 2 here]</w:t>
      </w:r>
    </w:p>
    <w:p>
      <w:pPr>
        <w:pStyle w:val="TableCaption"/>
      </w:pPr>
      <w:r>
        <w:t xml:space="preserve">Table 2. Mapping the FAIR Principles to AI Capabilities and Associated Risks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FAIR Principle</w:t>
            </w:r>
          </w:p>
        </w:tc>
        <w:tc>
          <w:tcPr>
            <w:shd w:val="clear" w:color="auto" w:fill="D9E2F3"/>
          </w:tcPr>
          <w:p>
            <w:pPr>
              <w:jc w:val="center"/>
            </w:pPr>
            <w:r>
              <w:rPr>
                <w:b/>
              </w:rPr>
              <w:t xml:space="preserve">Enabling AI Capability</w:t>
            </w:r>
          </w:p>
        </w:tc>
        <w:tc>
          <w:tcPr>
            <w:shd w:val="clear" w:color="auto" w:fill="D9E2F3"/>
          </w:tcPr>
          <w:p>
            <w:pPr>
              <w:jc w:val="center"/>
            </w:pPr>
            <w:r>
              <w:rPr>
                <w:b/>
              </w:rPr>
              <w:t xml:space="preserve">Example Function</w:t>
            </w:r>
          </w:p>
        </w:tc>
        <w:tc>
          <w:tcPr>
            <w:shd w:val="clear" w:color="auto" w:fill="D9E2F3"/>
          </w:tcPr>
          <w:p>
            <w:pPr>
              <w:jc w:val="center"/>
            </w:pPr>
            <w:r>
              <w:rPr>
                <w:b/>
              </w:rPr>
              <w:t xml:space="preserve">Key Risk Requiring Oversight</w:t>
            </w:r>
          </w:p>
        </w:tc>
      </w:tr>
      <w:tr>
        <w:tc>
          <w:p>
            <w:pPr>
              <w:spacing w:after="40"/>
            </w:pPr>
            <w:r>
              <w:t xml:space="preserve">Findable</w:t>
            </w:r>
          </w:p>
        </w:tc>
        <w:tc>
          <w:p>
            <w:pPr>
              <w:spacing w:after="40"/>
            </w:pPr>
            <w:r>
              <w:t xml:space="preserve">NLP metadata generation; auto-identifiers</w:t>
            </w:r>
          </w:p>
        </w:tc>
        <w:tc>
          <w:p>
            <w:pPr>
              <w:spacing w:after="40"/>
            </w:pPr>
            <w:r>
              <w:t xml:space="preserve">Keyword tagging, rich descriptions</w:t>
            </w:r>
          </w:p>
        </w:tc>
        <w:tc>
          <w:p>
            <w:pPr>
              <w:spacing w:after="40"/>
            </w:pPr>
            <w:r>
              <w:t xml:space="preserve">Inaccurate or incomplete metadata</w:t>
            </w:r>
          </w:p>
        </w:tc>
      </w:tr>
      <w:tr>
        <w:tc>
          <w:p>
            <w:pPr>
              <w:spacing w:after="40"/>
            </w:pPr>
            <w:r>
              <w:t xml:space="preserve">Accessible</w:t>
            </w:r>
          </w:p>
        </w:tc>
        <w:tc>
          <w:p>
            <w:pPr>
              <w:spacing w:after="40"/>
            </w:pPr>
            <w:r>
              <w:t xml:space="preserve">ML sensitivity classification</w:t>
            </w:r>
          </w:p>
        </w:tc>
        <w:tc>
          <w:p>
            <w:pPr>
              <w:spacing w:after="40"/>
            </w:pPr>
            <w:r>
              <w:t xml:space="preserve">Access-tier assignment, licence checks</w:t>
            </w:r>
          </w:p>
        </w:tc>
        <w:tc>
          <w:p>
            <w:pPr>
              <w:spacing w:after="40"/>
            </w:pPr>
            <w:r>
              <w:t xml:space="preserve">Misclassification of sensitive data</w:t>
            </w:r>
          </w:p>
        </w:tc>
      </w:tr>
      <w:tr>
        <w:tc>
          <w:p>
            <w:pPr>
              <w:spacing w:after="40"/>
            </w:pPr>
            <w:r>
              <w:t xml:space="preserve">Interoperable</w:t>
            </w:r>
          </w:p>
        </w:tc>
        <w:tc>
          <w:p>
            <w:pPr>
              <w:spacing w:after="40"/>
            </w:pPr>
            <w:r>
              <w:t xml:space="preserve">Entity recognition; ontology mapping</w:t>
            </w:r>
          </w:p>
        </w:tc>
        <w:tc>
          <w:p>
            <w:pPr>
              <w:spacing w:after="40"/>
            </w:pPr>
            <w:r>
              <w:t xml:space="preserve">Standardized vocabulary annotation</w:t>
            </w:r>
          </w:p>
        </w:tc>
        <w:tc>
          <w:p>
            <w:pPr>
              <w:spacing w:after="40"/>
            </w:pPr>
            <w:r>
              <w:t xml:space="preserve">Erroneous semantic alignment</w:t>
            </w:r>
          </w:p>
        </w:tc>
      </w:tr>
      <w:tr>
        <w:tc>
          <w:p>
            <w:pPr>
              <w:spacing w:after="40"/>
            </w:pPr>
            <w:r>
              <w:t xml:space="preserve">Reusable</w:t>
            </w:r>
          </w:p>
        </w:tc>
        <w:tc>
          <w:p>
            <w:pPr>
              <w:spacing w:after="40"/>
            </w:pPr>
            <w:r>
              <w:t xml:space="preserve">Provenance extraction; quality scoring</w:t>
            </w:r>
          </w:p>
        </w:tc>
        <w:tc>
          <w:p>
            <w:pPr>
              <w:spacing w:after="40"/>
            </w:pPr>
            <w:r>
              <w:t xml:space="preserve">Method capture, completeness checks</w:t>
            </w:r>
          </w:p>
        </w:tc>
        <w:tc>
          <w:p>
            <w:pPr>
              <w:spacing w:after="40"/>
            </w:pPr>
            <w:r>
              <w:t xml:space="preserve">Undetected quality or context loss</w:t>
            </w:r>
          </w:p>
        </w:tc>
      </w:tr>
    </w:tbl>
    <w:p>
      <w:pPr>
        <w:pStyle w:val="Normal"/>
      </w:pPr>
      <w:r>
        <w:t xml:space="preserve">The cumulative effect of AI-driven RDM is to convert data curation from a manual, after-the-fact chore into a continuous, largely automated process embedded in the research workflow. This not only improves compliance with FAIR mandates but also enhances the reproducibility and reusability of the scientific record. Well-curated, FAIR data are, moreover, the essential fuel for the AI systems described elsewhere in this chapter, creating a virtuous cycle in which better data management enables better AI, which in turn improves data management.</w:t>
      </w:r>
    </w:p>
    <w:p>
      <w:pPr>
        <w:pStyle w:val="Heading1"/>
      </w:pPr>
      <w:r>
        <w:t xml:space="preserve">4. Optimizing Research Workflows</w:t>
      </w:r>
    </w:p>
    <w:p>
      <w:pPr>
        <w:pStyle w:val="Heading2"/>
      </w:pPr>
      <w:r>
        <w:t xml:space="preserve">4.1 Intelligent Experimental Design and Autonomous Experimentation</w:t>
      </w:r>
    </w:p>
    <w:p>
      <w:pPr>
        <w:pStyle w:val="Normal"/>
      </w:pPr>
      <w:r>
        <w:t xml:space="preserve">The third phase of the research life cycle—the execution of research workflows, including the design and conduct of experiments—is being reshaped by AI methods that make experimentation more efficient and, in the limit, autonomous. Intelligent experimental design uses machine learning to choose which experiments to run next so as to extract the most information or approach an optimum with the fewest trials. Bayesian optimization and active learning are the workhorses of this approach: they build a probabilistic surrogate model of the relationship between experimental parameters and outcomes, then use that model to select the most informative next experiment, iterating until the objective is met. This transforms experimentation from an exhaustive or intuition-guided search into a principled, model-driven process, dramatically reducing the number of costly experiments required to characterize a system or discover a material.</w:t>
      </w:r>
    </w:p>
    <w:p>
      <w:pPr>
        <w:pStyle w:val="Normal"/>
      </w:pPr>
      <w:r>
        <w:t xml:space="preserve">The logical endpoint of intelligent experimental design is the self-driving laboratory, in which AI planning, robotic execution, and automated characterization are integrated into a closed loop that designs, performs, and interprets experiments with minimal human intervention. Early demonstrations established the feasibility of autonomous scientific discovery: a robotic system was shown to autonomously generate and test hypotheses in functional genomics, physically performing experiments and interpreting results to derive new knowledge (King et al., 2009). Subsequent platforms have automated chemical synthesis and reaction optimization (Coley et al., 2019), and a mobile robotic chemist has been demonstrated that autonomously conducted thousands of experiments over days to optimize photocatalysts, navigating a vast parameter space that would have overwhelmed manual search (Burger et al., 2020). Figure 3 illustrates the AI-augmented research workflow, from hypothesis and intelligent design through autonomous or human-conducted experimentation to automated analysis and documentation.</w:t>
      </w:r>
    </w:p>
    <w:p>
      <w:pPr>
        <w:pStyle w:val="FigureImage"/>
      </w:pPr>
      <w:r>
        <w:drawing>
          <wp:inline xmlns:wp="http://schemas.openxmlformats.org/drawingml/2006/wordprocessingDrawing" distT="0" distB="0" distL="0" distR="0">
            <wp:extent cx="5486400" cy="3176336"/>
            <wp:effectExtent l="0" t="0" r="0" b="0"/>
            <wp:docPr id="1003" name="Figure_3_Research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Research_Workflow.png"/>
                    <pic:cNvPicPr/>
                  </pic:nvPicPr>
                  <pic:blipFill>
                    <a:blip xmlns:r="http://schemas.openxmlformats.org/officeDocument/2006/relationships" r:embed="rIdImg3"/>
                    <a:stretch>
                      <a:fillRect/>
                    </a:stretch>
                  </pic:blipFill>
                  <pic:spPr>
                    <a:xfrm>
                      <a:off x="0" y="0"/>
                      <a:ext cx="5486400" cy="3176336"/>
                    </a:xfrm>
                    <a:prstGeom prst="rect">
                      <a:avLst/>
                    </a:prstGeom>
                  </pic:spPr>
                </pic:pic>
              </a:graphicData>
            </a:graphic>
          </wp:inline>
        </w:drawing>
      </w:r>
    </w:p>
    <w:p>
      <w:pPr>
        <w:pStyle w:val="FigureCaption"/>
      </w:pPr>
      <w:r>
        <w:t xml:space="preserve">Figure 3. AI-Augmented Research Workflow: From Intelligent Design to Automated Documentation</w:t>
      </w:r>
    </w:p>
    <w:p>
      <w:pPr>
        <w:pStyle w:val="Heading2"/>
      </w:pPr>
      <w:r>
        <w:t xml:space="preserve">4.2 Automated Laboratory Documentation and Reproducible Analysis</w:t>
      </w:r>
    </w:p>
    <w:p>
      <w:pPr>
        <w:pStyle w:val="Normal"/>
      </w:pPr>
      <w:r>
        <w:t xml:space="preserve">A complementary strand of workflow optimization is the use of high-fidelity simulation and digital twins to conduct experiments in silico before, or instead of, committing physical resources. A digital twin is a continuously updated computational model of a physical system—an engine, a cell culture, a manufacturing line—against which candidate interventions can be tested cheaply and safely. Coupled with the surrogate models and Bayesian optimization described above, digital twins allow the intelligent-design loop to run largely in simulation, reserving costly physical trials for the most promising candidates identified computationally. In engineering disciplines especially, this shifts the balance of experimentation toward model-driven exploration, compressing development cycles and reducing material waste. The reliability of such in-silico experimentation depends, however, on the fidelity of the underlying models and on rigorous validation against physical ground truth, lest optimization converge confidently on artefacts of an inaccurate simulation rather than on real improvements.</w:t>
      </w:r>
    </w:p>
    <w:p>
      <w:pPr>
        <w:pStyle w:val="Normal"/>
      </w:pPr>
      <w:r>
        <w:t xml:space="preserve">Documentation is the connective tissue of reproducible research, yet it is chronically neglected because it competes with the intellectually rewarding work of discovery. AI relieves this burden by automating the capture and structuring of the research record. Electronic laboratory notebooks augmented with NLP can transcribe spoken observations, extract structured parameters from free-text notes, and link protocols, data, and results into a coherent provenance chain. Computer-vision systems can log instrument readings and experimental configurations automatically, and workflow-management tools can record every computational step so that analyses can be re-executed exactly. As indicated in Figure 3, this automated documentation is not a separate activity appended after experimentation but is woven throughout the workflow, capturing provenance as it is generated rather than reconstructing it retrospectively.</w:t>
      </w:r>
    </w:p>
    <w:p>
      <w:pPr>
        <w:pStyle w:val="Normal"/>
      </w:pPr>
      <w:r>
        <w:t xml:space="preserve">The reproducibility benefits are substantial. A large fraction of researchers report having failed to reproduce others' or even their own results, and inadequate documentation of methods, parameters, and data is a leading cause (Baker, 2016). By capturing the complete computational and experimental provenance automatically, AI-augmented documentation makes analyses transparent and repeatable. This is especially critical for computational research, where the reproducibility of AI-based studies themselves is often undermined by undocumented hyperparameters, data-processing steps, and software environments (Gundersen &amp; Kjensmo, 2018). Automated, machine-readable documentation of workflows is thus both a product of AI and a safeguard against the reproducibility failures that AI-heavy research is prone to introduce.</w:t>
      </w:r>
    </w:p>
    <w:p>
      <w:pPr>
        <w:pStyle w:val="Heading2"/>
      </w:pPr>
      <w:r>
        <w:t xml:space="preserve">4.3 Collaboration and Predictive Research-Impact Analysis</w:t>
      </w:r>
    </w:p>
    <w:p>
      <w:pPr>
        <w:pStyle w:val="Normal"/>
      </w:pPr>
      <w:r>
        <w:t xml:space="preserve">Research is increasingly a team enterprise conducted across institutional and disciplinary boundaries, and AI supports the coordination of distributed collaboration. Intelligent project-management tools can allocate tasks based on expertise, predict bottlenecks, and recommend collaborators whose skills or data complement a project's needs. NLP-based tools reconcile terminological differences across disciplines, easing the semantic friction that impedes interdisciplinary teamwork. Recommendation systems surface relevant datasets, methods, and potential partners, effectively extending the semantic-discovery capabilities of phase one into the social dimension of research. These capabilities are particularly valuable in the large, geographically dispersed consortia that characterize contemporary science.</w:t>
      </w:r>
    </w:p>
    <w:p>
      <w:pPr>
        <w:pStyle w:val="Normal"/>
      </w:pPr>
      <w:r>
        <w:t xml:space="preserve">AI also enables predictive research-impact analysis, using models trained on historical publication and citation data to forecast the likely influence of a paper, the emergence of a research front, or the trajectory of a field. Such predictions can inform strategic decisions about where to invest effort and funding, and they underpin newer, more nuanced approaches to research evaluation than raw citation counts allow. The application of machine learning to the science of science—the quantitative study of how research is produced and propagates—has become a productive research area in its own right, offering data-driven insight into the dynamics of discovery (Wang et al., 2023). As with all predictive analytics, however, impact forecasting risks entrenching existing biases by rewarding work that resembles what has succeeded before, a concern taken up in the next section. The workflow depicted in Figure 3 thus closes a loop: the outputs of analysis and documentation feed forward into dissemination and back into the design of subsequent studies.</w:t>
      </w:r>
    </w:p>
    <w:p>
      <w:pPr>
        <w:pStyle w:val="Heading1"/>
      </w:pPr>
      <w:r>
        <w:t xml:space="preserve">5. AI in Scholarly Communication, Peer Review, and Research Evaluation</w:t>
      </w:r>
    </w:p>
    <w:p>
      <w:pPr>
        <w:pStyle w:val="Heading2"/>
      </w:pPr>
      <w:r>
        <w:t xml:space="preserve">5.1 Transforming Scholarly Communication and Peer Review</w:t>
      </w:r>
    </w:p>
    <w:p>
      <w:pPr>
        <w:pStyle w:val="Normal"/>
      </w:pPr>
      <w:r>
        <w:t xml:space="preserve">The fourth phase of the research life cycle—communicating and evaluating research—is under acute strain from the same growth in output that pressures the earlier phases. The volunteer peer-review system, in particular, struggles to match a rising tide of submissions with a finite pool of qualified, willing reviewers. AI assists at several points in this pipeline. NLP-based reviewer-matching systems analyse the content of a submission and the publication histories of potential reviewers to recommend expert, conflict-free matches far more efficiently than manual assignment. Automated screening tools check submissions for plagiarism, statistical errors, image manipulation, and compliance with reporting standards before human review begins, catching problems that overburdened reviewers might miss (Chubb, Cowling, &amp; Reed, 2022). Experimental studies of AI-assisted peer review suggest that machine support can improve consistency and reduce reviewer workload, though they also caution that automated quality assessment remains far from able to replace expert judgment (Checco et al., 2021).</w:t>
      </w:r>
    </w:p>
    <w:p>
      <w:pPr>
        <w:pStyle w:val="Normal"/>
      </w:pPr>
      <w:r>
        <w:t xml:space="preserve">AI is also reshaping the formats and channels through which research is communicated, reinforcing the broader open-science movement. The rise of preprint servers has accelerated the dissemination of findings ahead of formal peer review, and AI tools help readers cope with the resulting deluge by generating plain-language summaries, translating articles across languages, and recommending relevant preprints tailored to a scholar's interests. Automated summarization can render technical results accessible to policymakers, practitioners, and the public, broadening the reach and societal impact of scholarship. At the same time, the same generative capabilities that democratize communication can be misused to mass-produce superficially credible but low-quality or fraudulent content, straining the mechanisms by which the community filters signal from noise. The net effect of AI on scholarly communication will therefore depend on whether the tools that help produce content are matched by equally capable tools—and norms—for verifying it, a theme that connects directly to the integrity concerns examined in Section 6.</w:t>
      </w:r>
    </w:p>
    <w:p>
      <w:pPr>
        <w:pStyle w:val="Normal"/>
      </w:pPr>
      <w:r>
        <w:t xml:space="preserve">Generative LLMs are now entering the writing and reviewing process directly, with far-reaching implications. Researchers use them to draft, edit, and translate manuscripts, lowering language barriers that have long disadvantaged non-native English speakers, and some reviewers have begun using them to help compose reports. This has prompted urgent debate within the scholarly community about disclosure, quality, and integrity, because LLM-generated text can be fluent yet subtly inaccurate, and its use in confidential peer review raises confidentiality concerns (Stokel-Walker &amp; Van Noorden, 2023). Publishers have responded by developing policies that permit AI assistance for language while prohibiting the uploading of confidential manuscripts to external services and requiring disclosure of AI use, issues examined further in Section 6.</w:t>
      </w:r>
    </w:p>
    <w:p>
      <w:pPr>
        <w:pStyle w:val="Heading2"/>
      </w:pPr>
      <w:r>
        <w:t xml:space="preserve">5.2 Cross-Disciplinary Case Studies</w:t>
      </w:r>
    </w:p>
    <w:p>
      <w:pPr>
        <w:pStyle w:val="Normal"/>
      </w:pPr>
      <w:r>
        <w:t xml:space="preserve">The transformation of scholarly practice by AI is not uniform across fields; disciplines differ in their data types, epistemic norms, and receptiveness to automation. Table 3 summarizes illustrative case studies from four broad domains—biomedical sciences, social sciences, engineering, and humanities—showing how AI is applied and what discipline-specific tensions arise. As Table 3 makes clear, the biomedical sciences have moved fastest, driven by the volume of clinical literature and the maturity of structured biomedical data, whereas the humanities engage AI more cautiously and often reflexively, treating the technology as an object of critical inquiry as much as a tool.</w:t>
      </w:r>
    </w:p>
    <w:p>
      <w:pPr>
        <w:pStyle w:val="TableCaption"/>
      </w:pPr>
      <w:r>
        <w:t xml:space="preserve">[Insert Table 3 here]</w:t>
      </w:r>
    </w:p>
    <w:p>
      <w:pPr>
        <w:pStyle w:val="TableCaption"/>
      </w:pPr>
      <w:r>
        <w:t xml:space="preserve">Table 3. Cross-Disciplinary Case Studies of AI in Research and Scholarly Communication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Discipline</w:t>
            </w:r>
          </w:p>
        </w:tc>
        <w:tc>
          <w:tcPr>
            <w:shd w:val="clear" w:color="auto" w:fill="D9E2F3"/>
          </w:tcPr>
          <w:p>
            <w:pPr>
              <w:jc w:val="center"/>
            </w:pPr>
            <w:r>
              <w:rPr>
                <w:b/>
              </w:rPr>
              <w:t xml:space="preserve">Representative AI Application</w:t>
            </w:r>
          </w:p>
        </w:tc>
        <w:tc>
          <w:tcPr>
            <w:shd w:val="clear" w:color="auto" w:fill="D9E2F3"/>
          </w:tcPr>
          <w:p>
            <w:pPr>
              <w:jc w:val="center"/>
            </w:pPr>
            <w:r>
              <w:rPr>
                <w:b/>
              </w:rPr>
              <w:t xml:space="preserve">Illustrative Benefit</w:t>
            </w:r>
          </w:p>
        </w:tc>
        <w:tc>
          <w:tcPr>
            <w:shd w:val="clear" w:color="auto" w:fill="D9E2F3"/>
          </w:tcPr>
          <w:p>
            <w:pPr>
              <w:jc w:val="center"/>
            </w:pPr>
            <w:r>
              <w:rPr>
                <w:b/>
              </w:rPr>
              <w:t xml:space="preserve">Discipline-Specific Tension</w:t>
            </w:r>
          </w:p>
        </w:tc>
      </w:tr>
      <w:tr>
        <w:tc>
          <w:p>
            <w:pPr>
              <w:spacing w:after="40"/>
            </w:pPr>
            <w:r>
              <w:t xml:space="preserve">Biomedical sciences</w:t>
            </w:r>
          </w:p>
        </w:tc>
        <w:tc>
          <w:p>
            <w:pPr>
              <w:spacing w:after="40"/>
            </w:pPr>
            <w:r>
              <w:t xml:space="preserve">Automated systematic reviews; literature-based discovery</w:t>
            </w:r>
          </w:p>
        </w:tc>
        <w:tc>
          <w:p>
            <w:pPr>
              <w:spacing w:after="40"/>
            </w:pPr>
            <w:r>
              <w:t xml:space="preserve">Rapid evidence synthesis for clinical guidance</w:t>
            </w:r>
          </w:p>
        </w:tc>
        <w:tc>
          <w:p>
            <w:pPr>
              <w:spacing w:after="40"/>
            </w:pPr>
            <w:r>
              <w:t xml:space="preserve">Patient-data privacy; clinical validity</w:t>
            </w:r>
          </w:p>
        </w:tc>
      </w:tr>
      <w:tr>
        <w:tc>
          <w:p>
            <w:pPr>
              <w:spacing w:after="40"/>
            </w:pPr>
            <w:r>
              <w:t xml:space="preserve">Social sciences</w:t>
            </w:r>
          </w:p>
        </w:tc>
        <w:tc>
          <w:p>
            <w:pPr>
              <w:spacing w:after="40"/>
            </w:pPr>
            <w:r>
              <w:t xml:space="preserve">NLP analysis of large text corpora; survey coding</w:t>
            </w:r>
          </w:p>
        </w:tc>
        <w:tc>
          <w:p>
            <w:pPr>
              <w:spacing w:after="40"/>
            </w:pPr>
            <w:r>
              <w:t xml:space="preserve">Scaling qualitative and mixed-methods analysis</w:t>
            </w:r>
          </w:p>
        </w:tc>
        <w:tc>
          <w:p>
            <w:pPr>
              <w:spacing w:after="40"/>
            </w:pPr>
            <w:r>
              <w:t xml:space="preserve">Interpretive validity; measurement bias</w:t>
            </w:r>
          </w:p>
        </w:tc>
      </w:tr>
      <w:tr>
        <w:tc>
          <w:p>
            <w:pPr>
              <w:spacing w:after="40"/>
            </w:pPr>
            <w:r>
              <w:t xml:space="preserve">Engineering</w:t>
            </w:r>
          </w:p>
        </w:tc>
        <w:tc>
          <w:p>
            <w:pPr>
              <w:spacing w:after="40"/>
            </w:pPr>
            <w:r>
              <w:t xml:space="preserve">Self-driving labs; surrogate modelling and optimization</w:t>
            </w:r>
          </w:p>
        </w:tc>
        <w:tc>
          <w:p>
            <w:pPr>
              <w:spacing w:after="40"/>
            </w:pPr>
            <w:r>
              <w:t xml:space="preserve">Accelerated materials and process discovery</w:t>
            </w:r>
          </w:p>
        </w:tc>
        <w:tc>
          <w:p>
            <w:pPr>
              <w:spacing w:after="40"/>
            </w:pPr>
            <w:r>
              <w:t xml:space="preserve">Data scarcity; safety in physical systems</w:t>
            </w:r>
          </w:p>
        </w:tc>
      </w:tr>
      <w:tr>
        <w:tc>
          <w:p>
            <w:pPr>
              <w:spacing w:after="40"/>
            </w:pPr>
            <w:r>
              <w:t xml:space="preserve">Humanities</w:t>
            </w:r>
          </w:p>
        </w:tc>
        <w:tc>
          <w:p>
            <w:pPr>
              <w:spacing w:after="40"/>
            </w:pPr>
            <w:r>
              <w:t xml:space="preserve">Digital text mining; large-scale corpus analysis</w:t>
            </w:r>
          </w:p>
        </w:tc>
        <w:tc>
          <w:p>
            <w:pPr>
              <w:spacing w:after="40"/>
            </w:pPr>
            <w:r>
              <w:t xml:space="preserve">Distant reading across vast archives</w:t>
            </w:r>
          </w:p>
        </w:tc>
        <w:tc>
          <w:p>
            <w:pPr>
              <w:spacing w:after="40"/>
            </w:pPr>
            <w:r>
              <w:t xml:space="preserve">Contextual nuance; interpretive authority</w:t>
            </w:r>
          </w:p>
        </w:tc>
      </w:tr>
    </w:tbl>
    <w:p>
      <w:pPr>
        <w:pStyle w:val="Normal"/>
      </w:pPr>
      <w:r>
        <w:t xml:space="preserve">In the biomedical sciences, AI-assisted evidence synthesis has compressed the timeline of systematic reviews and enabled continuously updated "living" reviews that keep pace with fast-moving clinical evidence, as the rapid mobilization around large open corpora during the COVID-19 pandemic demonstrated (Wang et al., 2020). In the social sciences, NLP allows researchers to analyse text at a scale that was previously unattainable—coding millions of survey responses, social-media posts, or archival documents—while raising questions about interpretive validity that Table 3 highlights. In engineering, autonomous experimentation and surrogate modelling accelerate the discovery of materials and processes, exemplified by robotic chemistry platforms (Burger et al., 2020). In the humanities, computational text mining supports "distant reading" of archives too vast for any scholar to read closely, even as practitioners insist on preserving the contextual and interpretive nuance that Table 3 identifies as the field's central concern.</w:t>
      </w:r>
    </w:p>
    <w:p>
      <w:pPr>
        <w:pStyle w:val="Heading2"/>
      </w:pPr>
      <w:r>
        <w:t xml:space="preserve">5.3 Rethinking Research-Evaluation Metrics</w:t>
      </w:r>
    </w:p>
    <w:p>
      <w:pPr>
        <w:pStyle w:val="Normal"/>
      </w:pPr>
      <w:r>
        <w:t xml:space="preserve">The evaluation of research has long relied on bibliometric proxies—citation counts, journal impact factors, and the h-index—that are easy to compute but crude and gameable. AI enables richer, more contextual evaluation by analysing the semantic content of citations to distinguish substantive influence from perfunctory reference, by tracking the diffusion of ideas across the knowledge graph, and by incorporating diverse signals of impact including data reuse, software adoption, and societal engagement. These capabilities complement the "altmetrics" movement, which sought to broaden impact measurement beyond citations to include the diverse traces of scholarly influence left across the web (Priem et al., 2010), and they support the responsible-metrics agenda that calls for evaluation to be transparent, contextual, and resistant to gaming. Predictive models of impact, discussed in Section 4, feed into this evolving evaluation ecosystem, though their use in high-stakes assessment must be tempered by the fairness concerns detailed next. The four disciplines contrasted in Table 3 will require correspondingly differentiated evaluation frameworks, since a metric appropriate for the citation-dense biomedical literature may badly misrepresent scholarly value in the humanities.</w:t>
      </w:r>
    </w:p>
    <w:p>
      <w:pPr>
        <w:pStyle w:val="Heading1"/>
      </w:pPr>
      <w:r>
        <w:t xml:space="preserve">6. Ethical and Practical Dilemmas</w:t>
      </w:r>
    </w:p>
    <w:p>
      <w:pPr>
        <w:pStyle w:val="Normal"/>
      </w:pPr>
      <w:r>
        <w:t xml:space="preserve">The integration of AI across the research life cycle introduces a constellation of ethical and practical dilemmas that must be confronted for the technology to serve, rather than subvert, the goals of Education 5.0. Figure 4 organizes these dilemmas into a layered framework of responsible AI in research, in which technical safeguards, institutional governance, and community norms jointly constrain AI use so that it advances rather than erodes scholarly values. The framework draws on the broad principles that recur across the global proliferation of AI-ethics guidelines (Jobin, Ienca, &amp; Vayena, 2019) and on established ethical frameworks for a good AI society that balance beneficence, non-maleficence, autonomy, justice, and explicability (Floridi et al., 2018). This section examines five interlocking concerns—algorithmic bias, data privacy and security, reproducibility, academic integrity, and the digital divide—and Table 4 pairs each with concrete mitigation strategies.</w:t>
      </w:r>
    </w:p>
    <w:p>
      <w:pPr>
        <w:pStyle w:val="FigureImage"/>
      </w:pPr>
      <w:r>
        <w:drawing>
          <wp:inline xmlns:wp="http://schemas.openxmlformats.org/drawingml/2006/wordprocessingDrawing" distT="0" distB="0" distL="0" distR="0">
            <wp:extent cx="5486400" cy="3392905"/>
            <wp:effectExtent l="0" t="0" r="0" b="0"/>
            <wp:docPr id="1004" name="Figure_4_Responsible_AI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Responsible_AI_Framework.png"/>
                    <pic:cNvPicPr/>
                  </pic:nvPicPr>
                  <pic:blipFill>
                    <a:blip xmlns:r="http://schemas.openxmlformats.org/officeDocument/2006/relationships" r:embed="rIdImg4"/>
                    <a:stretch>
                      <a:fillRect/>
                    </a:stretch>
                  </pic:blipFill>
                  <pic:spPr>
                    <a:xfrm>
                      <a:off x="0" y="0"/>
                      <a:ext cx="5486400" cy="3392905"/>
                    </a:xfrm>
                    <a:prstGeom prst="rect">
                      <a:avLst/>
                    </a:prstGeom>
                  </pic:spPr>
                </pic:pic>
              </a:graphicData>
            </a:graphic>
          </wp:inline>
        </w:drawing>
      </w:r>
    </w:p>
    <w:p>
      <w:pPr>
        <w:pStyle w:val="FigureCaption"/>
      </w:pPr>
      <w:r>
        <w:t xml:space="preserve">Figure 4. A Layered Framework for Responsible AI in Research</w:t>
      </w:r>
    </w:p>
    <w:p>
      <w:pPr>
        <w:pStyle w:val="Heading2"/>
      </w:pPr>
      <w:r>
        <w:t xml:space="preserve">6.1 Algorithmic Bias in Discovery and Evaluation</w:t>
      </w:r>
    </w:p>
    <w:p>
      <w:pPr>
        <w:pStyle w:val="Normal"/>
      </w:pPr>
      <w:r>
        <w:t xml:space="preserve">AI systems learn from historical data and therefore inherit and can amplify the biases embedded in that data. In research support, algorithmic bias manifests in several ways. Literature-recommendation and search systems trained on citation patterns tend to reinforce the visibility of already-prominent authors, institutions, and geographies, deepening the "Matthew effect" by which the well-cited become more cited still. Predictive impact models risk penalizing novel or interdisciplinary work that does not resemble past successes, and evaluation algorithms may encode gender, linguistic, or regional biases present in their training data. The general problem of bias and fairness in machine learning is now well characterized, with numerous distinct sources of bias identified across the data-to-model pipeline (Mehrabi et al., 2021). The stakes are not merely technical; as scholarship on the social consequences of search and ranking systems has shown, apparently neutral algorithms can systematically marginalize particular groups and viewpoints (Noble, 2018). As Figure 4 emphasizes, mitigating bias requires intervention at the technical layer—through bias auditing and diverse training data—but also at the governance layer, through transparency and accountability.</w:t>
      </w:r>
    </w:p>
    <w:p>
      <w:pPr>
        <w:pStyle w:val="Heading2"/>
      </w:pPr>
      <w:r>
        <w:t xml:space="preserve">6.2 Data Privacy and Security in Cloud-Based Research</w:t>
      </w:r>
    </w:p>
    <w:p>
      <w:pPr>
        <w:pStyle w:val="Normal"/>
      </w:pPr>
      <w:r>
        <w:t xml:space="preserve">Much AI-driven research support is delivered through cloud-based platforms, which raise significant privacy and security concerns. Sensitive research data—patient records, personally identifiable survey responses, proprietary industrial data—may be processed on third-party infrastructure whose security and data-handling practices the researcher cannot fully verify. The use of external LLM services compounds this risk: text submitted to a commercial model may be retained, used for further training, or exposed, making the uploading of confidential or unpublished material hazardous. These concerns are especially acute in the biomedical domain identified in Table 3, where the re-identification of ostensibly anonymized data is a persistent threat. Privacy-preserving techniques—including federated learning, differential privacy, and on-premises or self-hosted models—offer partial solutions, and Table 4 catalogues these among its recommended mitigations. Robust data-governance policies and secure infrastructure, situated at the governance layer of Figure 4, are indispensable complements to these technical measures.</w:t>
      </w:r>
    </w:p>
    <w:p>
      <w:pPr>
        <w:pStyle w:val="Heading2"/>
      </w:pPr>
      <w:r>
        <w:t xml:space="preserve">6.3 Reproducibility of AI-Generated Insights</w:t>
      </w:r>
    </w:p>
    <w:p>
      <w:pPr>
        <w:pStyle w:val="Normal"/>
      </w:pPr>
      <w:r>
        <w:t xml:space="preserve">AI introduces a distinctive reproducibility challenge: insights generated by complex, sometimes opaque, and frequently updated models may not be reproducible even in principle. When a study's conclusions depend on a proprietary model whose weights and training data are inaccessible and subject to change, other researchers cannot verify or replicate the analysis. Generative models compound the problem, since their outputs are stochastic and can vary between runs. This exacerbates an already serious reproducibility crisis across the sciences (Baker, 2016) and within computational research specifically, where undocumented experimental details routinely prevent replication (Gundersen &amp; Kjensmo, 2018). Mitigation, as Table 4 details, requires documenting model versions, parameters, and prompts; preferring open and versioned models where feasible; and treating AI-generated insights as hypotheses to be validated rather than conclusions to be trusted. The technical layer of Figure 4 accordingly foregrounds transparency and provenance capture as prerequisites for trustworthy AI-assisted inference.</w:t>
      </w:r>
    </w:p>
    <w:p>
      <w:pPr>
        <w:pStyle w:val="Heading2"/>
      </w:pPr>
      <w:r>
        <w:t xml:space="preserve">6.4 Academic Integrity and Attribution</w:t>
      </w:r>
    </w:p>
    <w:p>
      <w:pPr>
        <w:pStyle w:val="Normal"/>
      </w:pPr>
      <w:r>
        <w:t xml:space="preserve">The use of generative AI in scholarly writing raises pressing questions of authorship, attribution, and honesty. There is broad consensus in the scholarly community that AI systems cannot be authors, because they cannot take responsibility for the content or accountability for its integrity (Thorp, 2023). Undisclosed use of AI to generate text, the presentation of AI output as one's own original work, and the fabrication of data or citations by hallucinating models all threaten the integrity of the scholarly record. The danger is not hypothetical: studies have shown that AI-generated abstracts can be convincing enough to deceive expert reviewers, blurring the line between legitimate assistance and misconduct (Else, 2023). Emerging ethical frameworks call for transparent disclosure of AI use, clear delineation of human and machine contributions, and retention of human responsibility for all claims (Hosseini et al., 2023). These norms, located at the community-norms layer of Figure 4, must be socialized through training and reinforced through policy, as summarized in Table 4.</w:t>
      </w:r>
    </w:p>
    <w:p>
      <w:pPr>
        <w:pStyle w:val="Heading2"/>
      </w:pPr>
      <w:r>
        <w:t xml:space="preserve">6.5 The Digital Divide and Research Inequality</w:t>
      </w:r>
    </w:p>
    <w:p>
      <w:pPr>
        <w:pStyle w:val="Normal"/>
      </w:pPr>
      <w:r>
        <w:t xml:space="preserve">Perhaps the most consequential dilemma for the equitable ideals of Education 5.0 is the risk that AI will deepen rather than diminish research inequality. State-of-the-art AI capabilities depend on expensive computational infrastructure, costly commercial subscriptions, large curated datasets, and specialized expertise—resources concentrated in well-funded institutions and wealthy nations. If access to AI research support tracks existing advantage, the productivity gains AI confers will accrue disproportionately to the already-privileged, widening the gap between well-resourced and under-resourced institutions and further marginalizing researchers in the Global South. Countering this divide, as Table 4 recommends, requires deliberate investment in open-source models, shared and subsidized infrastructure, capacity building, and inclusive design. This concern spans all three layers of Figure 4, because closing the divide demands technical openness, institutional and funder policy, and a community norm that treats equitable access as integral to responsible AI rather than an optional add-on.</w:t>
      </w:r>
    </w:p>
    <w:p>
      <w:pPr>
        <w:pStyle w:val="TableCaption"/>
      </w:pPr>
      <w:r>
        <w:t xml:space="preserve">[Insert Table 4 here]</w:t>
      </w:r>
    </w:p>
    <w:p>
      <w:pPr>
        <w:pStyle w:val="TableCaption"/>
      </w:pPr>
      <w:r>
        <w:t xml:space="preserve">Table 4. Ethical and Practical Dilemmas of AI in Research and Their Mitigation Strategies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Dilemma</w:t>
            </w:r>
          </w:p>
        </w:tc>
        <w:tc>
          <w:tcPr>
            <w:shd w:val="clear" w:color="auto" w:fill="D9E2F3"/>
          </w:tcPr>
          <w:p>
            <w:pPr>
              <w:jc w:val="center"/>
            </w:pPr>
            <w:r>
              <w:rPr>
                <w:b/>
              </w:rPr>
              <w:t xml:space="preserve">Manifestation in Research</w:t>
            </w:r>
          </w:p>
        </w:tc>
        <w:tc>
          <w:tcPr>
            <w:shd w:val="clear" w:color="auto" w:fill="D9E2F3"/>
          </w:tcPr>
          <w:p>
            <w:pPr>
              <w:jc w:val="center"/>
            </w:pPr>
            <w:r>
              <w:rPr>
                <w:b/>
              </w:rPr>
              <w:t xml:space="preserve">Mitigation Strategy</w:t>
            </w:r>
          </w:p>
        </w:tc>
        <w:tc>
          <w:tcPr>
            <w:shd w:val="clear" w:color="auto" w:fill="D9E2F3"/>
          </w:tcPr>
          <w:p>
            <w:pPr>
              <w:jc w:val="center"/>
            </w:pPr>
            <w:r>
              <w:rPr>
                <w:b/>
              </w:rPr>
              <w:t xml:space="preserve">Responsible Actor</w:t>
            </w:r>
          </w:p>
        </w:tc>
      </w:tr>
      <w:tr>
        <w:tc>
          <w:p>
            <w:pPr>
              <w:spacing w:after="40"/>
            </w:pPr>
            <w:r>
              <w:t xml:space="preserve">Algorithmic bias</w:t>
            </w:r>
          </w:p>
        </w:tc>
        <w:tc>
          <w:p>
            <w:pPr>
              <w:spacing w:after="40"/>
            </w:pPr>
            <w:r>
              <w:t xml:space="preserve">Reinforced visibility of prominent work; biased evaluation</w:t>
            </w:r>
          </w:p>
        </w:tc>
        <w:tc>
          <w:p>
            <w:pPr>
              <w:spacing w:after="40"/>
            </w:pPr>
            <w:r>
              <w:t xml:space="preserve">Bias auditing, diverse data, transparency</w:t>
            </w:r>
          </w:p>
        </w:tc>
        <w:tc>
          <w:p>
            <w:pPr>
              <w:spacing w:after="40"/>
            </w:pPr>
            <w:r>
              <w:t xml:space="preserve">Developers, institutions</w:t>
            </w:r>
          </w:p>
        </w:tc>
      </w:tr>
      <w:tr>
        <w:tc>
          <w:p>
            <w:pPr>
              <w:spacing w:after="40"/>
            </w:pPr>
            <w:r>
              <w:t xml:space="preserve">Privacy &amp; security</w:t>
            </w:r>
          </w:p>
        </w:tc>
        <w:tc>
          <w:p>
            <w:pPr>
              <w:spacing w:after="40"/>
            </w:pPr>
            <w:r>
              <w:t xml:space="preserve">Exposure of sensitive data on cloud/LLM platforms</w:t>
            </w:r>
          </w:p>
        </w:tc>
        <w:tc>
          <w:p>
            <w:pPr>
              <w:spacing w:after="40"/>
            </w:pPr>
            <w:r>
              <w:t xml:space="preserve">Federated learning, differential privacy, self-hosting</w:t>
            </w:r>
          </w:p>
        </w:tc>
        <w:tc>
          <w:p>
            <w:pPr>
              <w:spacing w:after="40"/>
            </w:pPr>
            <w:r>
              <w:t xml:space="preserve">Institutions, researchers</w:t>
            </w:r>
          </w:p>
        </w:tc>
      </w:tr>
      <w:tr>
        <w:tc>
          <w:p>
            <w:pPr>
              <w:spacing w:after="40"/>
            </w:pPr>
            <w:r>
              <w:t xml:space="preserve">Reproducibility</w:t>
            </w:r>
          </w:p>
        </w:tc>
        <w:tc>
          <w:p>
            <w:pPr>
              <w:spacing w:after="40"/>
            </w:pPr>
            <w:r>
              <w:t xml:space="preserve">Non-replicable, stochastic AI-generated insights</w:t>
            </w:r>
          </w:p>
        </w:tc>
        <w:tc>
          <w:p>
            <w:pPr>
              <w:spacing w:after="40"/>
            </w:pPr>
            <w:r>
              <w:t xml:space="preserve">Version/prompt documentation, open models, validation</w:t>
            </w:r>
          </w:p>
        </w:tc>
        <w:tc>
          <w:p>
            <w:pPr>
              <w:spacing w:after="40"/>
            </w:pPr>
            <w:r>
              <w:t xml:space="preserve">Researchers, publishers</w:t>
            </w:r>
          </w:p>
        </w:tc>
      </w:tr>
      <w:tr>
        <w:tc>
          <w:p>
            <w:pPr>
              <w:spacing w:after="40"/>
            </w:pPr>
            <w:r>
              <w:t xml:space="preserve">Academic integrity</w:t>
            </w:r>
          </w:p>
        </w:tc>
        <w:tc>
          <w:p>
            <w:pPr>
              <w:spacing w:after="40"/>
            </w:pPr>
            <w:r>
              <w:t xml:space="preserve">Undisclosed AI text; fabricated citations</w:t>
            </w:r>
          </w:p>
        </w:tc>
        <w:tc>
          <w:p>
            <w:pPr>
              <w:spacing w:after="40"/>
            </w:pPr>
            <w:r>
              <w:t xml:space="preserve">Disclosure norms, human accountability, detection</w:t>
            </w:r>
          </w:p>
        </w:tc>
        <w:tc>
          <w:p>
            <w:pPr>
              <w:spacing w:after="40"/>
            </w:pPr>
            <w:r>
              <w:t xml:space="preserve">Researchers, editors</w:t>
            </w:r>
          </w:p>
        </w:tc>
      </w:tr>
      <w:tr>
        <w:tc>
          <w:p>
            <w:pPr>
              <w:spacing w:after="40"/>
            </w:pPr>
            <w:r>
              <w:t xml:space="preserve">Digital divide</w:t>
            </w:r>
          </w:p>
        </w:tc>
        <w:tc>
          <w:p>
            <w:pPr>
              <w:spacing w:after="40"/>
            </w:pPr>
            <w:r>
              <w:t xml:space="preserve">Concentration of AI capability among the well-funded</w:t>
            </w:r>
          </w:p>
        </w:tc>
        <w:tc>
          <w:p>
            <w:pPr>
              <w:spacing w:after="40"/>
            </w:pPr>
            <w:r>
              <w:t xml:space="preserve">Open models, shared infrastructure, capacity building</w:t>
            </w:r>
          </w:p>
        </w:tc>
        <w:tc>
          <w:p>
            <w:pPr>
              <w:spacing w:after="40"/>
            </w:pPr>
            <w:r>
              <w:t xml:space="preserve">Funders, institutions</w:t>
            </w:r>
          </w:p>
        </w:tc>
      </w:tr>
    </w:tbl>
    <w:p>
      <w:pPr>
        <w:pStyle w:val="Normal"/>
      </w:pPr>
      <w:r>
        <w:t xml:space="preserve">Taken together, the dilemmas catalogued in Table 4 and the layered safeguards depicted in Figure 4 underscore that the responsible use of AI in research is not achieved by any single measure but by the coordinated action of developers, researchers, institutions, funders, and the scholarly community. The strategic recommendations that follow translate this principle into concrete guidance for each of these actors.</w:t>
      </w:r>
    </w:p>
    <w:p>
      <w:pPr>
        <w:pStyle w:val="Heading1"/>
      </w:pPr>
      <w:r>
        <w:t xml:space="preserve">7. Strategic Recommendations for Responsible AI in Research</w:t>
      </w:r>
    </w:p>
    <w:p>
      <w:pPr>
        <w:pStyle w:val="Heading2"/>
      </w:pPr>
      <w:r>
        <w:t xml:space="preserve">7.1 Recommendations for Academic Institutions</w:t>
      </w:r>
    </w:p>
    <w:p>
      <w:pPr>
        <w:pStyle w:val="Normal"/>
      </w:pPr>
      <w:r>
        <w:t xml:space="preserve">Academic institutions occupy the pivotal position in translating the promise of AI-driven research support into responsible practice, because they set the policies, provide the infrastructure, and cultivate the culture within which researchers work. First, institutions should invest in secure, ideally self-hosted or federated, AI infrastructure so that sensitive research data need not be exposed to third-party services, directly addressing the privacy concerns of Section 6.2. Second, they should establish clear, discipline-sensitive policies governing the use of generative AI in research and writing, specifying disclosure requirements, permissible uses, and accountability expectations consistent with emerging community norms (Hosseini et al., 2023). Third, institutions must invest in AI literacy for researchers at all career stages, ensuring that scholars understand both the capabilities and the limitations of the tools they use, in keeping with the human-centred ethos of Education 5.0 (Aithal &amp; Aithal, 2023). Fourth, they should embed AI-driven RDM services—automated metadata generation, quality checking, and FAIR-compliance support—into institutional repositories so that good data practice becomes the path of least resistance (Wilkinson et al., 2016).</w:t>
      </w:r>
    </w:p>
    <w:p>
      <w:pPr>
        <w:pStyle w:val="Normal"/>
      </w:pPr>
      <w:r>
        <w:t xml:space="preserve">Institutions should also reform internal evaluation and reward structures. So long as researchers are assessed primarily on publication counts and citation-based metrics, incentives to invest in data curation, reproducibility, and responsible AI use will remain weak. Aligning recognition with these practices—crediting well-curated FAIR datasets, reproducible workflows, and transparent AI use—is essential to changing behaviour, and requires moving beyond the crude bibliometric proxies critiqued in Section 5.3.</w:t>
      </w:r>
    </w:p>
    <w:p>
      <w:pPr>
        <w:pStyle w:val="Heading2"/>
      </w:pPr>
      <w:r>
        <w:t xml:space="preserve">7.2 Recommendations for Research Funders</w:t>
      </w:r>
    </w:p>
    <w:p>
      <w:pPr>
        <w:pStyle w:val="Normal"/>
      </w:pPr>
      <w:r>
        <w:t xml:space="preserve">Funders shape the research ecosystem through the requirements they impose and the activities they finance, and they therefore bear particular responsibility for countering the digital divide. Funders should mandate and, crucially, fund FAIR data management, recognizing that curation is skilled labour requiring dedicated resources rather than an unfunded expectation (Stall et al., 2019). They should support the development and maintenance of open, shared AI infrastructure and open-source models that lower the barrier to entry for under-resourced institutions, directly mitigating the inequality risk identified in Section 6.5. Funders should also require transparency about AI use in funded research—including documentation of models, data, and methods sufficient for reproducibility—thereby operationalizing the reproducibility safeguards of Figure 4 (Gundersen &amp; Kjensmo, 2018). Finally, funders can catalyse responsible innovation by financing research into the ethical, legal, and social implications of AI in research itself, ensuring that the tools of scholarship are studied with the same rigour as their objects.</w:t>
      </w:r>
    </w:p>
    <w:p>
      <w:pPr>
        <w:pStyle w:val="Heading2"/>
      </w:pPr>
      <w:r>
        <w:t xml:space="preserve">7.3 Recommendations for Individual Researchers</w:t>
      </w:r>
    </w:p>
    <w:p>
      <w:pPr>
        <w:pStyle w:val="Normal"/>
      </w:pPr>
      <w:r>
        <w:t xml:space="preserve">Individual researchers retain ultimate responsibility for the integrity of their work, and several practices follow from the analysis in this chapter. Researchers should treat AI outputs as hypotheses or drafts to be critically verified rather than as authoritative results, applying particular scepticism to citations and factual claims generated by LLMs, which are prone to fabrication (Else, 2023). They should disclose their use of AI transparently and never present machine-generated content as unaided human work or list an AI system as an author (Thorp, 2023). Researchers should document their AI-assisted workflows—recording model versions, parameters, and prompts—so that their analyses remain reproducible. They should attend to the provenance and licensing of the data they use, and prefer privacy-preserving and open tools where sensitive data or reproducibility are at stake. Above all, researchers should cultivate the AI literacy needed to use these powerful tools judiciously, retaining the interpretive and ethical authority that Education 5.0 reserves for the human scholar.</w:t>
      </w:r>
    </w:p>
    <w:p>
      <w:pPr>
        <w:pStyle w:val="Heading2"/>
      </w:pPr>
      <w:r>
        <w:t xml:space="preserve">7.4 Toward Coordinated Governance</w:t>
      </w:r>
    </w:p>
    <w:p>
      <w:pPr>
        <w:pStyle w:val="Normal"/>
      </w:pPr>
      <w:r>
        <w:t xml:space="preserve">The recommendations addressed separately to institutions, funders, and researchers are most effective when they operate in concert, because the dilemmas of Section 6 rarely fall neatly within the remit of any single actor. Algorithmic bias in a literature-recommendation service, for example, originates with the developer, is procured and deployed by the institution, and is experienced by the individual researcher; addressing it requires action at all three levels simultaneously, as the layered framework of Figure 4 makes explicit. Coordinated governance also depends on shared standards and infrastructure that no single institution can economically provide alone—common metadata schemas, interoperable repositories, open evaluation benchmarks, and disclosure conventions—which is precisely why funders and scholarly societies, with their cross-institutional reach, are indispensable to the enterprise. The global convergence of AI-ethics guidelines toward a recurring core of principles offers a foundation for such coordination (Jobin, Ienca, &amp; Vayena, 2019), but principles must be operationalized into the concrete practices catalogued in Table 4 to have effect. The goal is not to constrain innovation but to channel it, ensuring that the considerable power of AI-driven research support is exercised in ways that strengthen, rather than undermine, the trustworthiness of the scholarly record.</w:t>
      </w:r>
    </w:p>
    <w:p>
      <w:pPr>
        <w:pStyle w:val="Heading1"/>
      </w:pPr>
      <w:r>
        <w:t xml:space="preserve">8. Conclusion and Future Directions</w:t>
      </w:r>
    </w:p>
    <w:p>
      <w:pPr>
        <w:pStyle w:val="Normal"/>
      </w:pPr>
      <w:r>
        <w:t xml:space="preserve">Artificial intelligence is reshaping every phase of the research life cycle, from the discovery and synthesis of literature, through the management of research data and the execution of experimental and analytical workflows, to the communication and evaluation of results. As this chapter has argued, these transformations are not merely incremental accelerations of existing tasks but qualitative expansions of what research can feasibly attempt: exhaustive rather than sampled evidence synthesis, continuous rather than episodic data curation, autonomous rather than manual experimentation, and contextual rather than crude evaluation. The AI-augmented research life cycle depicted in Figure 1, and elaborated through the capabilities mapped in Table 1, describes a research enterprise in which human scholars and machine collaborators divide labour according to their respective strengths.</w:t>
      </w:r>
    </w:p>
    <w:p>
      <w:pPr>
        <w:pStyle w:val="Normal"/>
      </w:pPr>
      <w:r>
        <w:t xml:space="preserve">Yet the same capabilities that promise to relieve the pressures of scale, interdisciplinarity, and collaboration also introduce serious dilemmas—algorithmic bias, privacy and security risks, threats to reproducibility, challenges to academic integrity, and the danger of widening research inequality. The layered framework of responsible AI in research presented in Figure 4, together with the mitigation strategies catalogued in Table 4, offers a structured response, but its effectiveness depends on the coordinated action of institutions, funders, and individual researchers, each guided by the strategic recommendations advanced above. The trajectory of scientific discovery in the age of AI will be determined less by the raw power of the technology than by the wisdom with which the scholarly community governs its use (Wang et al., 2023).</w:t>
      </w:r>
    </w:p>
    <w:p>
      <w:pPr>
        <w:pStyle w:val="Normal"/>
      </w:pPr>
      <w:r>
        <w:t xml:space="preserve">Looking ahead, several directions warrant sustained attention. Technically, the development of open, verifiable, and privacy-preserving models suited to the specific needs of research—rather than repurposed consumer products—would address many of the concerns raised here. Methodologically, the community must develop robust standards for documenting, disclosing, and validating AI use so that AI-assisted research is as reproducible and trustworthy as the best traditional scholarship. Institutionally, aligning incentives with responsible practice and investing in equitable access will determine whether AI narrows or widens existing divides. If these challenges are met in the human-centred spirit of Education 5.0, AI can become not a threat to scholarly values but a powerful instrument for realizing them—amplifying human curiosity, rigour, and care in the collective pursuit of knowledge.</w:t>
      </w:r>
    </w:p>
    <w:p>
      <w:pPr>
        <w:pStyle w:val="Heading1"/>
      </w:pPr>
      <w:r>
        <w:t xml:space="preserve">References</w:t>
      </w:r>
    </w:p>
    <w:p>
      <w:pPr>
        <w:pStyle w:val="References"/>
      </w:pPr>
      <w:r>
        <w:t xml:space="preserve">Aithal, P. S., &amp; Aithal, S. (2023). Advanced prospects of Education 5.0 in the context of higher education. </w:t>
      </w:r>
      <w:r>
        <w:rPr>
          <w:i/>
        </w:rPr>
        <w:t xml:space="preserve">International Journal of Applied Engineering and Management Letters</w:t>
      </w:r>
      <w:r>
        <w:t xml:space="preserve">, </w:t>
      </w:r>
      <w:r>
        <w:rPr>
          <w:i/>
        </w:rPr>
        <w:t xml:space="preserve">7</w:t>
      </w:r>
      <w:r>
        <w:t xml:space="preserve">(2), 168–188.</w:t>
      </w:r>
    </w:p>
    <w:p>
      <w:pPr>
        <w:pStyle w:val="References"/>
      </w:pPr>
      <w:r>
        <w:t xml:space="preserve">Baker, M. (2016). 1,500 scientists lift the lid on reproducibility. </w:t>
      </w:r>
      <w:r>
        <w:rPr>
          <w:i/>
        </w:rPr>
        <w:t xml:space="preserve">Nature</w:t>
      </w:r>
      <w:r>
        <w:t xml:space="preserve">, </w:t>
      </w:r>
      <w:r>
        <w:rPr>
          <w:i/>
        </w:rPr>
        <w:t xml:space="preserve">533</w:t>
      </w:r>
      <w:r>
        <w:t xml:space="preserve">(7604), 452–454.</w:t>
      </w:r>
    </w:p>
    <w:p>
      <w:pPr>
        <w:pStyle w:val="References"/>
      </w:pPr>
      <w:r>
        <w:t xml:space="preserve">Beltagy, I., Lo, K., &amp; Cohan, A. (2019). SciBERT: A pretrained language model for scientific text. In </w:t>
      </w:r>
      <w:r>
        <w:rPr>
          <w:i/>
        </w:rPr>
        <w:t xml:space="preserve">Proceedings of the 2019 Conference on Empirical Methods in Natural Language Processing</w:t>
      </w:r>
      <w:r>
        <w:t xml:space="preserve"> (pp. 3615–3620). Association for Computational Linguistics.</w:t>
      </w:r>
    </w:p>
    <w:p>
      <w:pPr>
        <w:pStyle w:val="References"/>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(pp. 610–623). Association for Computing Machinery.</w:t>
      </w:r>
    </w:p>
    <w:p>
      <w:pPr>
        <w:pStyle w:val="References"/>
      </w:pPr>
      <w:r>
        <w:t xml:space="preserve">Borgman, C. L. (2015). </w:t>
      </w:r>
      <w:r>
        <w:rPr>
          <w:i/>
        </w:rPr>
        <w:t xml:space="preserve">Big data, little data, no data: Scholarship in the networked world</w:t>
      </w:r>
      <w:r>
        <w:t xml:space="preserve">. MIT Press.</w:t>
      </w:r>
    </w:p>
    <w:p>
      <w:pPr>
        <w:pStyle w:val="References"/>
      </w:pPr>
      <w:r>
        <w:t xml:space="preserve">Bornmann, L., Haunschild, R., &amp; Mutz, R. (2021). Growth rates of modern science: A latent piecewise growth curve approach to model publication numbers from established and new literature databases. </w:t>
      </w:r>
      <w:r>
        <w:rPr>
          <w:i/>
        </w:rPr>
        <w:t xml:space="preserve">Humanities and Social Sciences Communications</w:t>
      </w:r>
      <w:r>
        <w:t xml:space="preserve">, </w:t>
      </w:r>
      <w:r>
        <w:rPr>
          <w:i/>
        </w:rPr>
        <w:t xml:space="preserve">8</w:t>
      </w:r>
      <w:r>
        <w:t xml:space="preserve">(1), 224.</w:t>
      </w:r>
    </w:p>
    <w:p>
      <w:pPr>
        <w:pStyle w:val="References"/>
      </w:pPr>
      <w:r>
        <w:t xml:space="preserve">Brown, T. B., Mann, B., Ryder, N., Subbiah, M., Kaplan, J., Dhariwal, P., ... &amp; Amodei, D. (2020). Language models are few-shot learners. </w:t>
      </w:r>
      <w:r>
        <w:rPr>
          <w:i/>
        </w:rPr>
        <w:t xml:space="preserve">Advances in Neural Information Processing Systems</w:t>
      </w:r>
      <w:r>
        <w:t xml:space="preserve">, </w:t>
      </w:r>
      <w:r>
        <w:rPr>
          <w:i/>
        </w:rPr>
        <w:t xml:space="preserve">33</w:t>
      </w:r>
      <w:r>
        <w:t xml:space="preserve">, 1877–1901.</w:t>
      </w:r>
    </w:p>
    <w:p>
      <w:pPr>
        <w:pStyle w:val="References"/>
      </w:pPr>
      <w:r>
        <w:t xml:space="preserve">Burger, B., Maffettone, P. M., Gusev, V. V., Aitchison, C. M., Bai, Y., Wang, X., ... &amp; Cooper, A. I. (2020). A mobile robotic chemist. </w:t>
      </w:r>
      <w:r>
        <w:rPr>
          <w:i/>
        </w:rPr>
        <w:t xml:space="preserve">Nature</w:t>
      </w:r>
      <w:r>
        <w:t xml:space="preserve">, </w:t>
      </w:r>
      <w:r>
        <w:rPr>
          <w:i/>
        </w:rPr>
        <w:t xml:space="preserve">583</w:t>
      </w:r>
      <w:r>
        <w:t xml:space="preserve">(7815), 237–241.</w:t>
      </w:r>
    </w:p>
    <w:p>
      <w:pPr>
        <w:pStyle w:val="References"/>
      </w:pPr>
      <w:r>
        <w:t xml:space="preserve">Checco, A., Bracciale, L., Loreti, P., Pinfield, S., &amp; Bianchi, G. (2021). AI-assisted peer review. </w:t>
      </w:r>
      <w:r>
        <w:rPr>
          <w:i/>
        </w:rPr>
        <w:t xml:space="preserve">Humanities and Social Sciences Communications</w:t>
      </w:r>
      <w:r>
        <w:t xml:space="preserve">, </w:t>
      </w:r>
      <w:r>
        <w:rPr>
          <w:i/>
        </w:rPr>
        <w:t xml:space="preserve">8</w:t>
      </w:r>
      <w:r>
        <w:t xml:space="preserve">(1), 25.</w:t>
      </w:r>
    </w:p>
    <w:p>
      <w:pPr>
        <w:pStyle w:val="References"/>
      </w:pPr>
      <w:r>
        <w:t xml:space="preserve">Chubb, J., Cowling, P., &amp; Reed, D. (2022). Speeding up to keep up: Exploring the use of AI in the research process. </w:t>
      </w:r>
      <w:r>
        <w:rPr>
          <w:i/>
        </w:rPr>
        <w:t xml:space="preserve">AI &amp; Society</w:t>
      </w:r>
      <w:r>
        <w:t xml:space="preserve">, </w:t>
      </w:r>
      <w:r>
        <w:rPr>
          <w:i/>
        </w:rPr>
        <w:t xml:space="preserve">37</w:t>
      </w:r>
      <w:r>
        <w:t xml:space="preserve">(4), 1439–1457.</w:t>
      </w:r>
    </w:p>
    <w:p>
      <w:pPr>
        <w:pStyle w:val="References"/>
      </w:pPr>
      <w:r>
        <w:t xml:space="preserve">Coley, C. W., Thomas, D. A., Lummiss, J. A. M., Jaworski, J. N., Breen, C. P., Schultz, V., ... &amp; Jensen, K. F. (2019). A robotic platform for flow synthesis of organic compounds informed by AI planning. </w:t>
      </w:r>
      <w:r>
        <w:rPr>
          <w:i/>
        </w:rPr>
        <w:t xml:space="preserve">Science</w:t>
      </w:r>
      <w:r>
        <w:t xml:space="preserve">, </w:t>
      </w:r>
      <w:r>
        <w:rPr>
          <w:i/>
        </w:rPr>
        <w:t xml:space="preserve">365</w:t>
      </w:r>
      <w:r>
        <w:t xml:space="preserve">(6453), eaax1566.</w:t>
      </w:r>
    </w:p>
    <w:p>
      <w:pPr>
        <w:pStyle w:val="References"/>
      </w:pPr>
      <w:r>
        <w:t xml:space="preserve">Devlin, J., Chang, M. W., Lee, K., &amp; Toutanova, K. (2019). BERT: Pre-training of deep bidirectional transformers for language understanding. In </w:t>
      </w:r>
      <w:r>
        <w:rPr>
          <w:i/>
        </w:rPr>
        <w:t xml:space="preserve">Proceedings of the 2019 Conference of the North American Chapter of the Association for Computational Linguistics</w:t>
      </w:r>
      <w:r>
        <w:t xml:space="preserve"> (pp. 4171–4186).</w:t>
      </w:r>
    </w:p>
    <w:p>
      <w:pPr>
        <w:pStyle w:val="References"/>
      </w:pPr>
      <w:r>
        <w:t xml:space="preserve">Else, H. (2023). Abstracts written by ChatGPT fool scientists. </w:t>
      </w:r>
      <w:r>
        <w:rPr>
          <w:i/>
        </w:rPr>
        <w:t xml:space="preserve">Nature</w:t>
      </w:r>
      <w:r>
        <w:t xml:space="preserve">, </w:t>
      </w:r>
      <w:r>
        <w:rPr>
          <w:i/>
        </w:rPr>
        <w:t xml:space="preserve">613</w:t>
      </w:r>
      <w:r>
        <w:t xml:space="preserve">(7944), 423.</w:t>
      </w:r>
    </w:p>
    <w:p>
      <w:pPr>
        <w:pStyle w:val="References"/>
      </w:pPr>
      <w:r>
        <w:t xml:space="preserve">Extance, A. (2018). How AI technology can tame the scientific literature. </w:t>
      </w:r>
      <w:r>
        <w:rPr>
          <w:i/>
        </w:rPr>
        <w:t xml:space="preserve">Nature</w:t>
      </w:r>
      <w:r>
        <w:t xml:space="preserve">, </w:t>
      </w:r>
      <w:r>
        <w:rPr>
          <w:i/>
        </w:rPr>
        <w:t xml:space="preserve">561</w:t>
      </w:r>
      <w:r>
        <w:t xml:space="preserve">(7722), 273–274.</w:t>
      </w:r>
    </w:p>
    <w:p>
      <w:pPr>
        <w:pStyle w:val="References"/>
      </w:pPr>
      <w:r>
        <w:t xml:space="preserve">Floridi, L., Cowls, J., Beltrametti, M., Chatila, R., Chazerand, P., Dignum, V., ... &amp; Vayena, E. (2018). AI4People—An ethical framework for a good AI society: Opportunities, risks, principles, and recommendations. </w:t>
      </w:r>
      <w:r>
        <w:rPr>
          <w:i/>
        </w:rPr>
        <w:t xml:space="preserve">Minds and Machines</w:t>
      </w:r>
      <w:r>
        <w:t xml:space="preserve">, </w:t>
      </w:r>
      <w:r>
        <w:rPr>
          <w:i/>
        </w:rPr>
        <w:t xml:space="preserve">28</w:t>
      </w:r>
      <w:r>
        <w:t xml:space="preserve">(4), 689–707.</w:t>
      </w:r>
    </w:p>
    <w:p>
      <w:pPr>
        <w:pStyle w:val="References"/>
      </w:pPr>
      <w:r>
        <w:t xml:space="preserve">Gundersen, O. E., &amp; Kjensmo, S. (2018). State of the art: Reproducibility in artificial intelligence. </w:t>
      </w:r>
      <w:r>
        <w:rPr>
          <w:i/>
        </w:rPr>
        <w:t xml:space="preserve">Proceedings of the AAAI Conference on Artificial Intelligence</w:t>
      </w:r>
      <w:r>
        <w:t xml:space="preserve">, </w:t>
      </w:r>
      <w:r>
        <w:rPr>
          <w:i/>
        </w:rPr>
        <w:t xml:space="preserve">32</w:t>
      </w:r>
      <w:r>
        <w:t xml:space="preserve">(1), 1644–1651.</w:t>
      </w:r>
    </w:p>
    <w:p>
      <w:pPr>
        <w:pStyle w:val="References"/>
      </w:pPr>
      <w:r>
        <w:t xml:space="preserve">Hey, T., Tansley, S., &amp; Tolle, K. (Eds.). (2009). </w:t>
      </w:r>
      <w:r>
        <w:rPr>
          <w:i/>
        </w:rPr>
        <w:t xml:space="preserve">The fourth paradigm: Data-intensive scientific discovery</w:t>
      </w:r>
      <w:r>
        <w:t xml:space="preserve">. Microsoft Research.</w:t>
      </w:r>
    </w:p>
    <w:p>
      <w:pPr>
        <w:pStyle w:val="References"/>
      </w:pPr>
      <w:r>
        <w:t xml:space="preserve">Hosseini, M., Rasmussen, L. M., &amp; Resnik, D. B. (2023). Using AI to write scholarly publications. </w:t>
      </w:r>
      <w:r>
        <w:rPr>
          <w:i/>
        </w:rPr>
        <w:t xml:space="preserve">Accountability in Research</w:t>
      </w:r>
      <w:r>
        <w:t xml:space="preserve">, </w:t>
      </w:r>
      <w:r>
        <w:rPr>
          <w:i/>
        </w:rPr>
        <w:t xml:space="preserve">31</w:t>
      </w:r>
      <w:r>
        <w:t xml:space="preserve">(7), 715–723.</w:t>
      </w:r>
    </w:p>
    <w:p>
      <w:pPr>
        <w:pStyle w:val="References"/>
      </w:pPr>
      <w:r>
        <w:t xml:space="preserve">Jacobsen, A., de Miranda Azevedo, R., Juty, N., Batista, D., Coles, S., Cornet, R., ... &amp; Schultes, E. (2020). FAIR principles: Interpretations and implementation considerations. </w:t>
      </w:r>
      <w:r>
        <w:rPr>
          <w:i/>
        </w:rPr>
        <w:t xml:space="preserve">Data Intelligence</w:t>
      </w:r>
      <w:r>
        <w:t xml:space="preserve">, </w:t>
      </w:r>
      <w:r>
        <w:rPr>
          <w:i/>
        </w:rPr>
        <w:t xml:space="preserve">2</w:t>
      </w:r>
      <w:r>
        <w:t xml:space="preserve">(1–2), 10–29.</w:t>
      </w:r>
    </w:p>
    <w:p>
      <w:pPr>
        <w:pStyle w:val="References"/>
      </w:pPr>
      <w:r>
        <w:t xml:space="preserve">Jobin, A., Ienca, M., &amp; Vayena, E. (2019). The global landscape of AI ethics guidelines. </w:t>
      </w:r>
      <w:r>
        <w:rPr>
          <w:i/>
        </w:rPr>
        <w:t xml:space="preserve">Nature Machine Intelligence</w:t>
      </w:r>
      <w:r>
        <w:t xml:space="preserve">, </w:t>
      </w:r>
      <w:r>
        <w:rPr>
          <w:i/>
        </w:rPr>
        <w:t xml:space="preserve">1</w:t>
      </w:r>
      <w:r>
        <w:t xml:space="preserve">(9), 389–399.</w:t>
      </w:r>
    </w:p>
    <w:p>
      <w:pPr>
        <w:pStyle w:val="References"/>
      </w:pPr>
      <w:r>
        <w:t xml:space="preserve">King, R. D., Rowland, J., Oliver, S. G., Young, M., Aubrey, W., Byrne, E., ... &amp; Clare, A. (2009). The automation of science. </w:t>
      </w:r>
      <w:r>
        <w:rPr>
          <w:i/>
        </w:rPr>
        <w:t xml:space="preserve">Science</w:t>
      </w:r>
      <w:r>
        <w:t xml:space="preserve">, </w:t>
      </w:r>
      <w:r>
        <w:rPr>
          <w:i/>
        </w:rPr>
        <w:t xml:space="preserve">324</w:t>
      </w:r>
      <w:r>
        <w:t xml:space="preserve">(5923), 85–89.</w:t>
      </w:r>
    </w:p>
    <w:p>
      <w:pPr>
        <w:pStyle w:val="References"/>
      </w:pPr>
      <w:r>
        <w:t xml:space="preserve">Marshall, I. J., &amp; Wallace, B. C. (2019). Toward systematic review automation: A practical guide to using machine learning tools in research synthesis. </w:t>
      </w:r>
      <w:r>
        <w:rPr>
          <w:i/>
        </w:rPr>
        <w:t xml:space="preserve">Systematic Reviews</w:t>
      </w:r>
      <w:r>
        <w:t xml:space="preserve">, </w:t>
      </w:r>
      <w:r>
        <w:rPr>
          <w:i/>
        </w:rPr>
        <w:t xml:space="preserve">8</w:t>
      </w:r>
      <w:r>
        <w:t xml:space="preserve">(1), 163.</w:t>
      </w:r>
    </w:p>
    <w:p>
      <w:pPr>
        <w:pStyle w:val="References"/>
      </w:pPr>
      <w:r>
        <w:t xml:space="preserve">Mehrabi, N., Morstatter, F., Saxena, N., Lerman, K., &amp; Galstyan, A. (2021). A survey on bias and fairness in machine learning. </w:t>
      </w:r>
      <w:r>
        <w:rPr>
          <w:i/>
        </w:rPr>
        <w:t xml:space="preserve">ACM Computing Surveys</w:t>
      </w:r>
      <w:r>
        <w:t xml:space="preserve">, </w:t>
      </w:r>
      <w:r>
        <w:rPr>
          <w:i/>
        </w:rPr>
        <w:t xml:space="preserve">54</w:t>
      </w:r>
      <w:r>
        <w:t xml:space="preserve">(6), 1–35.</w:t>
      </w:r>
    </w:p>
    <w:p>
      <w:pPr>
        <w:pStyle w:val="References"/>
      </w:pPr>
      <w:r>
        <w:t xml:space="preserve">Mons, B., Neylon, C., Velterop, J., Dumontier, M., da Silva Santos, L. O. B., &amp; Wilkinson, M. D. (2017). Cloudy, increasingly FAIR: Revisiting the FAIR data guiding principles for the European Open Science Cloud. </w:t>
      </w:r>
      <w:r>
        <w:rPr>
          <w:i/>
        </w:rPr>
        <w:t xml:space="preserve">Information Services &amp; Use</w:t>
      </w:r>
      <w:r>
        <w:t xml:space="preserve">, </w:t>
      </w:r>
      <w:r>
        <w:rPr>
          <w:i/>
        </w:rPr>
        <w:t xml:space="preserve">37</w:t>
      </w:r>
      <w:r>
        <w:t xml:space="preserve">(1), 49–56.</w:t>
      </w:r>
    </w:p>
    <w:p>
      <w:pPr>
        <w:pStyle w:val="References"/>
      </w:pPr>
      <w:r>
        <w:t xml:space="preserve">Noble, S. U. (2018). </w:t>
      </w:r>
      <w:r>
        <w:rPr>
          <w:i/>
        </w:rPr>
        <w:t xml:space="preserve">Algorithms of oppression: How search engines reinforce racism</w:t>
      </w:r>
      <w:r>
        <w:t xml:space="preserve">. NYU Press.</w:t>
      </w:r>
    </w:p>
    <w:p>
      <w:pPr>
        <w:pStyle w:val="References"/>
      </w:pPr>
      <w:r>
        <w:t xml:space="preserve">O'Mara-Eves, A., Thomas, J., McNaught, J., Miwa, M., &amp; Ananiadou, S. (2015). Using text mining for study identification in systematic reviews: A systematic review of current approaches. </w:t>
      </w:r>
      <w:r>
        <w:rPr>
          <w:i/>
        </w:rPr>
        <w:t xml:space="preserve">Systematic Reviews</w:t>
      </w:r>
      <w:r>
        <w:t xml:space="preserve">, </w:t>
      </w:r>
      <w:r>
        <w:rPr>
          <w:i/>
        </w:rPr>
        <w:t xml:space="preserve">4</w:t>
      </w:r>
      <w:r>
        <w:t xml:space="preserve">(1), 5.</w:t>
      </w:r>
    </w:p>
    <w:p>
      <w:pPr>
        <w:pStyle w:val="References"/>
      </w:pPr>
      <w:r>
        <w:t xml:space="preserve">Priem, J., Taraborelli, D., Groth, P., &amp; Neylon, C. (2010). </w:t>
      </w:r>
      <w:r>
        <w:rPr>
          <w:i/>
        </w:rPr>
        <w:t xml:space="preserve">Altmetrics: A manifesto</w:t>
      </w:r>
      <w:r>
        <w:t xml:space="preserve">. Altmetrics.org. http://altmetrics.org/manifesto</w:t>
      </w:r>
    </w:p>
    <w:p>
      <w:pPr>
        <w:pStyle w:val="References"/>
      </w:pPr>
      <w:r>
        <w:t xml:space="preserve">Stall, S., Yarmey, L., Cutcher-Gershenfeld, J., Hanson, B., Lehnert, K., Nosek, B., ... &amp; Wyborn, L. (2019). Make scientific data FAIR. </w:t>
      </w:r>
      <w:r>
        <w:rPr>
          <w:i/>
        </w:rPr>
        <w:t xml:space="preserve">Nature</w:t>
      </w:r>
      <w:r>
        <w:t xml:space="preserve">, </w:t>
      </w:r>
      <w:r>
        <w:rPr>
          <w:i/>
        </w:rPr>
        <w:t xml:space="preserve">570</w:t>
      </w:r>
      <w:r>
        <w:t xml:space="preserve">(7759), 27–29.</w:t>
      </w:r>
    </w:p>
    <w:p>
      <w:pPr>
        <w:pStyle w:val="References"/>
      </w:pPr>
      <w:r>
        <w:t xml:space="preserve">Stokel-Walker, C., &amp; Van Noorden, R. (2023). What ChatGPT and generative AI mean for science. </w:t>
      </w:r>
      <w:r>
        <w:rPr>
          <w:i/>
        </w:rPr>
        <w:t xml:space="preserve">Nature</w:t>
      </w:r>
      <w:r>
        <w:t xml:space="preserve">, </w:t>
      </w:r>
      <w:r>
        <w:rPr>
          <w:i/>
        </w:rPr>
        <w:t xml:space="preserve">614</w:t>
      </w:r>
      <w:r>
        <w:t xml:space="preserve">(7947), 214–216.</w:t>
      </w:r>
    </w:p>
    <w:p>
      <w:pPr>
        <w:pStyle w:val="References"/>
      </w:pPr>
      <w:r>
        <w:t xml:space="preserve">Tenopir, C., Allard, S., Douglass, K., Aydinoglu, A. U., Wu, L., Read, E., ... &amp; Frame, M. (2011). Data sharing by scientists: Practices and perceptions. </w:t>
      </w:r>
      <w:r>
        <w:rPr>
          <w:i/>
        </w:rPr>
        <w:t xml:space="preserve">PLoS ONE</w:t>
      </w:r>
      <w:r>
        <w:t xml:space="preserve">, </w:t>
      </w:r>
      <w:r>
        <w:rPr>
          <w:i/>
        </w:rPr>
        <w:t xml:space="preserve">6</w:t>
      </w:r>
      <w:r>
        <w:t xml:space="preserve">(6), e21101.</w:t>
      </w:r>
    </w:p>
    <w:p>
      <w:pPr>
        <w:pStyle w:val="References"/>
      </w:pPr>
      <w:r>
        <w:t xml:space="preserve">Thorp, H. H. (2023). ChatGPT is fun, but not an author. </w:t>
      </w:r>
      <w:r>
        <w:rPr>
          <w:i/>
        </w:rPr>
        <w:t xml:space="preserve">Science</w:t>
      </w:r>
      <w:r>
        <w:t xml:space="preserve">, </w:t>
      </w:r>
      <w:r>
        <w:rPr>
          <w:i/>
        </w:rPr>
        <w:t xml:space="preserve">379</w:t>
      </w:r>
      <w:r>
        <w:t xml:space="preserve">(6630), 313.</w:t>
      </w:r>
    </w:p>
    <w:p>
      <w:pPr>
        <w:pStyle w:val="References"/>
      </w:pPr>
      <w:r>
        <w:t xml:space="preserve">van Dinter, R., Tekinerdogan, B., &amp; Catal, C. (2021). Automation of systematic literature reviews: A systematic literature review. </w:t>
      </w:r>
      <w:r>
        <w:rPr>
          <w:i/>
        </w:rPr>
        <w:t xml:space="preserve">Information and Software Technology</w:t>
      </w:r>
      <w:r>
        <w:t xml:space="preserve">, </w:t>
      </w:r>
      <w:r>
        <w:rPr>
          <w:i/>
        </w:rPr>
        <w:t xml:space="preserve">136</w:t>
      </w:r>
      <w:r>
        <w:t xml:space="preserve">, 106589.</w:t>
      </w:r>
    </w:p>
    <w:p>
      <w:pPr>
        <w:pStyle w:val="References"/>
      </w:pPr>
      <w:r>
        <w:t xml:space="preserve">Van Noorden, R., &amp; Perkel, J. M. (2023). AI and science: What 1,600 researchers think. </w:t>
      </w:r>
      <w:r>
        <w:rPr>
          <w:i/>
        </w:rPr>
        <w:t xml:space="preserve">Nature</w:t>
      </w:r>
      <w:r>
        <w:t xml:space="preserve">, </w:t>
      </w:r>
      <w:r>
        <w:rPr>
          <w:i/>
        </w:rPr>
        <w:t xml:space="preserve">621</w:t>
      </w:r>
      <w:r>
        <w:t xml:space="preserve">(7980), 672–675.</w:t>
      </w:r>
    </w:p>
    <w:p>
      <w:pPr>
        <w:pStyle w:val="References"/>
      </w:pPr>
      <w:r>
        <w:t xml:space="preserve">Vaswani, A., Shazeer, N., Parmar, N., Uszkoreit, J., Jones, L., Gomez, A. N., ... &amp; Polosukhin, I. (2017). Attention is all you need. </w:t>
      </w:r>
      <w:r>
        <w:rPr>
          <w:i/>
        </w:rPr>
        <w:t xml:space="preserve">Advances in Neural Information Processing Systems</w:t>
      </w:r>
      <w:r>
        <w:t xml:space="preserve">, </w:t>
      </w:r>
      <w:r>
        <w:rPr>
          <w:i/>
        </w:rPr>
        <w:t xml:space="preserve">30</w:t>
      </w:r>
      <w:r>
        <w:t xml:space="preserve">, 5998–6008.</w:t>
      </w:r>
    </w:p>
    <w:p>
      <w:pPr>
        <w:pStyle w:val="References"/>
      </w:pPr>
      <w:r>
        <w:t xml:space="preserve">Wang, H., Fu, T., Du, Y., Gao, W., Huang, K., Liu, Z., ... &amp; Zitnik, M. (2023). Scientific discovery in the age of artificial intelligence. </w:t>
      </w:r>
      <w:r>
        <w:rPr>
          <w:i/>
        </w:rPr>
        <w:t xml:space="preserve">Nature</w:t>
      </w:r>
      <w:r>
        <w:t xml:space="preserve">, </w:t>
      </w:r>
      <w:r>
        <w:rPr>
          <w:i/>
        </w:rPr>
        <w:t xml:space="preserve">620</w:t>
      </w:r>
      <w:r>
        <w:t xml:space="preserve">(7972), 47–60.</w:t>
      </w:r>
    </w:p>
    <w:p>
      <w:pPr>
        <w:pStyle w:val="References"/>
      </w:pPr>
      <w:r>
        <w:t xml:space="preserve">Wang, L. L., Lo, K., Chandrasekhar, Y., Reas, R., Yang, J., Burdick, D., ... &amp; Kohlmeier, S. (2020). CORD-19: The COVID-19 Open Research Dataset. In </w:t>
      </w:r>
      <w:r>
        <w:rPr>
          <w:i/>
        </w:rPr>
        <w:t xml:space="preserve">Proceedings of the 1st Workshop on NLP for COVID-19 at ACL 2020</w:t>
      </w:r>
      <w:r>
        <w:t xml:space="preserve">. Association for Computational Linguistics.</w:t>
      </w:r>
    </w:p>
    <w:p>
      <w:pPr>
        <w:pStyle w:val="References"/>
      </w:pPr>
      <w:r>
        <w:t xml:space="preserve">Wilkinson, M. D., Dumontier, M., Aalbersberg, I. J., Appleton, G., Axton, M., Baak, A., ... &amp; Mons, B. (2016). The FAIR Guiding Principles for scientific data management and stewardship. </w:t>
      </w:r>
      <w:r>
        <w:rPr>
          <w:i/>
        </w:rPr>
        <w:t xml:space="preserve">Scientific Data</w:t>
      </w:r>
      <w:r>
        <w:t xml:space="preserve">, </w:t>
      </w:r>
      <w:r>
        <w:rPr>
          <w:i/>
        </w:rPr>
        <w:t xml:space="preserve">3</w:t>
      </w:r>
      <w:r>
        <w:t xml:space="preserve">(1), 160018.</w:t>
      </w:r>
    </w:p>
    <w:p>
      <w:pPr>
        <w:pStyle w:val="Normal"/>
      </w:pPr>
      <w:r>
        <w:rPr>
          <w:b/>
        </w:rPr>
        <w:t xml:space="preserve">Note:</w:t>
      </w:r>
      <w:r>
        <w:t xml:space="preserve"> This chapter contains 37 unique references cited throughout the text in APA style, together with 4 figures and 4 tables, each cited multiple times.</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Research_Life_Cycle.png"/>
  <Relationship Id="rIdImg2" Type="http://schemas.openxmlformats.org/officeDocument/2006/relationships/image" Target="media/Figure_2_RDM_Pipeline.png"/>
  <Relationship Id="rIdImg3" Type="http://schemas.openxmlformats.org/officeDocument/2006/relationships/image" Target="media/Figure_3_Research_Workflow.png"/>
  <Relationship Id="rIdImg4" Type="http://schemas.openxmlformats.org/officeDocument/2006/relationships/image" Target="media/Figure_4_Responsible_AI_Framework.png"/>
</Relationships>
</file>