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Chapter 8: Sustainable Manufacturing in Industry 5.0: Case-Based Approaches and Circular Economy Integration</w:t>
      </w:r>
    </w:p>
    <w:p>
      <w:pPr>
        <w:pStyle w:val="Heading1"/>
      </w:pPr>
      <w:r>
        <w:t xml:space="preserve">Abstract</w:t>
      </w:r>
    </w:p>
    <w:p>
      <w:pPr>
        <w:pStyle w:val="Normal"/>
      </w:pPr>
      <w:r>
        <w:t xml:space="preserve">The manufacturing sector stands at a pivotal juncture where the pursuit of productivity must be reconciled with the imperatives of ecological stewardship and human well-being. Industry 5.0 emerges as a paradigm that reorients the digital and automation advances of Industry 4.0 toward three interdependent goals: human-centricity, sustainability, and resilience. This chapter examines how sustainable manufacturing is being reconceived within the Industry 5.0 framework, with particular emphasis on the integration of circular economy principles into production systems, supply chains, and product life cycles. It begins by tracing the evolution from the automation-centred logic of Industry 4.0 toward a value-driven model in which environmental and social outcomes carry equal weight with economic performance. The chapter then explores the enabling technologies—artificial intelligence, the Internet of Things, digital twins, robotics, and edge and cloud computing—that make resource-efficient, low-carbon, and closed-loop manufacturing achievable at scale. A dedicated treatment of circular economy integration addresses the transition from linear take-make-dispose models to regenerative systems built on durability, reuse, remanufacturing, and material recovery, supported by digital product passports and blockchain-enabled traceability. Through a series of case-based analyses spanning energy-efficient smart factories, predictive maintenance, human–robot collaboration, remanufacturing, and industrial symbiosis, the chapter demonstrates how theory translates into measurable practice across the automotive, electronics, textile, food, and consumer-goods sectors. Attention is given to the measurement of sustainability and circularity through key performance indicators, life-cycle assessment, and circularity indices, as well as to the technological, financial, organisational, and workforce barriers that impede transformation. The chapter closes with a forward-looking synthesis of autonomous and adaptive sustainable manufacturing, AI-enabled circular ecosystems, and pathways toward resilient, regenerative, and net-zero production. Collectively, the discussion positions sustainable manufacturing not as a peripheral compliance activity but as the central organising principle of the next industrial era, in which human intelligence and intelligent machines collaborate to create durable value while regenerating the natural and social systems on which industry depends.</w:t>
      </w:r>
    </w:p>
    <w:p>
      <w:pPr>
        <w:pStyle w:val="Heading1"/>
      </w:pPr>
      <w:r>
        <w:t xml:space="preserve">Section 1. Foundations of Sustainable Manufacturing in Industry 5.0</w:t>
      </w:r>
    </w:p>
    <w:p>
      <w:pPr>
        <w:pStyle w:val="Heading2"/>
      </w:pPr>
      <w:r>
        <w:t xml:space="preserve">1.1 Evolution from Industry 4.0 to Sustainable Industry 5.0</w:t>
      </w:r>
    </w:p>
    <w:p>
      <w:pPr>
        <w:pStyle w:val="Normal"/>
      </w:pPr>
      <w:r>
        <w:t xml:space="preserve">The trajectory of industrial development over the past two decades has been dominated by the promise of digitalization. Industry 4.0, formally articulated as a strategic initiative in the early 2010s, centred on cyber-physical systems, the Internet of Things, big data analytics, and advanced automation, with the overriding objective of maximising efficiency and productivity through interconnected machines and data-driven decision-making [1]. While these advances delivered substantial gains in operational performance, they were largely agnostic to questions of ecological limits and the role of the human worker, treating both as constraints to be optimised rather than as central design considerations. The emergence of Industry 5.0 represents a deliberate correction of this imbalance, reframing the purpose of technological progress around societal value rather than technological capability alone [2].</w:t>
      </w:r>
    </w:p>
    <w:p>
      <w:pPr>
        <w:pStyle w:val="Normal"/>
      </w:pPr>
      <w:r>
        <w:t xml:space="preserve">Industry 5.0 does not discard the digital infrastructure of its predecessor; rather, it repurposes it toward human-centred manufacturing in which technology augments rather than replaces human judgement, creativity, and dexterity [3]. The European Commission's foundational framing of Industry 5.0 identifies three mutually reinforcing pillars: human-centricity, which places worker well-being and skills at the heart of production; sustainability, which demands that manufacturing operate within planetary boundaries; and resilience, which requires that industrial systems withstand disruption and adapt to volatility [4]. These pillars mark a philosophical shift from the shareholder-value orientation of earlier industrial paradigms toward a stakeholder-value model that internalises environmental and social externalities [5].</w:t>
      </w:r>
    </w:p>
    <w:p>
      <w:pPr>
        <w:pStyle w:val="Normal"/>
      </w:pPr>
      <w:r>
        <w:t xml:space="preserve">The role of sustainability within this next-generation manufacturing vision is neither incidental nor cosmetic. Manufacturing accounts for a substantial share of global energy consumption and greenhouse-gas emissions, and the sector's material throughput drives resource depletion and waste generation on a planetary scale [6]. Sustainable Industry 5.0 therefore embeds environmental performance directly into the objective function of production systems, treating carbon intensity, material circularity, and ecological impact as design variables on par with cost, quality, and throughput [7]. This integration is captured in the widely adopted triple-bottom-line framework, which insists that manufacturing decisions be evaluated simultaneously across economic, environmental, and social dimensions rather than optimised for financial return alone [8].</w:t>
      </w:r>
    </w:p>
    <w:p>
      <w:pPr>
        <w:pStyle w:val="Normal"/>
      </w:pPr>
      <w:r>
        <w:t xml:space="preserve">The economic dimension concerns not only profitability but the long-term viability of enterprises in a world of tightening regulation, volatile resource prices, and shifting consumer expectations. The environmental dimension encompasses energy and material efficiency, emissions reduction, and the protection of ecosystems. The social dimension addresses fair labour, worker safety, community impact, and the equitable distribution of the benefits of industrial activity [9]. Industry 5.0 argues that these dimensions are not in tension but are, over sufficiently long horizons, complementary: enterprises that reduce waste lower costs, those that protect workers retain talent, and those that decarbonise mitigate regulatory and reputational risk [10].</w:t>
      </w:r>
    </w:p>
    <w:p>
      <w:pPr>
        <w:pStyle w:val="Normal"/>
      </w:pPr>
      <w:r>
        <w:t xml:space="preserve">This reorientation carries profound implications for the way manufacturing value is conceived and measured. Under the productivity logic of Industry 4.0, value was equated with throughput and cost efficiency, and technology adoption was justified almost exclusively by its contribution to these ends. Industry 5.0 broadens the value calculus to include the preservation of natural capital, the enhancement of human capability, and the capacity to absorb and recover from shocks, whether those shocks arise from supply disruption, market volatility, or environmental stress [5]. Resilience, in particular, has assumed heightened prominence in the wake of global supply-chain disruptions that exposed the fragility of tightly optimised, geographically concentrated production networks. A manufacturing system that is resilient by design maintains buffers, diversifies sources, and retains the flexibility to reconfigure itself, and such resilience proves deeply compatible with sustainability, since local sourcing, material reuse, and distributed production simultaneously reduce environmental impact and exposure to disruption [2]. The convergence of these objectives is what distinguishes Industry 5.0 as a genuinely new paradigm rather than a mere extension of its predecessor.</w:t>
      </w:r>
    </w:p>
    <w:p>
      <w:pPr>
        <w:pStyle w:val="Heading2"/>
      </w:pPr>
      <w:r>
        <w:t xml:space="preserve">1.2 Principles and Frameworks of Sustainable Manufacturing</w:t>
      </w:r>
    </w:p>
    <w:p>
      <w:pPr>
        <w:pStyle w:val="Normal"/>
      </w:pPr>
      <w:r>
        <w:t xml:space="preserve">Sustainable manufacturing may be defined as the creation of products through processes that minimise negative environmental impacts, conserve energy and natural resources, are safe for employees and communities, and are economically sound [11]. Operationalising this definition requires a coherent set of principles that guide decision-making from the shop floor to the boardroom. Foremost among these is the pursuit of resource-efficient and low-carbon manufacturing, in which the quantity of energy, water, and raw material consumed per unit of output is progressively reduced through process optimisation, technological upgrading, and design innovation [12].</w:t>
      </w:r>
    </w:p>
    <w:p>
      <w:pPr>
        <w:pStyle w:val="Normal"/>
      </w:pPr>
      <w:r>
        <w:t xml:space="preserve">Cleaner production technologies form the practical backbone of this principle. Rather than treating pollution as an unavoidable by-product to be managed at the end of the pipe, cleaner production intervenes upstream to prevent waste and emissions at their source through substitution of hazardous inputs, closed-loop water systems, and energy recovery [13]. The distinction between end-of-pipe controls and source reduction is fundamental: the former adds cost without adding value, whereas the latter simultaneously reduces environmental burden and operating expense, aligning ecological and economic incentives [14].</w:t>
      </w:r>
    </w:p>
    <w:p>
      <w:pPr>
        <w:pStyle w:val="Normal"/>
      </w:pPr>
      <w:r>
        <w:t xml:space="preserve">Energy, water, and material efficiency together constitute the measurable core of sustainable manufacturing performance. Energy efficiency initiatives range from the deployment of high-efficiency motors and variable-frequency drives to the recovery of waste heat and the integration of on-site renewable generation [15]. Water efficiency, increasingly critical in water-stressed regions, is advanced through recycling, cascading use, and process redesign that reduces consumption at the source. Material efficiency, arguably the most consequential for long-term sustainability, seeks to extract maximum service from every unit of material through lightweighting, yield improvement, scrap reduction, and the substitution of virgin inputs with secondary materials [16].</w:t>
      </w:r>
    </w:p>
    <w:p>
      <w:pPr>
        <w:pStyle w:val="Normal"/>
      </w:pPr>
      <w:r>
        <w:t xml:space="preserve">Beyond operational metrics, sustainable manufacturing is increasingly governed by environmental, social, and governance (ESG) considerations that shape investment, procurement, and reporting. ESG frameworks translate abstract sustainability commitments into disclosable, comparable indicators that stakeholders—investors, regulators, customers, and communities—use to assess corporate conduct [17]. The rise of mandatory sustainability reporting in major economies has elevated ESG from a voluntary reputational exercise to a compliance and financing imperative, embedding sustainability governance into the strategic core of manufacturing enterprises [18]. Table 1 summarises the principal dimensions of sustainable manufacturing together with representative strategies and the enabling technologies most closely associated with each.</w:t>
      </w:r>
    </w:p>
    <w:p>
      <w:pPr>
        <w:pStyle w:val="TableCaption"/>
      </w:pPr>
      <w:r>
        <w:t xml:space="preserve">Table 1. Core dimensions of sustainable manufacturing in Industry 5.0 with representative strategies and enabling technologies.</w:t>
      </w:r>
    </w:p>
    <w:tbl>
      <w:tblPr>
        <w:tblStyle w:val="TableGrid"/>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rPr>
          <w:tblHeader/>
        </w:trPr>
        <w:tc>
          <w:tcPr>
            <w:shd w:val="clear" w:color="auto" w:fill="D9E2F3"/>
            <w:vAlign w:val="center"/>
          </w:tcPr>
          <w:p>
            <w:pPr>
              <w:jc w:val="center"/>
              <w:spacing w:after="40" w:line="240" w:lineRule="auto"/>
            </w:pPr>
            <w:r>
              <w:rPr>
                <w:b/>
              </w:rPr>
              <w:t xml:space="preserve">Dimension</w:t>
            </w:r>
          </w:p>
        </w:tc>
        <w:tc>
          <w:tcPr>
            <w:shd w:val="clear" w:color="auto" w:fill="D9E2F3"/>
            <w:vAlign w:val="center"/>
          </w:tcPr>
          <w:p>
            <w:pPr>
              <w:jc w:val="center"/>
              <w:spacing w:after="40" w:line="240" w:lineRule="auto"/>
            </w:pPr>
            <w:r>
              <w:rPr>
                <w:b/>
              </w:rPr>
              <w:t xml:space="preserve">Primary Objective</w:t>
            </w:r>
          </w:p>
        </w:tc>
        <w:tc>
          <w:tcPr>
            <w:shd w:val="clear" w:color="auto" w:fill="D9E2F3"/>
            <w:vAlign w:val="center"/>
          </w:tcPr>
          <w:p>
            <w:pPr>
              <w:jc w:val="center"/>
              <w:spacing w:after="40" w:line="240" w:lineRule="auto"/>
            </w:pPr>
            <w:r>
              <w:rPr>
                <w:b/>
              </w:rPr>
              <w:t xml:space="preserve">Representative Strategies</w:t>
            </w:r>
          </w:p>
        </w:tc>
        <w:tc>
          <w:tcPr>
            <w:shd w:val="clear" w:color="auto" w:fill="D9E2F3"/>
            <w:vAlign w:val="center"/>
          </w:tcPr>
          <w:p>
            <w:pPr>
              <w:jc w:val="center"/>
              <w:spacing w:after="40" w:line="240" w:lineRule="auto"/>
            </w:pPr>
            <w:r>
              <w:rPr>
                <w:b/>
              </w:rPr>
              <w:t xml:space="preserve">Key Enabling Technologies</w:t>
            </w:r>
          </w:p>
        </w:tc>
      </w:tr>
      <w:tr>
        <w:tc>
          <w:p>
            <w:pPr>
              <w:spacing w:after="40" w:line="240" w:lineRule="auto"/>
            </w:pPr>
            <w:r>
              <w:t xml:space="preserve">Economic</w:t>
            </w:r>
          </w:p>
        </w:tc>
        <w:tc>
          <w:p>
            <w:pPr>
              <w:spacing w:after="40" w:line="240" w:lineRule="auto"/>
            </w:pPr>
            <w:r>
              <w:t xml:space="preserve">Long-term viability and value creation</w:t>
            </w:r>
          </w:p>
        </w:tc>
        <w:tc>
          <w:p>
            <w:pPr>
              <w:spacing w:after="40" w:line="240" w:lineRule="auto"/>
            </w:pPr>
            <w:r>
              <w:t xml:space="preserve">Cost reduction, productivity, resilient supply chains</w:t>
            </w:r>
          </w:p>
        </w:tc>
        <w:tc>
          <w:p>
            <w:pPr>
              <w:spacing w:after="40" w:line="240" w:lineRule="auto"/>
            </w:pPr>
            <w:r>
              <w:t xml:space="preserve">Industrial analytics, digital twins</w:t>
            </w:r>
          </w:p>
        </w:tc>
      </w:tr>
      <w:tr>
        <w:tc>
          <w:p>
            <w:pPr>
              <w:spacing w:after="40" w:line="240" w:lineRule="auto"/>
            </w:pPr>
            <w:r>
              <w:t xml:space="preserve">Environmental</w:t>
            </w:r>
          </w:p>
        </w:tc>
        <w:tc>
          <w:p>
            <w:pPr>
              <w:spacing w:after="40" w:line="240" w:lineRule="auto"/>
            </w:pPr>
            <w:r>
              <w:t xml:space="preserve">Operate within planetary boundaries</w:t>
            </w:r>
          </w:p>
        </w:tc>
        <w:tc>
          <w:p>
            <w:pPr>
              <w:spacing w:after="40" w:line="240" w:lineRule="auto"/>
            </w:pPr>
            <w:r>
              <w:t xml:space="preserve">Energy and material efficiency, emissions reduction, cleaner production</w:t>
            </w:r>
          </w:p>
        </w:tc>
        <w:tc>
          <w:p>
            <w:pPr>
              <w:spacing w:after="40" w:line="240" w:lineRule="auto"/>
            </w:pPr>
            <w:r>
              <w:t xml:space="preserve">AI, IoT, renewable integration</w:t>
            </w:r>
          </w:p>
        </w:tc>
      </w:tr>
      <w:tr>
        <w:tc>
          <w:p>
            <w:pPr>
              <w:spacing w:after="40" w:line="240" w:lineRule="auto"/>
            </w:pPr>
            <w:r>
              <w:t xml:space="preserve">Social</w:t>
            </w:r>
          </w:p>
        </w:tc>
        <w:tc>
          <w:p>
            <w:pPr>
              <w:spacing w:after="40" w:line="240" w:lineRule="auto"/>
            </w:pPr>
            <w:r>
              <w:t xml:space="preserve">Worker and community well-being</w:t>
            </w:r>
          </w:p>
        </w:tc>
        <w:tc>
          <w:p>
            <w:pPr>
              <w:spacing w:after="40" w:line="240" w:lineRule="auto"/>
            </w:pPr>
            <w:r>
              <w:t xml:space="preserve">Ergonomics, safety, fair labour, skills development</w:t>
            </w:r>
          </w:p>
        </w:tc>
        <w:tc>
          <w:p>
            <w:pPr>
              <w:spacing w:after="40" w:line="240" w:lineRule="auto"/>
            </w:pPr>
            <w:r>
              <w:t xml:space="preserve">Human–robot collaboration, cobots</w:t>
            </w:r>
          </w:p>
        </w:tc>
      </w:tr>
      <w:tr>
        <w:tc>
          <w:p>
            <w:pPr>
              <w:spacing w:after="40" w:line="240" w:lineRule="auto"/>
            </w:pPr>
            <w:r>
              <w:t xml:space="preserve">Circular</w:t>
            </w:r>
          </w:p>
        </w:tc>
        <w:tc>
          <w:p>
            <w:pPr>
              <w:spacing w:after="40" w:line="240" w:lineRule="auto"/>
            </w:pPr>
            <w:r>
              <w:t xml:space="preserve">Retain resource value across life cycles</w:t>
            </w:r>
          </w:p>
        </w:tc>
        <w:tc>
          <w:p>
            <w:pPr>
              <w:spacing w:after="40" w:line="240" w:lineRule="auto"/>
            </w:pPr>
            <w:r>
              <w:t xml:space="preserve">Reuse, repair, remanufacturing, recycling</w:t>
            </w:r>
          </w:p>
        </w:tc>
        <w:tc>
          <w:p>
            <w:pPr>
              <w:spacing w:after="40" w:line="240" w:lineRule="auto"/>
            </w:pPr>
            <w:r>
              <w:t xml:space="preserve">Digital product passports, blockchain</w:t>
            </w:r>
          </w:p>
        </w:tc>
      </w:tr>
      <w:tr>
        <w:tc>
          <w:p>
            <w:pPr>
              <w:spacing w:after="40" w:line="240" w:lineRule="auto"/>
            </w:pPr>
            <w:r>
              <w:t xml:space="preserve">Governance</w:t>
            </w:r>
          </w:p>
        </w:tc>
        <w:tc>
          <w:p>
            <w:pPr>
              <w:spacing w:after="40" w:line="240" w:lineRule="auto"/>
            </w:pPr>
            <w:r>
              <w:t xml:space="preserve">Accountability and transparency</w:t>
            </w:r>
          </w:p>
        </w:tc>
        <w:tc>
          <w:p>
            <w:pPr>
              <w:spacing w:after="40" w:line="240" w:lineRule="auto"/>
            </w:pPr>
            <w:r>
              <w:t xml:space="preserve">ESG disclosure, sustainability reporting, compliance</w:t>
            </w:r>
          </w:p>
        </w:tc>
        <w:tc>
          <w:p>
            <w:pPr>
              <w:spacing w:after="40" w:line="240" w:lineRule="auto"/>
            </w:pPr>
            <w:r>
              <w:t xml:space="preserve">Traceability platforms, data analytics</w:t>
            </w:r>
          </w:p>
        </w:tc>
      </w:tr>
    </w:tbl>
    <w:p>
      <w:pPr>
        <w:spacing w:after="120"/>
      </w:pPr>
    </w:p>
    <w:p>
      <w:pPr>
        <w:pStyle w:val="Normal"/>
      </w:pPr>
      <w:r>
        <w:t xml:space="preserve">Underpinning all of these principles is a systems perspective that resists the temptation to optimise components in isolation. A narrow focus on a single process or metric frequently produces improvements that are illusory at the system level, as when the substitution of a lighter material reduces use-phase energy but increases the burden of extraction and end-of-life management. Sustainable manufacturing therefore insists on the evaluation of trade-offs across the entire production system and product life cycle, a discipline that requires both analytical rigour and organisational willingness to accept local sacrifices for global gains [14]. This systems orientation is precisely what the enabling technologies of Industry 5.0 make tractable, for it is only through comprehensive data capture and sophisticated modelling that the full web of interactions within a manufacturing system becomes visible and manageable. The dimensions catalogued in Table 1 should thus be read not as independent levers but as interconnected facets of a single integrated challenge, each influencing and constrained by the others.</w:t>
      </w:r>
    </w:p>
    <w:p>
      <w:pPr>
        <w:pStyle w:val="Heading2"/>
      </w:pPr>
      <w:r>
        <w:t xml:space="preserve">1.3 Enabling Technologies for Sustainable Manufacturing</w:t>
      </w:r>
    </w:p>
    <w:p>
      <w:pPr>
        <w:pStyle w:val="Normal"/>
      </w:pPr>
      <w:r>
        <w:t xml:space="preserve">The realisation of sustainable manufacturing at industrial scale depends fundamentally on a suite of digital and physical technologies that provide the sensing, analysis, and control capabilities needed to manage complex production systems within tight resource and emissions constraints. Artificial intelligence and machine learning occupy a central position in this technological ecosystem, enabling the extraction of actionable insight from the vast data streams generated by modern factories [19]. Machine-learning models identify inefficiencies invisible to human operators, forecast equipment failures before they occur, and optimise process parameters in real time to minimise energy and material consumption while maintaining quality [20].</w:t>
      </w:r>
    </w:p>
    <w:p>
      <w:pPr>
        <w:pStyle w:val="Normal"/>
      </w:pPr>
      <w:r>
        <w:t xml:space="preserve">Industrial analytics extends these capabilities from individual machines to entire plants and supply networks, correlating disparate data sources to reveal systemic opportunities for waste reduction and emissions abatement [21]. The Internet of Things provides the sensory foundation on which these analytics depend, instrumenting machines, materials, and environments with networked sensors that continuously report on condition, consumption, and location [22]. Smart manufacturing systems built on this IoT foundation achieve a degree of transparency and responsiveness impossible in earlier eras, allowing production to adapt dynamically to changing conditions and to surface sustainability performance in real time [23].</w:t>
      </w:r>
    </w:p>
    <w:p>
      <w:pPr>
        <w:pStyle w:val="Normal"/>
      </w:pPr>
      <w:r>
        <w:t xml:space="preserve">Digital twins—high-fidelity virtual replicas of physical assets, processes, or entire factories—represent a particularly powerful enabler of sustainable manufacturing. By simulating the behaviour of a system under varying conditions, a digital twin allows engineers to test energy-saving interventions, evaluate circular design choices, and optimise resource flows without disrupting physical operations or consuming physical materials [24]. When continuously synchronised with their physical counterparts through IoT data, digital twins support life-cycle assessment, predictive optimisation, and scenario analysis across the full span of a product's or plant's existence [25].</w:t>
      </w:r>
    </w:p>
    <w:p>
      <w:pPr>
        <w:pStyle w:val="Normal"/>
      </w:pPr>
      <w:r>
        <w:t xml:space="preserve">Robotics and human–robot collaboration embody the human-centric dimension of Industry 5.0 while contributing directly to sustainability. Collaborative robots, or cobots, work alongside human operators, taking on physically demanding, repetitive, or hazardous tasks while humans provide the adaptability and problem-solving that automation cannot replicate [26]. This division of labour reduces ergonomic strain, improves precision—thereby reducing scrap—and enables flexible production that avoids the overproduction endemic to rigid mass-manufacturing lines [27]. Cloud and edge computing complete the technological picture, with the cloud providing scalable storage and computation for enterprise-wide analytics and the edge enabling low-latency, energy-efficient processing close to the point of data generation [28]. Intelligent monitoring systems that fuse these layers deliver the continuous visibility into energy, emissions, and material flows that sustainable operation demands, as illustrated in the technology architecture depicted in Figure 1.</w:t>
      </w:r>
    </w:p>
    <w:p>
      <w:pPr>
        <w:pStyle w:val="FigureImage"/>
      </w:pPr>
      <w:r>
        <w:drawing>
          <wp:inline xmlns:wp="http://schemas.openxmlformats.org/drawingml/2006/wordprocessingDrawing" distT="0" distB="0" distL="0" distR="0">
            <wp:extent cx="5486400" cy="3746809"/>
            <wp:effectExtent l="0" t="0" r="0" b="0"/>
            <wp:docPr id="1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e 1"/>
                    <pic:cNvPicPr/>
                  </pic:nvPicPr>
                  <pic:blipFill>
                    <a:blip xmlns:r="http://schemas.openxmlformats.org/officeDocument/2006/relationships" r:embed="rId11"/>
                    <a:stretch>
                      <a:fillRect/>
                    </a:stretch>
                  </pic:blipFill>
                  <pic:spPr>
                    <a:xfrm>
                      <a:off x="0" y="0"/>
                      <a:ext cx="5486400" cy="3746809"/>
                    </a:xfrm>
                    <a:prstGeom prst="rect">
                      <a:avLst/>
                    </a:prstGeom>
                  </pic:spPr>
                </pic:pic>
              </a:graphicData>
            </a:graphic>
          </wp:inline>
        </w:drawing>
      </w:r>
    </w:p>
    <w:p>
      <w:pPr>
        <w:pStyle w:val="Normal"/>
      </w:pPr>
      <w:r>
        <w:t xml:space="preserve">It is important to recognise that these technologies do not operate in isolation but form an integrated stack in which each layer depends upon and reinforces the others. Sensors at the physical layer generate the data that edge devices pre-process and filter; the cloud aggregates and stores this data for enterprise-scale analytics; artificial intelligence extracts patterns and predictions; digital twins provide the models against which observations are interpreted; and robotics and control systems act upon the resulting decisions. The value of the whole substantially exceeds the sum of its parts, for it is the seamless flow of information from sensing through analysis to action that enables the closed-loop, self-optimising behaviour on which sustainable operation ultimately depends [23]. The layered architecture presented in Figure 1 makes this interdependence explicit, showing how data ascends from the shop floor to the analytical layer and how decisions descend to the physical processes they govern. A recurring lesson from industrial practice is that the weakest layer constrains the performance of the entire stack: sophisticated analytics cannot compensate for poor-quality sensing, and accurate predictions deliver no benefit if the control systems cannot act upon them. Successful deployments therefore invest across all layers in a balanced manner rather than concentrating resources on any single fashionable technology.</w:t>
      </w:r>
    </w:p>
    <w:p>
      <w:pPr>
        <w:pStyle w:val="Heading1"/>
      </w:pPr>
      <w:r>
        <w:t xml:space="preserve">Section 2. Circular Economy Integration in Industry 5.0</w:t>
      </w:r>
    </w:p>
    <w:p>
      <w:pPr>
        <w:pStyle w:val="Heading2"/>
      </w:pPr>
      <w:r>
        <w:t xml:space="preserve">2.1 Circular Economy Principles and Manufacturing Systems</w:t>
      </w:r>
    </w:p>
    <w:p>
      <w:pPr>
        <w:pStyle w:val="Normal"/>
      </w:pPr>
      <w:r>
        <w:t xml:space="preserve">The circular economy offers a systemic alternative to the linear industrial model that has dominated since the first industrial revolution. In the linear model, resources are extracted, transformed into products, consumed, and discarded—a take-make-dispose logic that treats the environment as both an inexhaustible source of inputs and a limitless sink for waste [29]. The circular economy rejects this premise, proposing instead an economic system that is regenerative by design, in which materials and products are kept in use at their highest value for as long as possible and, at end of life, are returned to the system rather than lost to landfill or incineration [30].</w:t>
      </w:r>
    </w:p>
    <w:p>
      <w:pPr>
        <w:pStyle w:val="Normal"/>
      </w:pPr>
      <w:r>
        <w:t xml:space="preserve">The transition from linear to circular production models within Industry 5.0 rests on a hierarchy of strategies commonly organised around the principles of narrowing, slowing, and closing resource loops. Narrowing reduces the quantity of resources used per product; slowing extends the useful life of products through durability, maintenance, and repair; and closing returns materials to production through reuse, remanufacturing, and recycling [31]. Design occupies the pivotal position in this hierarchy, since decisions made at the design stage determine the great majority of a product's subsequent environmental impact and circular potential [32].</w:t>
      </w:r>
    </w:p>
    <w:p>
      <w:pPr>
        <w:pStyle w:val="Normal"/>
      </w:pPr>
      <w:r>
        <w:t xml:space="preserve">Design for durability, repairability, reuse, and recyclability thus becomes a foundational discipline of circular manufacturing. Durable products that resist obsolescence retain value over longer periods; repairable products can be restored to service rather than replaced; products designed for disassembly permit the recovery of components and materials; and products composed of compatible, non-toxic, and separable materials can be recycled efficiently [33]. These design principles are increasingly codified in regulation, with a growing number of jurisdictions mandating repairability scores, spare-parts availability, and design-for-recycling requirements [34].</w:t>
      </w:r>
    </w:p>
    <w:p>
      <w:pPr>
        <w:pStyle w:val="Normal"/>
      </w:pPr>
      <w:r>
        <w:t xml:space="preserve">The economic and cultural obstacles to durable, repairable design deserve explicit acknowledgement, since they explain why circular design has advanced more slowly than its evident benefits might suggest. Business models predicated on frequent replacement derive revenue precisely from the short lifespans that circularity seeks to extend, creating an inherent tension between conventional profit motives and circular design intent. Planned obsolescence, whether through fragile construction, incompatible components, or software-driven withdrawal of support, represents the antithesis of circular design and persists because it serves the near-term commercial interests of producers under linear business models [30]. Overcoming this obstacle requires either the reform of business models—toward service provision, leasing, and other arrangements in which longevity generates rather than erodes revenue—or the imposition of regulatory requirements that mandate durability and repairability regardless of commercial preference. The recent emergence of right-to-repair legislation and ecodesign requirements in several major markets signals a shift in the regulatory environment that is beginning to alter the calculus of product design in favour of circularity [34].</w:t>
      </w:r>
    </w:p>
    <w:p>
      <w:pPr>
        <w:pStyle w:val="Normal"/>
      </w:pPr>
      <w:r>
        <w:t xml:space="preserve">Closed-loop manufacturing and material recovery translate circular design intent into operational reality. In a closed-loop system, the materials embedded in end-of-life products are recovered and reintroduced into the production of new products, ideally of equivalent quality, thereby displacing virgin material extraction [35]. This is complemented by product life-cycle thinking, which evaluates environmental impact across the full arc of a product's existence—from raw-material acquisition through manufacture, use, and end-of-life management—and by the principle of extended producer responsibility, which assigns manufacturers accountability for the post-consumer fate of their products, creating a powerful incentive for circular design [36].</w:t>
      </w:r>
    </w:p>
    <w:p>
      <w:pPr>
        <w:pStyle w:val="Normal"/>
      </w:pPr>
      <w:r>
        <w:t xml:space="preserve">A crucial distinction within circular strategies concerns the value preserved by each recovery pathway. The inner loops of the circular economy—maintenance, reuse, and repair—preserve the greatest value because they retain the product's original form and function, requiring minimal additional energy or material. Remanufacturing occupies an intermediate position, restoring products to service while retaining much of their embodied value. Recycling, though indispensable, sits at the outer edge of the value hierarchy, since it typically destroys the product's form and recovers only the material, often at some loss of quality [31]. This hierarchy of loops carries an important strategic implication: circular manufacturing should prioritise the innermost feasible loop for each product, resorting to recycling only when higher-value pathways are exhausted. Designing products and business models to enable inner-loop recovery therefore yields disproportionate environmental and economic returns, and it is precisely this design intent that distinguishes genuinely circular manufacturing from conventional recycling programmes that merely mitigate the consequences of a fundamentally linear system.</w:t>
      </w:r>
    </w:p>
    <w:p>
      <w:pPr>
        <w:pStyle w:val="Heading2"/>
      </w:pPr>
      <w:r>
        <w:t xml:space="preserve">2.2 Digital Technologies for Circular Manufacturing</w:t>
      </w:r>
    </w:p>
    <w:p>
      <w:pPr>
        <w:pStyle w:val="Normal"/>
      </w:pPr>
      <w:r>
        <w:t xml:space="preserve">The circular economy's ambition to keep materials and products in productive circulation depends heavily on information: knowing what materials a product contains, where products are located, how they are being used, and when and how they should be recovered. Digital technologies supply this information infrastructure, transforming the circular economy from an aspiration into an operable system [37]. Artificial intelligence plays a leading role by optimising resource use and minimising waste across production processes, identifying opportunities to reduce off-cuts, reroute by-products, and match secondary-material supply with demand [38].</w:t>
      </w:r>
    </w:p>
    <w:p>
      <w:pPr>
        <w:pStyle w:val="Normal"/>
      </w:pPr>
      <w:r>
        <w:t xml:space="preserve">AI-driven resource optimisation extends into the design phase, where generative and predictive algorithms explore vast design spaces to identify configurations that minimise material use while satisfying functional requirements, and into the operational phase, where machine learning continuously tunes processes to reduce scrap and energy consumption [39]. IoT-enabled tracking of products and materials provides the real-time visibility that circular systems require, allowing organisations to monitor the location, condition, and composition of assets throughout their life cycles and to trigger recovery, refurbishment, or recycling at the optimal moment [40].</w:t>
      </w:r>
    </w:p>
    <w:p>
      <w:pPr>
        <w:pStyle w:val="Normal"/>
      </w:pPr>
      <w:r>
        <w:t xml:space="preserve">Digital twins contribute distinctively to circular manufacturing by supporting life-cycle assessment and circular design. A digital twin of a product can accumulate data throughout its life, recording usage patterns, maintenance events, and material condition, thereby informing decisions about reuse, remanufacturing, and material recovery with an accuracy impossible under linear information systems [41]. This life-cycle data enables the dynamic assessment of environmental impact and the identification of the most value-preserving end-of-life pathway for each individual product [42]. The relationship between these digital enablers and the stages of the circular economy is mapped in Figure 2, which situates each technology within the narrow-slow-close framework.</w:t>
      </w:r>
    </w:p>
    <w:p>
      <w:pPr>
        <w:pStyle w:val="FigureImage"/>
      </w:pPr>
      <w:r>
        <w:drawing>
          <wp:inline xmlns:wp="http://schemas.openxmlformats.org/drawingml/2006/wordprocessingDrawing" distT="0" distB="0" distL="0" distR="0">
            <wp:extent cx="5486400" cy="3612995"/>
            <wp:effectExtent l="0" t="0" r="0" b="0"/>
            <wp:docPr id="1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e 2"/>
                    <pic:cNvPicPr/>
                  </pic:nvPicPr>
                  <pic:blipFill>
                    <a:blip xmlns:r="http://schemas.openxmlformats.org/officeDocument/2006/relationships" r:embed="rId12"/>
                    <a:stretch>
                      <a:fillRect/>
                    </a:stretch>
                  </pic:blipFill>
                  <pic:spPr>
                    <a:xfrm>
                      <a:off x="0" y="0"/>
                      <a:ext cx="5486400" cy="3612995"/>
                    </a:xfrm>
                    <a:prstGeom prst="rect">
                      <a:avLst/>
                    </a:prstGeom>
                  </pic:spPr>
                </pic:pic>
              </a:graphicData>
            </a:graphic>
          </wp:inline>
        </w:drawing>
      </w:r>
    </w:p>
    <w:p>
      <w:pPr>
        <w:pStyle w:val="Normal"/>
      </w:pPr>
      <w:r>
        <w:t xml:space="preserve">The convergence of these digital capabilities gives rise to what may be termed a circular information system—an infrastructure that renders the material world legible to the algorithms and organisations tasked with keeping resources in circulation. Whereas the linear economy could function on minimal information, discarding products at end of life without regard to their composition or condition, the circular economy is fundamentally information-intensive: every decision to reuse, repair, remanufacture, or recycle depends on knowing what a product contains and in what state it exists. The digital technologies mapped in Figure 2 collectively supply this information, and their integration—rather than their individual deployment—is what unlocks circular value at scale. An IoT sensor without analytics generates data no one interprets; a digital twin without traceable material data cannot inform recovery; and a blockchain record without the sensing infrastructure to populate it remains an empty ledger. The circular economy thus demands not merely the adoption of individual technologies but their orchestration into a coherent information architecture spanning organisational and geographic boundaries [40].</w:t>
      </w:r>
    </w:p>
    <w:p>
      <w:pPr>
        <w:pStyle w:val="Normal"/>
      </w:pPr>
      <w:r>
        <w:t xml:space="preserve">Blockchain technology and digital product passports address the challenge of trust and traceability in circular value chains that span many independent organisations. A digital product passport is a structured record, often anchored on distributed-ledger infrastructure, that documents a product's composition, origin, environmental footprint, and repair and recycling instructions, accessible to all actors across the value chain [43]. Blockchain provides the tamper-resistant substrate on which such passports can be maintained, enabling verifiable claims about material provenance, recycled content, and carbon footprint without reliance on a single trusted intermediary [44]. Together these technologies dissolve the information asymmetries that have historically obstructed circular flows, enabling recyclers, remanufacturers, and secondary-material markets to operate with confidence.</w:t>
      </w:r>
    </w:p>
    <w:p>
      <w:pPr>
        <w:pStyle w:val="Normal"/>
      </w:pPr>
      <w:r>
        <w:t xml:space="preserve">The practical significance of verifiable traceability is difficult to overstate in the context of circular value chains. A recycler deciding whether to invest in the recovery of a particular material stream needs assurance about its composition and freedom from contamination; a purchaser of recycled content needs confidence that recycled-content claims are genuine; and a regulator enforcing circularity requirements needs auditable evidence of compliance. In the absence of trustworthy shared information, each actor must either conduct costly independent verification or accept the risk of misrepresentation, and both responses impede the flow of materials through circular loops. Digital product passports and blockchain-anchored records address this problem at its root by establishing a shared, verifiable source of truth that all parties can consult without trusting one another directly [44]. The emergence of regulatory mandates for digital product passports in several jurisdictions is likely to accelerate their adoption from voluntary pilots toward standard practice, providing the informational backbone that a mature circular economy requires and that has, until recently, been conspicuously absent from industrial systems designed for linear rather than circular flows.</w:t>
      </w:r>
    </w:p>
    <w:p>
      <w:pPr>
        <w:pStyle w:val="Heading2"/>
      </w:pPr>
      <w:r>
        <w:t xml:space="preserve">2.3 Circular Supply Chains and Sustainable Resource Management</w:t>
      </w:r>
    </w:p>
    <w:p>
      <w:pPr>
        <w:pStyle w:val="Normal"/>
      </w:pPr>
      <w:r>
        <w:t xml:space="preserve">Circularity cannot be achieved within the boundaries of a single factory; it requires the reorganisation of entire supply chains around the recovery, redistribution, and regeneration of materials. Reverse logistics—the set of processes by which products and materials flow backward from the point of consumption toward recovery and reprocessing—forms the physical backbone of the circular supply chain [45]. Effective reverse logistics networks collect, sort, and route end-of-life products to the appropriate recovery pathway, whether reuse, remanufacturing, or recycling, and their design profoundly influences the economic and environmental viability of circular strategies.</w:t>
      </w:r>
    </w:p>
    <w:p>
      <w:pPr>
        <w:pStyle w:val="Normal"/>
      </w:pPr>
      <w:r>
        <w:t xml:space="preserve">Industrial symbiosis represents a particularly elegant expression of circular resource management, in which the residual outputs of one enterprise—waste heat, by-product materials, wastewater—become valuable inputs for another, transforming what would otherwise be waste into resource [46]. The classic exemplar of Kalundborg in Denmark, where a network of co-located industries exchanges energy, water, and materials in a web of mutually beneficial relationships, demonstrates that industrial symbiosis can deliver substantial environmental and economic benefits when geographic proximity and complementary material flows align [47]. Digital platforms increasingly facilitate such exchanges by matching waste streams with potential users across broader geographies than physical proximity alone would permit.</w:t>
      </w:r>
    </w:p>
    <w:p>
      <w:pPr>
        <w:pStyle w:val="Normal"/>
      </w:pPr>
      <w:r>
        <w:t xml:space="preserve">Sustainable procurement and supplier collaboration extend circular principles upstream into the sourcing decisions that determine what materials enter the production system in the first place. By establishing environmental and social criteria for supplier selection, favouring recycled and renewable inputs, and collaborating with suppliers to improve the circularity of purchased components, manufacturers exert influence over impacts that lie beyond their own operational boundaries [12]. Such collaboration is essential because the majority of a manufactured product's environmental footprint frequently resides in its supply chain rather than in final assembly [16].</w:t>
      </w:r>
    </w:p>
    <w:p>
      <w:pPr>
        <w:pStyle w:val="Normal"/>
      </w:pPr>
      <w:r>
        <w:t xml:space="preserve">The optimisation of material flows and the development of waste-to-resource systems complete the circular supply-chain picture. Advanced analytics and optimisation techniques enable enterprises to map material flows across their networks, identify losses and inefficiencies, and design interventions that maximise material retention and value recovery [21]. Waste-to-resource systems, ranging from the valorisation of manufacturing by-products to the conversion of organic waste into energy or feedstock, close loops that would otherwise remain open, embodying the circular principle that waste is simply a resource in the wrong place [30].</w:t>
      </w:r>
    </w:p>
    <w:p>
      <w:pPr>
        <w:pStyle w:val="Normal"/>
      </w:pPr>
      <w:r>
        <w:t xml:space="preserve">The reconfiguration of supply chains around circular principles also demands new forms of collaboration and governance that transcend the transactional relationships of conventional procurement. Circular value chains are fundamentally networked rather than linear, requiring the coordination of producers, users, collectors, recyclers, and remanufacturers whose interests do not automatically align. Establishing the trust, information-sharing, and value-distribution mechanisms that make such networks function is often more challenging than the technical aspects of recovery and reprocessing [45]. Digital platforms, standardised data formats, and contractual innovations such as product-as-a-service models—in which manufacturers retain ownership of products and sell their use rather than the products themselves—are emerging to address these coordination challenges. Under product-as-a-service arrangements, the manufacturer's incentives align naturally with durability and recovery, since the same asset generates revenue across multiple use cycles, dissolving the conflict between profit and longevity that afflicts conventional sales models [10].</w:t>
      </w:r>
    </w:p>
    <w:p>
      <w:pPr>
        <w:pStyle w:val="Heading1"/>
      </w:pPr>
      <w:r>
        <w:t xml:space="preserve">Section 3. Case-Based Approaches to Sustainable Manufacturing</w:t>
      </w:r>
    </w:p>
    <w:p>
      <w:pPr>
        <w:pStyle w:val="Heading2"/>
      </w:pPr>
      <w:r>
        <w:t xml:space="preserve">3.1 Smart and Sustainable Production Case Studies</w:t>
      </w:r>
    </w:p>
    <w:p>
      <w:pPr>
        <w:pStyle w:val="Normal"/>
      </w:pPr>
      <w:r>
        <w:t xml:space="preserve">The abstract principles of sustainable manufacturing acquire concrete meaning through their application in operating enterprises. Energy-efficient smart factories illustrate how the integration of IoT sensing, analytics, and intelligent control can drive substantial reductions in energy consumption. In such facilities, granular monitoring of energy use at the level of individual machines and processes reveals inefficiencies that aggregate reporting conceals, while automated control systems continuously adjust operations—shifting loads, powering down idle equipment, and optimising climate control—to minimise consumption without compromising output [20]. Documented implementations report energy savings that materially improve both environmental performance and operating margins, demonstrating the economic logic of sustainability [15].</w:t>
      </w:r>
    </w:p>
    <w:p>
      <w:pPr>
        <w:pStyle w:val="Normal"/>
      </w:pPr>
      <w:r>
        <w:t xml:space="preserve">AI-enabled predictive maintenance offers a second compelling case of sustainability delivered through digital capability. Traditional maintenance regimes are either reactive, allowing equipment to fail before repair, or preventive, replacing components on fixed schedules regardless of actual condition; both approaches waste resources, the former through catastrophic failures and the latter through the premature discarding of serviceable parts [26]. Predictive maintenance, by contrast, uses sensor data and machine-learning models to forecast failures before they occur, enabling intervention precisely when needed [19]. This extends equipment life, reduces spare-parts consumption, avoids the energy and material waste of unplanned downtime, and improves worker safety by preventing hazardous failures.</w:t>
      </w:r>
    </w:p>
    <w:p>
      <w:pPr>
        <w:pStyle w:val="Normal"/>
      </w:pPr>
      <w:r>
        <w:t xml:space="preserve">The sustainability dividend of predictive maintenance extends well beyond the immediate savings in parts and downtime. Equipment that is maintained in optimal condition operates at higher efficiency, consuming less energy and generating fewer defective products than equipment allowed to degrade between scheduled interventions. Moreover, by extending the service life of capital assets, predictive maintenance defers the substantial environmental burden embodied in the manufacture of replacement equipment—a burden that is frequently overlooked in analyses focused solely on operational energy [20]. This illustrates a recurring theme of sustainable manufacturing: interventions justified initially on narrow operational grounds frequently deliver environmental benefits that compound across the life cycle, and the fullest appreciation of their value requires a life-cycle rather than a point-in-time perspective. The convergence of predictive maintenance with the digital-twin and industrial-analytics capabilities described earlier further amplifies these benefits, since a digital twin of a critical asset can simulate degradation trajectories and evaluate maintenance strategies before they are enacted in the physical world [24].</w:t>
      </w:r>
    </w:p>
    <w:p>
      <w:pPr>
        <w:pStyle w:val="Normal"/>
      </w:pPr>
      <w:r>
        <w:t xml:space="preserve">Human–robot collaboration for sustainable production demonstrates the human-centric ethos of Industry 5.0 in action. In collaborative assembly cells, cobots handle repetitive and physically demanding operations while human workers contribute dexterity, judgement, and adaptability, producing an outcome superior to either humans or robots working alone [27]. This collaboration reduces defects and rework—thereby conserving materials—while improving the ergonomic conditions and job satisfaction of workers, illustrating the complementarity of the social and environmental dimensions of sustainability [3]. The flexibility of such systems also supports the shift from mass production toward mass customisation, reducing the overproduction and unsold-inventory waste characteristic of forecast-driven manufacturing.</w:t>
      </w:r>
    </w:p>
    <w:p>
      <w:pPr>
        <w:pStyle w:val="Normal"/>
      </w:pPr>
      <w:r>
        <w:t xml:space="preserve">Data-driven reduction of manufacturing waste and emissions synthesises these capabilities into a coherent sustainability strategy. By instrumenting processes, analysing the resulting data, and acting on the insights generated, manufacturers achieve continuous improvement in resource productivity and emissions intensity [21]. The performance improvements documented across a representative set of such initiatives are summarised in Table 2, which quantifies the typical gains in energy, material, and emissions performance reported for each category of intervention, providing a benchmark against which prospective adopters can assess opportunity.</w:t>
      </w:r>
    </w:p>
    <w:p>
      <w:pPr>
        <w:pStyle w:val="TableCaption"/>
      </w:pPr>
      <w:r>
        <w:t xml:space="preserve">Table 2. Representative performance improvements reported for smart and sustainable production interventions.</w:t>
      </w:r>
    </w:p>
    <w:tbl>
      <w:tblPr>
        <w:tblStyle w:val="TableGrid"/>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rPr>
          <w:tblHeader/>
        </w:trPr>
        <w:tc>
          <w:tcPr>
            <w:shd w:val="clear" w:color="auto" w:fill="D9E2F3"/>
            <w:vAlign w:val="center"/>
          </w:tcPr>
          <w:p>
            <w:pPr>
              <w:jc w:val="center"/>
              <w:spacing w:after="40" w:line="240" w:lineRule="auto"/>
            </w:pPr>
            <w:r>
              <w:rPr>
                <w:b/>
              </w:rPr>
              <w:t xml:space="preserve">Intervention</w:t>
            </w:r>
          </w:p>
        </w:tc>
        <w:tc>
          <w:tcPr>
            <w:shd w:val="clear" w:color="auto" w:fill="D9E2F3"/>
            <w:vAlign w:val="center"/>
          </w:tcPr>
          <w:p>
            <w:pPr>
              <w:jc w:val="center"/>
              <w:spacing w:after="40" w:line="240" w:lineRule="auto"/>
            </w:pPr>
            <w:r>
              <w:rPr>
                <w:b/>
              </w:rPr>
              <w:t xml:space="preserve">Primary Mechanism</w:t>
            </w:r>
          </w:p>
        </w:tc>
        <w:tc>
          <w:tcPr>
            <w:shd w:val="clear" w:color="auto" w:fill="D9E2F3"/>
            <w:vAlign w:val="center"/>
          </w:tcPr>
          <w:p>
            <w:pPr>
              <w:jc w:val="center"/>
              <w:spacing w:after="40" w:line="240" w:lineRule="auto"/>
            </w:pPr>
            <w:r>
              <w:rPr>
                <w:b/>
              </w:rPr>
              <w:t xml:space="preserve">Typical Energy Saving</w:t>
            </w:r>
          </w:p>
        </w:tc>
        <w:tc>
          <w:tcPr>
            <w:shd w:val="clear" w:color="auto" w:fill="D9E2F3"/>
            <w:vAlign w:val="center"/>
          </w:tcPr>
          <w:p>
            <w:pPr>
              <w:jc w:val="center"/>
              <w:spacing w:after="40" w:line="240" w:lineRule="auto"/>
            </w:pPr>
            <w:r>
              <w:rPr>
                <w:b/>
              </w:rPr>
              <w:t xml:space="preserve">Typical Material/Waste Reduction</w:t>
            </w:r>
          </w:p>
        </w:tc>
        <w:tc>
          <w:tcPr>
            <w:shd w:val="clear" w:color="auto" w:fill="D9E2F3"/>
            <w:vAlign w:val="center"/>
          </w:tcPr>
          <w:p>
            <w:pPr>
              <w:jc w:val="center"/>
              <w:spacing w:after="40" w:line="240" w:lineRule="auto"/>
            </w:pPr>
            <w:r>
              <w:rPr>
                <w:b/>
              </w:rPr>
              <w:t xml:space="preserve">Emissions Impact</w:t>
            </w:r>
          </w:p>
        </w:tc>
      </w:tr>
      <w:tr>
        <w:tc>
          <w:p>
            <w:pPr>
              <w:spacing w:after="40" w:line="240" w:lineRule="auto"/>
            </w:pPr>
            <w:r>
              <w:t xml:space="preserve">Energy-efficient smart factory</w:t>
            </w:r>
          </w:p>
        </w:tc>
        <w:tc>
          <w:p>
            <w:pPr>
              <w:spacing w:after="40" w:line="240" w:lineRule="auto"/>
            </w:pPr>
            <w:r>
              <w:t xml:space="preserve">Granular monitoring and automated control</w:t>
            </w:r>
          </w:p>
        </w:tc>
        <w:tc>
          <w:p>
            <w:pPr>
              <w:spacing w:after="40" w:line="240" w:lineRule="auto"/>
            </w:pPr>
            <w:r>
              <w:t xml:space="preserve">10–25%</w:t>
            </w:r>
          </w:p>
        </w:tc>
        <w:tc>
          <w:p>
            <w:pPr>
              <w:spacing w:after="40" w:line="240" w:lineRule="auto"/>
            </w:pPr>
            <w:r>
              <w:t xml:space="preserve">5–15% scrap</w:t>
            </w:r>
          </w:p>
        </w:tc>
        <w:tc>
          <w:p>
            <w:pPr>
              <w:spacing w:after="40" w:line="240" w:lineRule="auto"/>
            </w:pPr>
            <w:r>
              <w:t xml:space="preserve">Substantial reduction</w:t>
            </w:r>
          </w:p>
        </w:tc>
      </w:tr>
      <w:tr>
        <w:tc>
          <w:p>
            <w:pPr>
              <w:spacing w:after="40" w:line="240" w:lineRule="auto"/>
            </w:pPr>
            <w:r>
              <w:t xml:space="preserve">AI-enabled predictive maintenance</w:t>
            </w:r>
          </w:p>
        </w:tc>
        <w:tc>
          <w:p>
            <w:pPr>
              <w:spacing w:after="40" w:line="240" w:lineRule="auto"/>
            </w:pPr>
            <w:r>
              <w:t xml:space="preserve">Failure forecasting and condition-based service</w:t>
            </w:r>
          </w:p>
        </w:tc>
        <w:tc>
          <w:p>
            <w:pPr>
              <w:spacing w:after="40" w:line="240" w:lineRule="auto"/>
            </w:pPr>
            <w:r>
              <w:t xml:space="preserve">5–15%</w:t>
            </w:r>
          </w:p>
        </w:tc>
        <w:tc>
          <w:p>
            <w:pPr>
              <w:spacing w:after="40" w:line="240" w:lineRule="auto"/>
            </w:pPr>
            <w:r>
              <w:t xml:space="preserve">20–40% spare parts</w:t>
            </w:r>
          </w:p>
        </w:tc>
        <w:tc>
          <w:p>
            <w:pPr>
              <w:spacing w:after="40" w:line="240" w:lineRule="auto"/>
            </w:pPr>
            <w:r>
              <w:t xml:space="preserve">Moderate reduction</w:t>
            </w:r>
          </w:p>
        </w:tc>
      </w:tr>
      <w:tr>
        <w:tc>
          <w:p>
            <w:pPr>
              <w:spacing w:after="40" w:line="240" w:lineRule="auto"/>
            </w:pPr>
            <w:r>
              <w:t xml:space="preserve">Human–robot collaborative assembly</w:t>
            </w:r>
          </w:p>
        </w:tc>
        <w:tc>
          <w:p>
            <w:pPr>
              <w:spacing w:after="40" w:line="240" w:lineRule="auto"/>
            </w:pPr>
            <w:r>
              <w:t xml:space="preserve">Precision, ergonomics, flexibility</w:t>
            </w:r>
          </w:p>
        </w:tc>
        <w:tc>
          <w:p>
            <w:pPr>
              <w:spacing w:after="40" w:line="240" w:lineRule="auto"/>
            </w:pPr>
            <w:r>
              <w:t xml:space="preserve">5–10%</w:t>
            </w:r>
          </w:p>
        </w:tc>
        <w:tc>
          <w:p>
            <w:pPr>
              <w:spacing w:after="40" w:line="240" w:lineRule="auto"/>
            </w:pPr>
            <w:r>
              <w:t xml:space="preserve">10–30% defects</w:t>
            </w:r>
          </w:p>
        </w:tc>
        <w:tc>
          <w:p>
            <w:pPr>
              <w:spacing w:after="40" w:line="240" w:lineRule="auto"/>
            </w:pPr>
            <w:r>
              <w:t xml:space="preserve">Moderate reduction</w:t>
            </w:r>
          </w:p>
        </w:tc>
      </w:tr>
      <w:tr>
        <w:tc>
          <w:p>
            <w:pPr>
              <w:spacing w:after="40" w:line="240" w:lineRule="auto"/>
            </w:pPr>
            <w:r>
              <w:t xml:space="preserve">Data-driven process optimisation</w:t>
            </w:r>
          </w:p>
        </w:tc>
        <w:tc>
          <w:p>
            <w:pPr>
              <w:spacing w:after="40" w:line="240" w:lineRule="auto"/>
            </w:pPr>
            <w:r>
              <w:t xml:space="preserve">Continuous parameter tuning</w:t>
            </w:r>
          </w:p>
        </w:tc>
        <w:tc>
          <w:p>
            <w:pPr>
              <w:spacing w:after="40" w:line="240" w:lineRule="auto"/>
            </w:pPr>
            <w:r>
              <w:t xml:space="preserve">8–20%</w:t>
            </w:r>
          </w:p>
        </w:tc>
        <w:tc>
          <w:p>
            <w:pPr>
              <w:spacing w:after="40" w:line="240" w:lineRule="auto"/>
            </w:pPr>
            <w:r>
              <w:t xml:space="preserve">10–25% material</w:t>
            </w:r>
          </w:p>
        </w:tc>
        <w:tc>
          <w:p>
            <w:pPr>
              <w:spacing w:after="40" w:line="240" w:lineRule="auto"/>
            </w:pPr>
            <w:r>
              <w:t xml:space="preserve">Substantial reduction</w:t>
            </w:r>
          </w:p>
        </w:tc>
      </w:tr>
    </w:tbl>
    <w:p>
      <w:pPr>
        <w:spacing w:after="120"/>
      </w:pPr>
    </w:p>
    <w:p>
      <w:pPr>
        <w:pStyle w:val="Normal"/>
      </w:pPr>
      <w:r>
        <w:t xml:space="preserve">The magnitudes reported in Table 2 warrant careful interpretation, for the gains achievable in any given facility depend heavily on its starting point, the maturity of its existing systems, and the quality of implementation. Enterprises operating with dated equipment and minimal instrumentation typically realise the largest proportional improvements, since the opportunities for optimisation are correspondingly greater, whereas facilities that have already pursued incremental efficiency may find further gains harder won. The consistent pattern across the case evidence, however, is that the combination of comprehensive sensing, analytical insight, and responsive control delivers improvements that materially exceed those attainable through conventional continuous-improvement programmes alone. Equally significant is the observation that these interventions frequently pay for themselves within commercially acceptable horizons, dissolving the presumed trade-off between environmental performance and financial return that has long deterred investment in sustainability [15].</w:t>
      </w:r>
    </w:p>
    <w:p>
      <w:pPr>
        <w:pStyle w:val="Heading2"/>
      </w:pPr>
      <w:r>
        <w:t xml:space="preserve">3.2 Circular Manufacturing Case Studies</w:t>
      </w:r>
    </w:p>
    <w:p>
      <w:pPr>
        <w:pStyle w:val="Normal"/>
      </w:pPr>
      <w:r>
        <w:t xml:space="preserve">Circular manufacturing case studies reveal the practical mechanisms by which value is retained and materials are kept in circulation. Remanufacturing and refurbishment systems occupy a prominent place among these, restoring used products to like-new condition through disassembly, cleaning, replacement of worn components, and reassembly [35]. Remanufacturing preserves the substantial energy and material investment embodied in a product's original manufacture, typically consuming a fraction of the resources required to produce an equivalent new item, and has achieved commercial maturity in sectors such as automotive components, industrial equipment, and electronics [36]. The economic proposition is compelling: remanufactured products can be offered at lower prices while delivering higher margins, aligning profit with environmental benefit.</w:t>
      </w:r>
    </w:p>
    <w:p>
      <w:pPr>
        <w:pStyle w:val="Normal"/>
      </w:pPr>
      <w:r>
        <w:t xml:space="preserve">The recycling and recovery of industrial materials constitutes a second pillar of circular manufacturing practice. Advances in sorting, separation, and reprocessing technologies have progressively expanded the range of materials that can be recovered at quality sufficient for reintroduction into high-value applications [33]. Closed-loop recycling of metals, in which scrap is recovered and reprocessed into equivalent products, exemplifies the ideal, displacing energy-intensive primary production and its associated emissions [16]. Challenges persist, however, particularly for complex, multi-material products whose components resist economical separation, underscoring the importance of design for recyclability discussed earlier.</w:t>
      </w:r>
    </w:p>
    <w:p>
      <w:pPr>
        <w:pStyle w:val="Normal"/>
      </w:pPr>
      <w:r>
        <w:t xml:space="preserve">Circular product design and sustainable product development demonstrate how circularity is engineered into products from inception. Case studies of modular product architectures reveal how designing for disassembly, standardising components, and enabling upgrades extend product life and facilitate recovery [32]. Products conceived under such principles can be repaired, upgraded, and eventually disassembled for material recovery with an ease that conventionally designed products cannot match, illustrating the decisive influence of the design phase on downstream circularity [34]. These design strategies increasingly incorporate the digital product passports described earlier, embedding the information needed for circular end-of-life management directly into the product.</w:t>
      </w:r>
    </w:p>
    <w:p>
      <w:pPr>
        <w:pStyle w:val="Normal"/>
      </w:pPr>
      <w:r>
        <w:t xml:space="preserve">Industrial symbiosis and waste valorisation complete the circular case-study landscape. Beyond the archetypal Kalundborg network, numerous industrial parks and regional networks have developed symbiotic relationships in which by-products and residual energy flow between enterprises, reducing both waste disposal costs and virgin-resource consumption [46]. Waste valorisation initiatives convert manufacturing residues—metal swarf, polymer off-cuts, organic by-products—into saleable materials or energy, transforming cost centres into revenue streams and closing loops that would otherwise remain open [47]. The relationships and material exchanges characteristic of such industrial symbiosis networks are depicted schematically in Figure 3, which illustrates the web of energy and material flows that binds a symbiotic industrial ecosystem.</w:t>
      </w:r>
    </w:p>
    <w:p>
      <w:pPr>
        <w:pStyle w:val="FigureImage"/>
      </w:pPr>
      <w:r>
        <w:drawing>
          <wp:inline xmlns:wp="http://schemas.openxmlformats.org/drawingml/2006/wordprocessingDrawing" distT="0" distB="0" distL="0" distR="0">
            <wp:extent cx="5486400" cy="3746809"/>
            <wp:effectExtent l="0" t="0" r="0" b="0"/>
            <wp:docPr id="1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e 3"/>
                    <pic:cNvPicPr/>
                  </pic:nvPicPr>
                  <pic:blipFill>
                    <a:blip xmlns:r="http://schemas.openxmlformats.org/officeDocument/2006/relationships" r:embed="rId13"/>
                    <a:stretch>
                      <a:fillRect/>
                    </a:stretch>
                  </pic:blipFill>
                  <pic:spPr>
                    <a:xfrm>
                      <a:off x="0" y="0"/>
                      <a:ext cx="5486400" cy="3746809"/>
                    </a:xfrm>
                    <a:prstGeom prst="rect">
                      <a:avLst/>
                    </a:prstGeom>
                  </pic:spPr>
                </pic:pic>
              </a:graphicData>
            </a:graphic>
          </wp:inline>
        </w:drawing>
      </w:r>
    </w:p>
    <w:p>
      <w:pPr>
        <w:pStyle w:val="Normal"/>
      </w:pPr>
      <w:r>
        <w:t xml:space="preserve">The symbiotic exchanges illustrated in Figure 3 emerge most readily where three conditions coincide: geographic proximity that keeps transport costs low, complementarity between the residual outputs of one enterprise and the input requirements of another, and the institutional trust needed to sustain long-term interdependence. Historically, such conditions arose organically over years or decades, as in Kalundborg, where the network evolved through a series of bilateral agreements rather than central planning. Contemporary practice increasingly seeks to accelerate this evolution through deliberate facilitation, using digital matchmaking platforms to identify potential exchanges and public policy to lower the barriers to their formation [46]. The environmental benefits can be substantial, encompassing reduced virgin-resource extraction, diminished waste disposal, and lower aggregate emissions, while the economic benefits flow from reduced input and disposal costs shared across the participating enterprises. The principal vulnerability of such networks is their interdependence: the closure or reconfiguration of one participant can disrupt the flows on which others depend, underscoring the importance of resilience in circular network design.</w:t>
      </w:r>
    </w:p>
    <w:p>
      <w:pPr>
        <w:pStyle w:val="Heading2"/>
      </w:pPr>
      <w:r>
        <w:t xml:space="preserve">3.3 Sector-Specific Applications and Comparative Analysis</w:t>
      </w:r>
    </w:p>
    <w:p>
      <w:pPr>
        <w:pStyle w:val="Normal"/>
      </w:pPr>
      <w:r>
        <w:t xml:space="preserve">The application of sustainable and circular manufacturing principles varies considerably across industrial sectors, shaped by differences in product characteristics, material composition, regulatory environment, and market structure. In the automotive and transportation industries, sustainability efforts concentrate on lightweighting to reduce use-phase emissions, remanufacturing of components such as engines and transmissions, and the emerging challenge of recovering materials from electric-vehicle batteries [7]. The sector's scale and vertical integration make it a leading adopter of both smart-factory technologies and circular business models, and its long-established remanufacturing infrastructure provides a template for other industries [36].</w:t>
      </w:r>
    </w:p>
    <w:p>
      <w:pPr>
        <w:pStyle w:val="Normal"/>
      </w:pPr>
      <w:r>
        <w:t xml:space="preserve">Circular approaches in the electronics and electrical-equipment sector address one of the most pressing waste challenges of the modern economy. Electronic waste is among the fastest-growing waste streams globally, containing both hazardous substances and valuable materials, including precious and critical metals [40]. Circular strategies in this sector emphasise design for repairability and disassembly, the establishment of take-back and refurbishment programmes, and the recovery of critical materials whose primary extraction carries substantial environmental and geopolitical costs [43]. Digital product passports are particularly consequential here, providing the material-composition information that efficient recovery requires.</w:t>
      </w:r>
    </w:p>
    <w:p>
      <w:pPr>
        <w:pStyle w:val="Normal"/>
      </w:pPr>
      <w:r>
        <w:t xml:space="preserve">Sustainable practices in the textile, food, and consumer-goods industries confront the distinctive challenges of high-volume, short-lifespan products. In textiles, circular strategies target the reduction of water and chemical use in production, the extension of garment life through quality and repair, and the recycling of fibres, an area of active technological development [30]. In the food sector, sustainability efforts address the reduction of processing waste, the valorisation of by-products, and the minimisation of packaging, while consumer-goods manufacturers increasingly adopt refillable and reusable formats to reduce single-use waste [31]. Across these sectors, the tension between the economics of high-volume production and the imperatives of circularity remains a central challenge.</w:t>
      </w:r>
    </w:p>
    <w:p>
      <w:pPr>
        <w:pStyle w:val="Normal"/>
      </w:pPr>
      <w:r>
        <w:t xml:space="preserve">A comparison of technological, environmental, and economic outcomes across sectors reveals both common patterns and instructive differences. Sectors with high-value, durable products—automotive, industrial equipment, electronics—generally find the strongest economic case for remanufacturing and material recovery, since the value retained justifies the cost of recovery [35]. Sectors dominated by low-value, high-volume products face steeper economics, requiring supportive regulation, scale, and innovation to make circularity viable [34]. Table 3 presents a comparative analysis of sustainable and circular manufacturing approaches across the principal industrial sectors, contrasting their dominant strategies, enabling technologies, and characteristic outcomes to inform sector-appropriate strategy.</w:t>
      </w:r>
    </w:p>
    <w:p>
      <w:pPr>
        <w:pStyle w:val="TableCaption"/>
      </w:pPr>
      <w:r>
        <w:t xml:space="preserve">Table 3. Comparative analysis of sustainable and circular manufacturing across principal industrial sectors.</w:t>
      </w:r>
    </w:p>
    <w:tbl>
      <w:tblPr>
        <w:tblStyle w:val="TableGrid"/>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rPr>
          <w:tblHeader/>
        </w:trPr>
        <w:tc>
          <w:tcPr>
            <w:shd w:val="clear" w:color="auto" w:fill="D9E2F3"/>
            <w:vAlign w:val="center"/>
          </w:tcPr>
          <w:p>
            <w:pPr>
              <w:jc w:val="center"/>
              <w:spacing w:after="40" w:line="240" w:lineRule="auto"/>
            </w:pPr>
            <w:r>
              <w:rPr>
                <w:b/>
              </w:rPr>
              <w:t xml:space="preserve">Sector</w:t>
            </w:r>
          </w:p>
        </w:tc>
        <w:tc>
          <w:tcPr>
            <w:shd w:val="clear" w:color="auto" w:fill="D9E2F3"/>
            <w:vAlign w:val="center"/>
          </w:tcPr>
          <w:p>
            <w:pPr>
              <w:jc w:val="center"/>
              <w:spacing w:after="40" w:line="240" w:lineRule="auto"/>
            </w:pPr>
            <w:r>
              <w:rPr>
                <w:b/>
              </w:rPr>
              <w:t xml:space="preserve">Dominant Circular Strategy</w:t>
            </w:r>
          </w:p>
        </w:tc>
        <w:tc>
          <w:tcPr>
            <w:shd w:val="clear" w:color="auto" w:fill="D9E2F3"/>
            <w:vAlign w:val="center"/>
          </w:tcPr>
          <w:p>
            <w:pPr>
              <w:jc w:val="center"/>
              <w:spacing w:after="40" w:line="240" w:lineRule="auto"/>
            </w:pPr>
            <w:r>
              <w:rPr>
                <w:b/>
              </w:rPr>
              <w:t xml:space="preserve">Key Enabling Technologies</w:t>
            </w:r>
          </w:p>
        </w:tc>
        <w:tc>
          <w:tcPr>
            <w:shd w:val="clear" w:color="auto" w:fill="D9E2F3"/>
            <w:vAlign w:val="center"/>
          </w:tcPr>
          <w:p>
            <w:pPr>
              <w:jc w:val="center"/>
              <w:spacing w:after="40" w:line="240" w:lineRule="auto"/>
            </w:pPr>
            <w:r>
              <w:rPr>
                <w:b/>
              </w:rPr>
              <w:t xml:space="preserve">Principal Challenge</w:t>
            </w:r>
          </w:p>
        </w:tc>
        <w:tc>
          <w:tcPr>
            <w:shd w:val="clear" w:color="auto" w:fill="D9E2F3"/>
            <w:vAlign w:val="center"/>
          </w:tcPr>
          <w:p>
            <w:pPr>
              <w:jc w:val="center"/>
              <w:spacing w:after="40" w:line="240" w:lineRule="auto"/>
            </w:pPr>
            <w:r>
              <w:rPr>
                <w:b/>
              </w:rPr>
              <w:t xml:space="preserve">Characteristic Outcome</w:t>
            </w:r>
          </w:p>
        </w:tc>
      </w:tr>
      <w:tr>
        <w:tc>
          <w:p>
            <w:pPr>
              <w:spacing w:after="40" w:line="240" w:lineRule="auto"/>
            </w:pPr>
            <w:r>
              <w:t xml:space="preserve">Automotive and transport</w:t>
            </w:r>
          </w:p>
        </w:tc>
        <w:tc>
          <w:p>
            <w:pPr>
              <w:spacing w:after="40" w:line="240" w:lineRule="auto"/>
            </w:pPr>
            <w:r>
              <w:t xml:space="preserve">Remanufacturing, lightweighting, battery recovery</w:t>
            </w:r>
          </w:p>
        </w:tc>
        <w:tc>
          <w:p>
            <w:pPr>
              <w:spacing w:after="40" w:line="240" w:lineRule="auto"/>
            </w:pPr>
            <w:r>
              <w:t xml:space="preserve">Digital twins, robotics, IoT</w:t>
            </w:r>
          </w:p>
        </w:tc>
        <w:tc>
          <w:p>
            <w:pPr>
              <w:spacing w:after="40" w:line="240" w:lineRule="auto"/>
            </w:pPr>
            <w:r>
              <w:t xml:space="preserve">EV battery recovery complexity</w:t>
            </w:r>
          </w:p>
        </w:tc>
        <w:tc>
          <w:p>
            <w:pPr>
              <w:spacing w:after="40" w:line="240" w:lineRule="auto"/>
            </w:pPr>
            <w:r>
              <w:t xml:space="preserve">Strong economic case, mature infrastructure</w:t>
            </w:r>
          </w:p>
        </w:tc>
      </w:tr>
      <w:tr>
        <w:tc>
          <w:p>
            <w:pPr>
              <w:spacing w:after="40" w:line="240" w:lineRule="auto"/>
            </w:pPr>
            <w:r>
              <w:t xml:space="preserve">Electronics and electrical</w:t>
            </w:r>
          </w:p>
        </w:tc>
        <w:tc>
          <w:p>
            <w:pPr>
              <w:spacing w:after="40" w:line="240" w:lineRule="auto"/>
            </w:pPr>
            <w:r>
              <w:t xml:space="preserve">Repair, take-back, critical-material recovery</w:t>
            </w:r>
          </w:p>
        </w:tc>
        <w:tc>
          <w:p>
            <w:pPr>
              <w:spacing w:after="40" w:line="240" w:lineRule="auto"/>
            </w:pPr>
            <w:r>
              <w:t xml:space="preserve">Digital product passports, blockchain</w:t>
            </w:r>
          </w:p>
        </w:tc>
        <w:tc>
          <w:p>
            <w:pPr>
              <w:spacing w:after="40" w:line="240" w:lineRule="auto"/>
            </w:pPr>
            <w:r>
              <w:t xml:space="preserve">Multi-material separation</w:t>
            </w:r>
          </w:p>
        </w:tc>
        <w:tc>
          <w:p>
            <w:pPr>
              <w:spacing w:after="40" w:line="240" w:lineRule="auto"/>
            </w:pPr>
            <w:r>
              <w:t xml:space="preserve">High material value, hazardous streams</w:t>
            </w:r>
          </w:p>
        </w:tc>
      </w:tr>
      <w:tr>
        <w:tc>
          <w:p>
            <w:pPr>
              <w:spacing w:after="40" w:line="240" w:lineRule="auto"/>
            </w:pPr>
            <w:r>
              <w:t xml:space="preserve">Textiles</w:t>
            </w:r>
          </w:p>
        </w:tc>
        <w:tc>
          <w:p>
            <w:pPr>
              <w:spacing w:after="40" w:line="240" w:lineRule="auto"/>
            </w:pPr>
            <w:r>
              <w:t xml:space="preserve">Fibre recycling, garment longevity</w:t>
            </w:r>
          </w:p>
        </w:tc>
        <w:tc>
          <w:p>
            <w:pPr>
              <w:spacing w:after="40" w:line="240" w:lineRule="auto"/>
            </w:pPr>
            <w:r>
              <w:t xml:space="preserve">Material tracking, AI sorting</w:t>
            </w:r>
          </w:p>
        </w:tc>
        <w:tc>
          <w:p>
            <w:pPr>
              <w:spacing w:after="40" w:line="240" w:lineRule="auto"/>
            </w:pPr>
            <w:r>
              <w:t xml:space="preserve">Fibre blends, fast fashion</w:t>
            </w:r>
          </w:p>
        </w:tc>
        <w:tc>
          <w:p>
            <w:pPr>
              <w:spacing w:after="40" w:line="240" w:lineRule="auto"/>
            </w:pPr>
            <w:r>
              <w:t xml:space="preserve">Emerging recycling technology</w:t>
            </w:r>
          </w:p>
        </w:tc>
      </w:tr>
      <w:tr>
        <w:tc>
          <w:p>
            <w:pPr>
              <w:spacing w:after="40" w:line="240" w:lineRule="auto"/>
            </w:pPr>
            <w:r>
              <w:t xml:space="preserve">Food</w:t>
            </w:r>
          </w:p>
        </w:tc>
        <w:tc>
          <w:p>
            <w:pPr>
              <w:spacing w:after="40" w:line="240" w:lineRule="auto"/>
            </w:pPr>
            <w:r>
              <w:t xml:space="preserve">By-product valorisation, packaging reduction</w:t>
            </w:r>
          </w:p>
        </w:tc>
        <w:tc>
          <w:p>
            <w:pPr>
              <w:spacing w:after="40" w:line="240" w:lineRule="auto"/>
            </w:pPr>
            <w:r>
              <w:t xml:space="preserve">IoT monitoring, analytics</w:t>
            </w:r>
          </w:p>
        </w:tc>
        <w:tc>
          <w:p>
            <w:pPr>
              <w:spacing w:after="40" w:line="240" w:lineRule="auto"/>
            </w:pPr>
            <w:r>
              <w:t xml:space="preserve">Perishability, contamination</w:t>
            </w:r>
          </w:p>
        </w:tc>
        <w:tc>
          <w:p>
            <w:pPr>
              <w:spacing w:after="40" w:line="240" w:lineRule="auto"/>
            </w:pPr>
            <w:r>
              <w:t xml:space="preserve">Waste-to-resource conversion</w:t>
            </w:r>
          </w:p>
        </w:tc>
      </w:tr>
      <w:tr>
        <w:tc>
          <w:p>
            <w:pPr>
              <w:spacing w:after="40" w:line="240" w:lineRule="auto"/>
            </w:pPr>
            <w:r>
              <w:t xml:space="preserve">Consumer goods</w:t>
            </w:r>
          </w:p>
        </w:tc>
        <w:tc>
          <w:p>
            <w:pPr>
              <w:spacing w:after="40" w:line="240" w:lineRule="auto"/>
            </w:pPr>
            <w:r>
              <w:t xml:space="preserve">Refill and reuse formats</w:t>
            </w:r>
          </w:p>
        </w:tc>
        <w:tc>
          <w:p>
            <w:pPr>
              <w:spacing w:after="40" w:line="240" w:lineRule="auto"/>
            </w:pPr>
            <w:r>
              <w:t xml:space="preserve">Reverse logistics platforms</w:t>
            </w:r>
          </w:p>
        </w:tc>
        <w:tc>
          <w:p>
            <w:pPr>
              <w:spacing w:after="40" w:line="240" w:lineRule="auto"/>
            </w:pPr>
            <w:r>
              <w:t xml:space="preserve">Low unit value economics</w:t>
            </w:r>
          </w:p>
        </w:tc>
        <w:tc>
          <w:p>
            <w:pPr>
              <w:spacing w:after="40" w:line="240" w:lineRule="auto"/>
            </w:pPr>
            <w:r>
              <w:t xml:space="preserve">Requires scale and regulation</w:t>
            </w:r>
          </w:p>
        </w:tc>
      </w:tr>
    </w:tbl>
    <w:p>
      <w:pPr>
        <w:spacing w:after="120"/>
      </w:pPr>
    </w:p>
    <w:p>
      <w:pPr>
        <w:pStyle w:val="Normal"/>
      </w:pPr>
      <w:r>
        <w:t xml:space="preserve">The comparative picture assembled in Table 3 cautions against the assumption that a single template for sustainable manufacturing can be transplanted across sectors. The strategies that succeed in the automotive industry, with its high-value components and mature remanufacturing infrastructure, differ markedly from those appropriate to fast-moving consumer goods, where the economics of recovery are unfavourable and prevention or material substitution may offer better returns. Effective strategy therefore begins with a clear-eyed assessment of a sector's product characteristics, value structure, and regulatory context, followed by the selection of circular and sustainable interventions matched to that context. What remains constant across sectors is the enabling role of digital technology and the underlying imperative to design products and systems for longevity and recovery from the outset, even where the specific pathways to those ends diverge. This sector-sensitive approach reflects the broader maturation of sustainable manufacturing from a set of universal prescriptions toward a discipline of contextual judgement informed by evidence [7].</w:t>
      </w:r>
    </w:p>
    <w:p>
      <w:pPr>
        <w:pStyle w:val="Heading1"/>
      </w:pPr>
      <w:r>
        <w:t xml:space="preserve">Section 4. Implementation Challenges, Assessment, and Future Directions</w:t>
      </w:r>
    </w:p>
    <w:p>
      <w:pPr>
        <w:pStyle w:val="Heading2"/>
      </w:pPr>
      <w:r>
        <w:t xml:space="preserve">4.1 Measuring Sustainability and Circularity Performance</w:t>
      </w:r>
    </w:p>
    <w:p>
      <w:pPr>
        <w:pStyle w:val="Normal"/>
      </w:pPr>
      <w:r>
        <w:t xml:space="preserve">The management of sustainable manufacturing depends on the ability to measure performance reliably, for improvements that cannot be measured cannot be systematically pursued or credibly reported. Key performance indicators for sustainable manufacturing span the three dimensions of the triple bottom line, encompassing economic metrics such as cost and productivity, environmental metrics such as energy intensity, water use, and emissions, and social metrics such as safety incidents and workforce development [8]. The selection of a balanced, decision-relevant set of indicators is itself a significant challenge, requiring the translation of broad sustainability aspirations into specific, measurable, and actionable quantities [11].</w:t>
      </w:r>
    </w:p>
    <w:p>
      <w:pPr>
        <w:pStyle w:val="Normal"/>
      </w:pPr>
      <w:r>
        <w:t xml:space="preserve">The difficulty of measurement is compounded by the challenge of defining appropriate system boundaries, for the environmental impact attributed to a product or process depends critically on where the analyst draws the line around the system under study. A boundary drawn narrowly around a single factory may show impressive efficiency while concealing substantial impacts displaced onto suppliers or end users; a boundary drawn too broadly may become analytically intractable and obscure the specific levers available to a given decision-maker. Sound sustainability measurement therefore requires the transparent and consistent definition of boundaries appropriate to the decision at hand, together with clarity about which impacts are included and which are excluded [42]. This methodological rigour is what separates credible sustainability accounting from the superficial claims that have attracted growing scrutiny under the banner of greenwashing, and it is increasingly demanded by the standards and regulations that govern sustainability disclosure [18].</w:t>
      </w:r>
    </w:p>
    <w:p>
      <w:pPr>
        <w:pStyle w:val="Normal"/>
      </w:pPr>
      <w:r>
        <w:t xml:space="preserve">Life-cycle assessment provides the most rigorous methodology for quantifying environmental performance, systematically evaluating the impacts associated with all stages of a product's life from raw-material extraction through disposal [25]. By encompassing the full life cycle, this approach guards against the burden-shifting that occurs when improvements in one stage merely displace impacts to another, and it provides the analytical foundation for carbon-footprint analysis, which quantifies the greenhouse-gas emissions attributable to a product or process [42]. Carbon accounting has assumed particular importance as enterprises commit to emissions-reduction targets and as regulators mandate the disclosure of climate impacts [18].</w:t>
      </w:r>
    </w:p>
    <w:p>
      <w:pPr>
        <w:pStyle w:val="Normal"/>
      </w:pPr>
      <w:r>
        <w:t xml:space="preserve">Energy, material, and resource efficiency metrics translate sustainability performance into the operational language of the shop floor, expressing consumption per unit of output and enabling benchmarking across time, facilities, and enterprises [15]. These metrics support the identification of inefficiencies, the setting of improvement targets, and the verification of progress, and their continuous monitoring through the intelligent systems described earlier transforms sustainability from a periodic reporting exercise into a real-time operational concern [23].</w:t>
      </w:r>
    </w:p>
    <w:p>
      <w:pPr>
        <w:pStyle w:val="Normal"/>
      </w:pPr>
      <w:r>
        <w:t xml:space="preserve">Circularity indicators and sustainability benchmarking address the specific challenge of measuring how well a product or system embodies circular principles. Indicators such as material circularity indices quantify the proportion of a product's material derived from recycled or reused sources and the proportion recovered at end of life, providing a single measure of circular performance [37]. Benchmarking these indicators against peers and against improvement trajectories enables enterprises to position their circular performance and to identify priorities for advancement [31]. The principal categories of sustainability and circularity metrics, together with their units and typical applications, are consolidated in Table 4, which provides a practical reference for the design of measurement systems.</w:t>
      </w:r>
    </w:p>
    <w:p>
      <w:pPr>
        <w:pStyle w:val="TableCaption"/>
      </w:pPr>
      <w:r>
        <w:t xml:space="preserve">Table 4. Principal categories of sustainability and circularity metrics for manufacturing.</w:t>
      </w:r>
    </w:p>
    <w:tbl>
      <w:tblPr>
        <w:tblStyle w:val="TableGrid"/>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rPr>
          <w:tblHeader/>
        </w:trPr>
        <w:tc>
          <w:tcPr>
            <w:shd w:val="clear" w:color="auto" w:fill="D9E2F3"/>
            <w:vAlign w:val="center"/>
          </w:tcPr>
          <w:p>
            <w:pPr>
              <w:jc w:val="center"/>
              <w:spacing w:after="40" w:line="240" w:lineRule="auto"/>
            </w:pPr>
            <w:r>
              <w:rPr>
                <w:b/>
              </w:rPr>
              <w:t xml:space="preserve">Metric Category</w:t>
            </w:r>
          </w:p>
        </w:tc>
        <w:tc>
          <w:tcPr>
            <w:shd w:val="clear" w:color="auto" w:fill="D9E2F3"/>
            <w:vAlign w:val="center"/>
          </w:tcPr>
          <w:p>
            <w:pPr>
              <w:jc w:val="center"/>
              <w:spacing w:after="40" w:line="240" w:lineRule="auto"/>
            </w:pPr>
            <w:r>
              <w:rPr>
                <w:b/>
              </w:rPr>
              <w:t xml:space="preserve">Representative Indicator</w:t>
            </w:r>
          </w:p>
        </w:tc>
        <w:tc>
          <w:tcPr>
            <w:shd w:val="clear" w:color="auto" w:fill="D9E2F3"/>
            <w:vAlign w:val="center"/>
          </w:tcPr>
          <w:p>
            <w:pPr>
              <w:jc w:val="center"/>
              <w:spacing w:after="40" w:line="240" w:lineRule="auto"/>
            </w:pPr>
            <w:r>
              <w:rPr>
                <w:b/>
              </w:rPr>
              <w:t xml:space="preserve">Typical Unit</w:t>
            </w:r>
          </w:p>
        </w:tc>
        <w:tc>
          <w:tcPr>
            <w:shd w:val="clear" w:color="auto" w:fill="D9E2F3"/>
            <w:vAlign w:val="center"/>
          </w:tcPr>
          <w:p>
            <w:pPr>
              <w:jc w:val="center"/>
              <w:spacing w:after="40" w:line="240" w:lineRule="auto"/>
            </w:pPr>
            <w:r>
              <w:rPr>
                <w:b/>
              </w:rPr>
              <w:t xml:space="preserve">Primary Application</w:t>
            </w:r>
          </w:p>
        </w:tc>
      </w:tr>
      <w:tr>
        <w:tc>
          <w:p>
            <w:pPr>
              <w:spacing w:after="40" w:line="240" w:lineRule="auto"/>
            </w:pPr>
            <w:r>
              <w:t xml:space="preserve">Energy performance</w:t>
            </w:r>
          </w:p>
        </w:tc>
        <w:tc>
          <w:p>
            <w:pPr>
              <w:spacing w:after="40" w:line="240" w:lineRule="auto"/>
            </w:pPr>
            <w:r>
              <w:t xml:space="preserve">Energy intensity</w:t>
            </w:r>
          </w:p>
        </w:tc>
        <w:tc>
          <w:p>
            <w:pPr>
              <w:spacing w:after="40" w:line="240" w:lineRule="auto"/>
            </w:pPr>
            <w:r>
              <w:t xml:space="preserve">kWh per unit output</w:t>
            </w:r>
          </w:p>
        </w:tc>
        <w:tc>
          <w:p>
            <w:pPr>
              <w:spacing w:after="40" w:line="240" w:lineRule="auto"/>
            </w:pPr>
            <w:r>
              <w:t xml:space="preserve">Efficiency benchmarking</w:t>
            </w:r>
          </w:p>
        </w:tc>
      </w:tr>
      <w:tr>
        <w:tc>
          <w:p>
            <w:pPr>
              <w:spacing w:after="40" w:line="240" w:lineRule="auto"/>
            </w:pPr>
            <w:r>
              <w:t xml:space="preserve">Carbon performance</w:t>
            </w:r>
          </w:p>
        </w:tc>
        <w:tc>
          <w:p>
            <w:pPr>
              <w:spacing w:after="40" w:line="240" w:lineRule="auto"/>
            </w:pPr>
            <w:r>
              <w:t xml:space="preserve">Carbon footprint</w:t>
            </w:r>
          </w:p>
        </w:tc>
        <w:tc>
          <w:p>
            <w:pPr>
              <w:spacing w:after="40" w:line="240" w:lineRule="auto"/>
            </w:pPr>
            <w:r>
              <w:t xml:space="preserve">kg CO2-eq per unit</w:t>
            </w:r>
          </w:p>
        </w:tc>
        <w:tc>
          <w:p>
            <w:pPr>
              <w:spacing w:after="40" w:line="240" w:lineRule="auto"/>
            </w:pPr>
            <w:r>
              <w:t xml:space="preserve">Emissions reduction targets</w:t>
            </w:r>
          </w:p>
        </w:tc>
      </w:tr>
      <w:tr>
        <w:tc>
          <w:p>
            <w:pPr>
              <w:spacing w:after="40" w:line="240" w:lineRule="auto"/>
            </w:pPr>
            <w:r>
              <w:t xml:space="preserve">Material efficiency</w:t>
            </w:r>
          </w:p>
        </w:tc>
        <w:tc>
          <w:p>
            <w:pPr>
              <w:spacing w:after="40" w:line="240" w:lineRule="auto"/>
            </w:pPr>
            <w:r>
              <w:t xml:space="preserve">Material yield, scrap rate</w:t>
            </w:r>
          </w:p>
        </w:tc>
        <w:tc>
          <w:p>
            <w:pPr>
              <w:spacing w:after="40" w:line="240" w:lineRule="auto"/>
            </w:pPr>
            <w:r>
              <w:t xml:space="preserve">% or kg per unit</w:t>
            </w:r>
          </w:p>
        </w:tc>
        <w:tc>
          <w:p>
            <w:pPr>
              <w:spacing w:after="40" w:line="240" w:lineRule="auto"/>
            </w:pPr>
            <w:r>
              <w:t xml:space="preserve">Waste reduction</w:t>
            </w:r>
          </w:p>
        </w:tc>
      </w:tr>
      <w:tr>
        <w:tc>
          <w:p>
            <w:pPr>
              <w:spacing w:after="40" w:line="240" w:lineRule="auto"/>
            </w:pPr>
            <w:r>
              <w:t xml:space="preserve">Water performance</w:t>
            </w:r>
          </w:p>
        </w:tc>
        <w:tc>
          <w:p>
            <w:pPr>
              <w:spacing w:after="40" w:line="240" w:lineRule="auto"/>
            </w:pPr>
            <w:r>
              <w:t xml:space="preserve">Water intensity</w:t>
            </w:r>
          </w:p>
        </w:tc>
        <w:tc>
          <w:p>
            <w:pPr>
              <w:spacing w:after="40" w:line="240" w:lineRule="auto"/>
            </w:pPr>
            <w:r>
              <w:t xml:space="preserve">litres per unit</w:t>
            </w:r>
          </w:p>
        </w:tc>
        <w:tc>
          <w:p>
            <w:pPr>
              <w:spacing w:after="40" w:line="240" w:lineRule="auto"/>
            </w:pPr>
            <w:r>
              <w:t xml:space="preserve">Resource conservation</w:t>
            </w:r>
          </w:p>
        </w:tc>
      </w:tr>
      <w:tr>
        <w:tc>
          <w:p>
            <w:pPr>
              <w:spacing w:after="40" w:line="240" w:lineRule="auto"/>
            </w:pPr>
            <w:r>
              <w:t xml:space="preserve">Circularity</w:t>
            </w:r>
          </w:p>
        </w:tc>
        <w:tc>
          <w:p>
            <w:pPr>
              <w:spacing w:after="40" w:line="240" w:lineRule="auto"/>
            </w:pPr>
            <w:r>
              <w:t xml:space="preserve">Material circularity index</w:t>
            </w:r>
          </w:p>
        </w:tc>
        <w:tc>
          <w:p>
            <w:pPr>
              <w:spacing w:after="40" w:line="240" w:lineRule="auto"/>
            </w:pPr>
            <w:r>
              <w:t xml:space="preserve">dimensionless (0–1)</w:t>
            </w:r>
          </w:p>
        </w:tc>
        <w:tc>
          <w:p>
            <w:pPr>
              <w:spacing w:after="40" w:line="240" w:lineRule="auto"/>
            </w:pPr>
            <w:r>
              <w:t xml:space="preserve">Circular design assessment</w:t>
            </w:r>
          </w:p>
        </w:tc>
      </w:tr>
      <w:tr>
        <w:tc>
          <w:p>
            <w:pPr>
              <w:spacing w:after="40" w:line="240" w:lineRule="auto"/>
            </w:pPr>
            <w:r>
              <w:t xml:space="preserve">Social</w:t>
            </w:r>
          </w:p>
        </w:tc>
        <w:tc>
          <w:p>
            <w:pPr>
              <w:spacing w:after="40" w:line="240" w:lineRule="auto"/>
            </w:pPr>
            <w:r>
              <w:t xml:space="preserve">Safety incident rate</w:t>
            </w:r>
          </w:p>
        </w:tc>
        <w:tc>
          <w:p>
            <w:pPr>
              <w:spacing w:after="40" w:line="240" w:lineRule="auto"/>
            </w:pPr>
            <w:r>
              <w:t xml:space="preserve">incidents per period</w:t>
            </w:r>
          </w:p>
        </w:tc>
        <w:tc>
          <w:p>
            <w:pPr>
              <w:spacing w:after="40" w:line="240" w:lineRule="auto"/>
            </w:pPr>
            <w:r>
              <w:t xml:space="preserve">Worker well-being</w:t>
            </w:r>
          </w:p>
        </w:tc>
      </w:tr>
    </w:tbl>
    <w:p>
      <w:pPr>
        <w:spacing w:after="120"/>
      </w:pPr>
    </w:p>
    <w:p>
      <w:pPr>
        <w:pStyle w:val="Normal"/>
      </w:pPr>
      <w:r>
        <w:t xml:space="preserve">The metrics catalogued in Table 4 should be understood as instruments in service of decision-making rather than ends in themselves. A common failure mode in sustainability management is the proliferation of indicators that are measured diligently but never acted upon, consuming effort without improving outcomes. Effective measurement systems select a parsimonious set of indicators that are genuinely decision-relevant, ensure their reliable and consistent capture, and embed them within management processes that translate measurement into action [11]. The maturation of digital sensing and analytics has transformed the feasibility of such systems, replacing the periodic, manual, and often estimated measurements of earlier practice with continuous, automated, and verifiable data streams. This transformation is consequential not merely for internal management but for external accountability, since the credibility of sustainability claims increasingly rests on the quality of the underlying measurement and the transparency with which it is reported [18].</w:t>
      </w:r>
    </w:p>
    <w:p>
      <w:pPr>
        <w:pStyle w:val="Heading2"/>
      </w:pPr>
      <w:r>
        <w:t xml:space="preserve">4.2 Barriers and Strategies for Industry 5.0 Transformation</w:t>
      </w:r>
    </w:p>
    <w:p>
      <w:pPr>
        <w:pStyle w:val="Normal"/>
      </w:pPr>
      <w:r>
        <w:t xml:space="preserve">Notwithstanding the compelling logic of sustainable and circular manufacturing, its adoption faces substantial barriers that must be understood and addressed for transformation to proceed. Technological barriers arise from the immaturity of certain recovery and recycling technologies, the difficulty of integrating new digital systems with legacy equipment, and the complexity of coordinating the many technologies on which sustainable manufacturing depends [24]. Financial barriers are frequently decisive: the capital investment required for new equipment, digital infrastructure, and reverse-logistics networks can be substantial, and the returns, while often attractive over the long term, may not materialise within the short payback horizons that many enterprises apply [10].</w:t>
      </w:r>
    </w:p>
    <w:p>
      <w:pPr>
        <w:pStyle w:val="Normal"/>
      </w:pPr>
      <w:r>
        <w:t xml:space="preserve">Organisational barriers stem from the difficulty of changing established practices, structures, and incentives. Sustainable and circular manufacturing frequently requires cross-functional collaboration, new performance metrics, and the abandonment of familiar linear business models, all of which encounter organisational inertia and resistance [5]. The alignment of incentives is particularly problematic, since the benefits of circularity often accrue to different actors, at different times, and in different forms than the costs, complicating the business case within any single organisation [9].</w:t>
      </w:r>
    </w:p>
    <w:p>
      <w:pPr>
        <w:pStyle w:val="Normal"/>
      </w:pPr>
      <w:r>
        <w:t xml:space="preserve">Workforce skills and human-centred change management occupy a position of special importance within the Industry 5.0 framework, which places human well-being at the centre of the transformation. The technologies of sustainable manufacturing demand new competencies in data analysis, digital-system operation, and cross-disciplinary problem-solving, creating skills gaps that must be closed through training and education [2]. Human-centred change management recognises that transformation succeeds only when workers are engaged as partners rather than subjected to change imposed from above, and that the augmentation of human capability, rather than its replacement, is the animating principle of Industry 5.0 [3].</w:t>
      </w:r>
    </w:p>
    <w:p>
      <w:pPr>
        <w:pStyle w:val="Normal"/>
      </w:pPr>
      <w:r>
        <w:t xml:space="preserve">Data security, interoperability, and infrastructure challenges constitute a final cluster of barriers with particular salience for the digitally intensive systems of sustainable manufacturing. The proliferation of connected devices expands the attack surface for cyber threats, demanding robust security measures to protect operational continuity and sensitive data [22]. Interoperability challenges arise from the heterogeneity of systems, standards, and data formats across the many actors in a circular value chain, impeding the information flows on which circularity depends [44]. Strategies for scaling sustainable and circular manufacturing must therefore combine technological solutions with supportive policy, industry collaboration, standard-setting, and the patient cultivation of the capabilities and relationships that transformation requires [4]. The interplay of these barriers and the strategies that address them is represented in Figure 4, which organises the principal obstacles and enabling responses across the technological, financial, organisational, and human dimensions.</w:t>
      </w:r>
    </w:p>
    <w:p>
      <w:pPr>
        <w:pStyle w:val="FigureImage"/>
      </w:pPr>
      <w:r>
        <w:drawing>
          <wp:inline xmlns:wp="http://schemas.openxmlformats.org/drawingml/2006/wordprocessingDrawing" distT="0" distB="0" distL="0" distR="0">
            <wp:extent cx="5486400" cy="3612995"/>
            <wp:effectExtent l="0" t="0" r="0" b="0"/>
            <wp:docPr id="1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re 4"/>
                    <pic:cNvPicPr/>
                  </pic:nvPicPr>
                  <pic:blipFill>
                    <a:blip xmlns:r="http://schemas.openxmlformats.org/officeDocument/2006/relationships" r:embed="rId14"/>
                    <a:stretch>
                      <a:fillRect/>
                    </a:stretch>
                  </pic:blipFill>
                  <pic:spPr>
                    <a:xfrm>
                      <a:off x="0" y="0"/>
                      <a:ext cx="5486400" cy="3612995"/>
                    </a:xfrm>
                    <a:prstGeom prst="rect">
                      <a:avLst/>
                    </a:prstGeom>
                  </pic:spPr>
                </pic:pic>
              </a:graphicData>
            </a:graphic>
          </wp:inline>
        </w:drawing>
      </w:r>
    </w:p>
    <w:p>
      <w:pPr>
        <w:pStyle w:val="Normal"/>
      </w:pPr>
      <w:r>
        <w:t xml:space="preserve">The structured mapping of barriers to strategies presented in Figure 4 underscores an important principle of transformation management: barriers rarely occur in isolation, and effective responses must therefore be coordinated across dimensions rather than pursued piecemeal. A technological investment unaccompanied by workforce development yields underutilised capability; a financial commitment without organisational realignment produces resistance and stalled implementation; and a skills programme divorced from clear strategic direction dissipates its energies. The most successful transformations described in the literature exhibit a systemic quality, addressing the technological, financial, organisational, and human dimensions in concert and sequencing interventions so that each reinforces the others [5]. Policy has a distinctive role to play in this systemic effort, since many of the benefits of sustainable and circular manufacturing are public goods—reduced emissions, conserved resources, diminished waste—whose private returns are insufficient to motivate adequate investment. Well-designed regulation, incentives, and standards can realign private and public interests, accelerating a transformation that market forces alone would advance only slowly [4].</w:t>
      </w:r>
    </w:p>
    <w:p>
      <w:pPr>
        <w:pStyle w:val="Heading2"/>
      </w:pPr>
      <w:r>
        <w:t xml:space="preserve">4.3 Future Perspectives for Sustainable Industry 5.0</w:t>
      </w:r>
    </w:p>
    <w:p>
      <w:pPr>
        <w:pStyle w:val="Normal"/>
      </w:pPr>
      <w:r>
        <w:t xml:space="preserve">The trajectory of sustainable manufacturing points toward systems of increasing autonomy, intelligence, and regenerative capacity. Autonomous and adaptive sustainable manufacturing systems represent a near-term horizon in which production systems sense their environment, reason about sustainability objectives, and adjust their behaviour without continuous human direction, optimising resource use and emissions in real time across changing conditions [20]. Such systems, built on the AI, IoT, and digital-twin foundations described throughout this chapter, promise a level of resource productivity unattainable through human management alone, while remaining subordinate to human-defined goals and values in keeping with the human-centric ethos of Industry 5.0 [19].</w:t>
      </w:r>
    </w:p>
    <w:p>
      <w:pPr>
        <w:pStyle w:val="Normal"/>
      </w:pPr>
      <w:r>
        <w:t xml:space="preserve">AI-enabled circular economy ecosystems extend this intelligence beyond the boundaries of the individual enterprise to the networks of organisations through which materials circulate. Artificial intelligence can orchestrate the complex flows of a circular economy—matching secondary-material supply with demand, optimising reverse-logistics routes, and identifying the highest-value recovery pathway for each product—coordinating the many independent actors whose cooperation circularity requires [38]. As these ecosystems mature, supported by the digital product passports and blockchain traceability discussed earlier, the friction that has historically impeded circular flows may be substantially reduced [43].</w:t>
      </w:r>
    </w:p>
    <w:p>
      <w:pPr>
        <w:pStyle w:val="Normal"/>
      </w:pPr>
      <w:r>
        <w:t xml:space="preserve">Digital twins and real-time sustainability optimisation will increasingly permeate manufacturing, extending from individual assets to entire value chains and enabling the continuous evaluation and improvement of sustainability performance [41]. As digital twins accumulate life-cycle data and integrate with enterprise and supply-chain systems, they will support decisions of growing sophistication, from the optimisation of individual processes to the design of circular product portfolios and the orchestration of symbiotic industrial networks [24]. This pervasive digital modelling of the physical world constitutes one of the most consequential enablers of the sustainable industrial future.</w:t>
      </w:r>
    </w:p>
    <w:p>
      <w:pPr>
        <w:pStyle w:val="Normal"/>
      </w:pPr>
      <w:r>
        <w:t xml:space="preserve">Realising these future systems will demand advances not only in technology but in the institutions, skills, and mental models that surround it. The regenerative manufacturing envisioned by Industry 5.0 requires enterprises capable of thinking across time horizons that extend well beyond the quarterly cycles that dominate contemporary business, supply chains organised around cooperation as much as competition, and a workforce equipped to collaborate fluently with intelligent systems. It also requires a reconception of the relationship between industry and the natural world, from one of extraction and disposal toward one of stewardship and regeneration, in which manufacturing actively restores rather than merely refrains from harming the ecosystems on which it depends [29]. Such a transformation is as much cultural and institutional as it is technological, and its pace will be governed by the slowest of these dimensions to change.</w:t>
      </w:r>
    </w:p>
    <w:p>
      <w:pPr>
        <w:pStyle w:val="Normal"/>
      </w:pPr>
      <w:r>
        <w:t xml:space="preserve">The integration of human intelligence with intelligent machines remains the defining aspiration of Industry 5.0, distinguishing it from the automation-centred vision of its predecessor. The future of sustainable manufacturing is not one of human-free factories but of collaborative systems in which human creativity, judgement, and values guide the immense analytical and physical capabilities of intelligent machines toward outcomes that serve human and planetary well-being [3]. This collaboration positions the pathways toward resilient, regenerative, and net-zero manufacturing not as a distant utopia but as an achievable trajectory, in which industry operates within planetary boundaries, regenerates rather than depletes natural and social capital, and secures its own long-term viability [4]. The convergence of sustainability, circularity, and human-centricity charted throughout this chapter defines the agenda for the coming decades of industrial transformation [2].</w:t>
      </w:r>
    </w:p>
    <w:p>
      <w:pPr>
        <w:pStyle w:val="Heading1"/>
      </w:pPr>
      <w:r>
        <w:t xml:space="preserve">References</w:t>
      </w:r>
    </w:p>
    <w:p>
      <w:pPr>
        <w:pStyle w:val="References"/>
      </w:pPr>
      <w:r>
        <w:t xml:space="preserve">[1] Kagermann, H., Wahlster, W., &amp; Helbig, J. (2013). Recommendations for implementing the strategic initiative INDUSTRIE 4.0. Acatech, National Academy of Science and Engineering, Frankfurt.</w:t>
      </w:r>
    </w:p>
    <w:p>
      <w:pPr>
        <w:pStyle w:val="References"/>
      </w:pPr>
      <w:r>
        <w:t xml:space="preserve">[2] Xu, X., Lu, Y., Vogel-Heuser, B., &amp; Wang, L. (2021). Industry 4.0 and Industry 5.0—Inception, conception and perception. Journal of Manufacturing Systems, 61, 530–535.</w:t>
      </w:r>
    </w:p>
    <w:p>
      <w:pPr>
        <w:pStyle w:val="References"/>
      </w:pPr>
      <w:r>
        <w:t xml:space="preserve">[3] Nahavandi, S. (2019). Industry 5.0—A human-centric solution. Sustainability, 11(16), 4371.</w:t>
      </w:r>
    </w:p>
    <w:p>
      <w:pPr>
        <w:pStyle w:val="References"/>
      </w:pPr>
      <w:r>
        <w:t xml:space="preserve">[4] Breque, M., De Nul, L., &amp; Petridis, A. (2021). Industry 5.0: Towards a sustainable, human-centric and resilient European industry. European Commission, Directorate-General for Research and Innovation, Brussels.</w:t>
      </w:r>
    </w:p>
    <w:p>
      <w:pPr>
        <w:pStyle w:val="References"/>
      </w:pPr>
      <w:r>
        <w:t xml:space="preserve">[5] Leng, J., Sha, W., Wang, B., Zheng, P., Zhuang, C., Liu, Q., Wuest, T., Mourtzis, D., &amp; Wang, L. (2022). Industry 5.0: Prospect and retrospect. Journal of Manufacturing Systems, 65, 279–295.</w:t>
      </w:r>
    </w:p>
    <w:p>
      <w:pPr>
        <w:pStyle w:val="References"/>
      </w:pPr>
      <w:r>
        <w:t xml:space="preserve">[6] International Energy Agency. (2022). Industry: Tracking clean energy progress. IEA, Paris.</w:t>
      </w:r>
    </w:p>
    <w:p>
      <w:pPr>
        <w:pStyle w:val="References"/>
      </w:pPr>
      <w:r>
        <w:t xml:space="preserve">[7] Jamwal, A., Agrawal, R., Sharma, M., &amp; Giallanza, A. (2021). Industry 4.0 technologies for manufacturing sustainability: A systematic review and future research directions. Applied Sciences, 11(12), 5725.</w:t>
      </w:r>
    </w:p>
    <w:p>
      <w:pPr>
        <w:pStyle w:val="References"/>
      </w:pPr>
      <w:r>
        <w:t xml:space="preserve">[8] Elkington, J. (1998). Cannibals with forks: The triple bottom line of 21st century business. New Society Publishers, Gabriola Island.</w:t>
      </w:r>
    </w:p>
    <w:p>
      <w:pPr>
        <w:pStyle w:val="References"/>
      </w:pPr>
      <w:r>
        <w:t xml:space="preserve">[9] Sartal, A., Bellas, R., Mejías, A. M., &amp; García-Collado, A. (2020). The sustainable manufacturing concept, evolution and opportunities within Industry 4.0: A literature review. Advances in Mechanical Engineering, 12(5), 1–17.</w:t>
      </w:r>
    </w:p>
    <w:p>
      <w:pPr>
        <w:pStyle w:val="References"/>
      </w:pPr>
      <w:r>
        <w:t xml:space="preserve">[10] Geissdoerfer, M., Savaget, P., Bocken, N. M. P., &amp; Hultink, E. J. (2017). The circular economy—A new sustainability paradigm? Journal of Cleaner Production, 143, 757–768.</w:t>
      </w:r>
    </w:p>
    <w:p>
      <w:pPr>
        <w:pStyle w:val="References"/>
      </w:pPr>
      <w:r>
        <w:t xml:space="preserve">[11] Rosen, M. A., &amp; Kishawy, H. A. (2012). Sustainable manufacturing and design: Concepts, practices and needs. Sustainability, 4(2), 154–174.</w:t>
      </w:r>
    </w:p>
    <w:p>
      <w:pPr>
        <w:pStyle w:val="References"/>
      </w:pPr>
      <w:r>
        <w:t xml:space="preserve">[12] Garetti, M., &amp; Taisch, M. (2012). Sustainable manufacturing: Trends and research challenges. Production Planning &amp; Control, 23(2–3), 83–104.</w:t>
      </w:r>
    </w:p>
    <w:p>
      <w:pPr>
        <w:pStyle w:val="References"/>
      </w:pPr>
      <w:r>
        <w:t xml:space="preserve">[13] Fresner, J. (1998). Cleaner production as a means for effective environmental management. Journal of Cleaner Production, 6(3–4), 171–179.</w:t>
      </w:r>
    </w:p>
    <w:p>
      <w:pPr>
        <w:pStyle w:val="References"/>
      </w:pPr>
      <w:r>
        <w:t xml:space="preserve">[14] Dornfeld, D. A. (2014). Moving towards green and sustainable manufacturing. International Journal of Precision Engineering and Manufacturing-Green Technology, 1(1), 63–66.</w:t>
      </w:r>
    </w:p>
    <w:p>
      <w:pPr>
        <w:pStyle w:val="References"/>
      </w:pPr>
      <w:r>
        <w:t xml:space="preserve">[15] Duflou, J. R., Sutherland, J. W., Dornfeld, D., Herrmann, C., Jeswiet, J., Kara, S., Hauschild, M., &amp; Kellens, K. (2012). Towards energy and resource efficient manufacturing: A processes and systems approach. CIRP Annals, 61(2), 587–609.</w:t>
      </w:r>
    </w:p>
    <w:p>
      <w:pPr>
        <w:pStyle w:val="References"/>
      </w:pPr>
      <w:r>
        <w:t xml:space="preserve">[16] Allwood, J. M., Ashby, M. F., Gutowski, T. G., &amp; Worrell, E. (2011). Material efficiency: A white paper. Resources, Conservation and Recycling, 55(3), 362–381.</w:t>
      </w:r>
    </w:p>
    <w:p>
      <w:pPr>
        <w:pStyle w:val="References"/>
      </w:pPr>
      <w:r>
        <w:t xml:space="preserve">[17] Gillan, S. L., Koch, A., &amp; Starks, L. T. (2021). Firms and social responsibility: A review of ESG and CSR research in corporate finance. Journal of Corporate Finance, 66, 101889.</w:t>
      </w:r>
    </w:p>
    <w:p>
      <w:pPr>
        <w:pStyle w:val="References"/>
      </w:pPr>
      <w:r>
        <w:t xml:space="preserve">[18] Christensen, H. B., Hail, L., &amp; Leuz, C. (2021). Mandatory CSR and sustainability reporting: Economic analysis and literature review. Review of Accounting Studies, 26(3), 1176–1248.</w:t>
      </w:r>
    </w:p>
    <w:p>
      <w:pPr>
        <w:pStyle w:val="References"/>
      </w:pPr>
      <w:r>
        <w:t xml:space="preserve">[19] Wang, J., Ma, Y., Zhang, L., Gao, R. X., &amp; Wu, D. (2018). Deep learning for smart manufacturing: Methods and applications. Journal of Manufacturing Systems, 48, 144–156.</w:t>
      </w:r>
    </w:p>
    <w:p>
      <w:pPr>
        <w:pStyle w:val="References"/>
      </w:pPr>
      <w:r>
        <w:t xml:space="preserve">[20] Kusiak, A. (2018). Smart manufacturing. International Journal of Production Research, 56(1–2), 508–517.</w:t>
      </w:r>
    </w:p>
    <w:p>
      <w:pPr>
        <w:pStyle w:val="References"/>
      </w:pPr>
      <w:r>
        <w:t xml:space="preserve">[21] Tao, F., Qi, Q., Liu, A., &amp; Kusiak, A. (2018). Data-driven smart manufacturing. Journal of Manufacturing Systems, 48, 157–169.</w:t>
      </w:r>
    </w:p>
    <w:p>
      <w:pPr>
        <w:pStyle w:val="References"/>
      </w:pPr>
      <w:r>
        <w:t xml:space="preserve">[22] Boyes, H., Hallaq, B., Cunningham, J., &amp; Watson, T. (2018). The industrial internet of things (IIoT): An analysis framework. Computers in Industry, 101, 1–12.</w:t>
      </w:r>
    </w:p>
    <w:p>
      <w:pPr>
        <w:pStyle w:val="References"/>
      </w:pPr>
      <w:r>
        <w:t xml:space="preserve">[23] Zhong, R. Y., Xu, X., Klotz, E., &amp; Newman, S. T. (2017). Intelligent manufacturing in the context of Industry 4.0: A review. Engineering, 3(5), 616–630.</w:t>
      </w:r>
    </w:p>
    <w:p>
      <w:pPr>
        <w:pStyle w:val="References"/>
      </w:pPr>
      <w:r>
        <w:t xml:space="preserve">[24] Tao, F., Zhang, H., Liu, A., &amp; Nee, A. Y. C. (2019). Digital twin in industry: State-of-the-art. IEEE Transactions on Industrial Informatics, 15(4), 2405–2415.</w:t>
      </w:r>
    </w:p>
    <w:p>
      <w:pPr>
        <w:pStyle w:val="References"/>
      </w:pPr>
      <w:r>
        <w:t xml:space="preserve">[25] Grieves, M., &amp; Vickers, J. (2017). Digital twin: Mitigating unpredictable, undesirable emergent behavior in complex systems. In Transdisciplinary Perspectives on Complex Systems (pp. 85–113). Springer, Cham.</w:t>
      </w:r>
    </w:p>
    <w:p>
      <w:pPr>
        <w:pStyle w:val="References"/>
      </w:pPr>
      <w:r>
        <w:t xml:space="preserve">[26] Villani, V., Pini, F., Leali, F., &amp; Secchi, C. (2018). Survey on human–robot collaboration in industrial settings: Safety, intuitive interfaces and applications. Mechatronics, 55, 248–266.</w:t>
      </w:r>
    </w:p>
    <w:p>
      <w:pPr>
        <w:pStyle w:val="References"/>
      </w:pPr>
      <w:r>
        <w:t xml:space="preserve">[27] Wang, L., Gao, R., Váncza, J., Krüger, J., Wang, X. V., Makris, S., &amp; Chryssolouris, G. (2019). Symbiotic human–robot collaborative assembly. CIRP Annals, 68(2), 701–726.</w:t>
      </w:r>
    </w:p>
    <w:p>
      <w:pPr>
        <w:pStyle w:val="References"/>
      </w:pPr>
      <w:r>
        <w:t xml:space="preserve">[28] Shi, W., Cao, J., Zhang, Q., Li, Y., &amp; Xu, L. (2016). Edge computing: Vision and challenges. IEEE Internet of Things Journal, 3(5), 637–646.</w:t>
      </w:r>
    </w:p>
    <w:p>
      <w:pPr>
        <w:pStyle w:val="References"/>
      </w:pPr>
      <w:r>
        <w:t xml:space="preserve">[29] Stahel, W. R. (2016). The circular economy. Nature, 531(7595), 435–438.</w:t>
      </w:r>
    </w:p>
    <w:p>
      <w:pPr>
        <w:pStyle w:val="References"/>
      </w:pPr>
      <w:r>
        <w:t xml:space="preserve">[30] Ellen MacArthur Foundation. (2013). Towards the circular economy: Economic and business rationale for an accelerated transition. Ellen MacArthur Foundation, Cowes.</w:t>
      </w:r>
    </w:p>
    <w:p>
      <w:pPr>
        <w:pStyle w:val="References"/>
      </w:pPr>
      <w:r>
        <w:t xml:space="preserve">[31] Bocken, N. M. P., de Pauw, I., Bakker, C., &amp; van der Grinten, B. (2016). Product design and business model strategies for a circular economy. Journal of Industrial and Production Engineering, 33(5), 308–320.</w:t>
      </w:r>
    </w:p>
    <w:p>
      <w:pPr>
        <w:pStyle w:val="References"/>
      </w:pPr>
      <w:r>
        <w:t xml:space="preserve">[32] Bakker, C., Wang, F., Huisman, J., &amp; den Hollander, M. (2014). Products that go round: Exploring product life extension through design. Journal of Cleaner Production, 69, 10–16.</w:t>
      </w:r>
    </w:p>
    <w:p>
      <w:pPr>
        <w:pStyle w:val="References"/>
      </w:pPr>
      <w:r>
        <w:t xml:space="preserve">[33] Go, T. F., Wahab, D. A., &amp; Hishamuddin, H. (2015). Multiple generation life-cycles for product sustainability: The way forward. Journal of Cleaner Production, 95, 16–29.</w:t>
      </w:r>
    </w:p>
    <w:p>
      <w:pPr>
        <w:pStyle w:val="References"/>
      </w:pPr>
      <w:r>
        <w:t xml:space="preserve">[34] Kirchherr, J., Reike, D., &amp; Hekkert, M. (2017). Conceptualizing the circular economy: An analysis of 114 definitions. Resources, Conservation and Recycling, 127, 221–232.</w:t>
      </w:r>
    </w:p>
    <w:p>
      <w:pPr>
        <w:pStyle w:val="References"/>
      </w:pPr>
      <w:r>
        <w:t xml:space="preserve">[35] Ijomah, W. L., McMahon, C. A., Hammond, G. P., &amp; Newman, S. T. (2007). Development of design for remanufacturing guidelines to support sustainable manufacturing. Robotics and Computer-Integrated Manufacturing, 23(6), 712–719.</w:t>
      </w:r>
    </w:p>
    <w:p>
      <w:pPr>
        <w:pStyle w:val="References"/>
      </w:pPr>
      <w:r>
        <w:t xml:space="preserve">[36] Lund, R. T., &amp; Hauser, W. M. (2010). Remanufacturing—An American perspective. Proceedings of the 5th International Conference on Responsive Manufacturing—Green Manufacturing, 1–6.</w:t>
      </w:r>
    </w:p>
    <w:p>
      <w:pPr>
        <w:pStyle w:val="References"/>
      </w:pPr>
      <w:r>
        <w:t xml:space="preserve">[37] Ellen MacArthur Foundation. (2015). Circularity indicators: An approach to measuring circularity—Methodology. Ellen MacArthur Foundation, Cowes.</w:t>
      </w:r>
    </w:p>
    <w:p>
      <w:pPr>
        <w:pStyle w:val="References"/>
      </w:pPr>
      <w:r>
        <w:t xml:space="preserve">[38] Ramadoss, T. S., Alam, H., &amp; Seeram, R. (2018). Artificial intelligence and Internet of Things enabled circular economy. International Journal of Engineering Science and Computing, 8(6), 18470–18475.</w:t>
      </w:r>
    </w:p>
    <w:p>
      <w:pPr>
        <w:pStyle w:val="References"/>
      </w:pPr>
      <w:r>
        <w:t xml:space="preserve">[39] Nascimento, D. L. M., Alencastro, V., Quelhas, O. L. G., Caiado, R. G. G., Garza-Reyes, J. A., Rocha-Lona, L., &amp; Tortorella, G. (2019). Exploring Industry 4.0 technologies to enable circular economy practices in a manufacturing context. Journal of Manufacturing Technology Management, 30(3), 607–627.</w:t>
      </w:r>
    </w:p>
    <w:p>
      <w:pPr>
        <w:pStyle w:val="References"/>
      </w:pPr>
      <w:r>
        <w:t xml:space="preserve">[40] Rajput, S., &amp; Singh, S. P. (2019). Connecting circular economy and Industry 4.0. International Journal of Information Management, 49, 98–113.</w:t>
      </w:r>
    </w:p>
    <w:p>
      <w:pPr>
        <w:pStyle w:val="References"/>
      </w:pPr>
      <w:r>
        <w:t xml:space="preserve">[41] Wang, X. V., &amp; Wang, L. (2019). Digital twin-based WEEE recycling, recovery and remanufacturing in the background of Industry 4.0. International Journal of Production Research, 57(12), 3892–3902.</w:t>
      </w:r>
    </w:p>
    <w:p>
      <w:pPr>
        <w:pStyle w:val="References"/>
      </w:pPr>
      <w:r>
        <w:t xml:space="preserve">[42] Finnveden, G., Hauschild, M. Z., Ekvall, T., Guinée, J., Heijungs, R., Hellweg, S., Koehler, A., Pennington, D., &amp; Suh, S. (2009). Recent developments in life cycle assessment. Journal of Environmental Management, 91(1), 1–21.</w:t>
      </w:r>
    </w:p>
    <w:p>
      <w:pPr>
        <w:pStyle w:val="References"/>
      </w:pPr>
      <w:r>
        <w:t xml:space="preserve">[43] Adisorn, T., Tholen, L., &amp; Götz, T. (2021). Towards a digital product passport fit for contributing to a circular economy. Energies, 14(8), 2289.</w:t>
      </w:r>
    </w:p>
    <w:p>
      <w:pPr>
        <w:pStyle w:val="References"/>
      </w:pPr>
      <w:r>
        <w:t xml:space="preserve">[44] Saberi, S., Kouhizadeh, M., Sarkis, J., &amp; Shen, L. (2019). Blockchain technology and its relationships to sustainable supply chain management. International Journal of Production Research, 57(7), 2117–2135.</w:t>
      </w:r>
    </w:p>
    <w:p>
      <w:pPr>
        <w:pStyle w:val="References"/>
      </w:pPr>
      <w:r>
        <w:t xml:space="preserve">[45] Govindan, K., Soleimani, H., &amp; Kannan, D. (2015). Reverse logistics and closed-loop supply chain: A comprehensive review to explore the future. European Journal of Operational Research, 240(3), 603–626.</w:t>
      </w:r>
    </w:p>
    <w:p>
      <w:pPr>
        <w:pStyle w:val="References"/>
      </w:pPr>
      <w:r>
        <w:t xml:space="preserve">[46] Chertow, M. R. (2000). Industrial symbiosis: Literature and taxonomy. Annual Review of Energy and the Environment, 25, 313–337.</w:t>
      </w:r>
    </w:p>
    <w:p>
      <w:pPr>
        <w:pStyle w:val="References"/>
      </w:pPr>
      <w:r>
        <w:t xml:space="preserve">[47] Jacobsen, N. B. (2006). Industrial symbiosis in Kalundborg, Denmark: A quantitative assessment of economic and environmental aspects. Journal of Industrial Ecology, 10(1–2), 239–255.</w:t>
      </w:r>
    </w:p>
    <w:p>
      <w:pPr>
        <w:pStyle w:val="Normal"/>
      </w:pPr>
      <w:r>
        <w:rPr>
          <w:b/>
        </w:rPr>
        <w:t xml:space="preserve">Note:</w:t>
      </w:r>
      <w:r>
        <w:t xml:space="preserve"> Figures 1–4 are embedded within the chapter at their points of first citation. Tables 1–4 appear inline within the relevant sections.</w:t>
      </w:r>
    </w:p>
    <w:sectPr>
      <w:pgSz w:w="12240" w:h="15840"/>
      <w:pgMar w:top="1440" w:right="1440" w:bottom="1440" w:left="1440" w:header="720" w:footer="720" w:gutter="0"/>
    </w:sectPr>
  </w:body>
</w:document>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360" w:lineRule="auto"/>
      </w:pPr>
    </w:pPrDefault>
  </w:docDefaults>
  <w:style w:type="paragraph" w:styleId="Normal" w:default="1">
    <w:name w:val="Normal"/>
    <w:pPr>
      <w:jc w:val="both"/>
    </w:pPr>
  </w:style>
  <w:style w:type="paragraph" w:styleId="Title">
    <w:name w:val="Title"/>
    <w:basedOn w:val="Normal"/>
    <w:pPr>
      <w:jc w:val="center"/>
      <w:spacing w:after="240"/>
    </w:pPr>
    <w:rPr>
      <w:b/>
      <w:sz w:val="34"/>
      <w:szCs w:val="34"/>
    </w:rPr>
  </w:style>
  <w:style w:type="paragraph" w:styleId="Heading1">
    <w:name w:val="heading 1"/>
    <w:basedOn w:val="Normal"/>
    <w:pPr>
      <w:spacing w:before="360" w:after="120"/>
      <w:jc w:val="left"/>
      <w:keepNext/>
    </w:pPr>
    <w:rPr>
      <w:b/>
      <w:sz w:val="28"/>
      <w:szCs w:val="28"/>
    </w:rPr>
  </w:style>
  <w:style w:type="paragraph" w:styleId="Heading2">
    <w:name w:val="heading 2"/>
    <w:basedOn w:val="Normal"/>
    <w:pPr>
      <w:spacing w:before="240" w:after="120"/>
      <w:jc w:val="left"/>
      <w:keepNext/>
    </w:pPr>
    <w:rPr>
      <w:b/>
      <w:sz w:val="26"/>
      <w:szCs w:val="26"/>
    </w:rPr>
  </w:style>
  <w:style w:type="paragraph" w:styleId="Heading3">
    <w:name w:val="heading 3"/>
    <w:basedOn w:val="Normal"/>
    <w:pPr>
      <w:spacing w:before="200" w:after="100"/>
      <w:jc w:val="left"/>
      <w:keepNext/>
    </w:pPr>
    <w:rPr>
      <w:b/>
      <w:i/>
      <w:sz w:val="24"/>
      <w:szCs w:val="24"/>
    </w:rPr>
  </w:style>
  <w:style w:type="paragraph" w:styleId="Abstract">
    <w:name w:val="Abstract"/>
    <w:basedOn w:val="Normal"/>
    <w:pPr>
      <w:ind w:left="480" w:right="480"/>
    </w:pPr>
    <w:rPr>
      <w:i/>
    </w:rPr>
  </w:style>
  <w:style w:type="paragraph" w:styleId="References">
    <w:name w:val="References"/>
    <w:basedOn w:val="Normal"/>
    <w:pPr>
      <w:ind w:left="480" w:hanging="480"/>
      <w:spacing w:after="60"/>
      <w:jc w:val="left"/>
    </w:pPr>
    <w:rPr>
      <w:sz w:val="22"/>
      <w:szCs w:val="22"/>
    </w:rPr>
  </w:style>
  <w:style w:type="paragraph" w:styleId="FigureImage">
    <w:name w:val="Figure Image"/>
    <w:basedOn w:val="Normal"/>
    <w:pPr>
      <w:jc w:val="center"/>
      <w:spacing w:before="180" w:after="60"/>
      <w:keepNext/>
    </w:pPr>
  </w:style>
  <w:style w:type="paragraph" w:styleId="FigureCaption">
    <w:name w:val="Figure Caption"/>
    <w:basedOn w:val="Normal"/>
    <w:pPr>
      <w:jc w:val="center"/>
      <w:spacing w:before="0" w:after="240"/>
    </w:pPr>
    <w:rPr>
      <w:i/>
      <w:sz w:val="22"/>
      <w:szCs w:val="22"/>
    </w:rPr>
  </w:style>
  <w:style w:type="paragraph" w:styleId="TableCaption">
    <w:name w:val="Table Caption"/>
    <w:basedOn w:val="Normal"/>
    <w:pPr>
      <w:spacing w:before="180" w:after="60"/>
      <w:jc w:val="left"/>
      <w:keepNext/>
    </w:pPr>
    <w:rPr>
      <w:b/>
      <w:sz w:val="22"/>
      <w:szCs w:val="22"/>
    </w:r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11" Type="http://schemas.openxmlformats.org/officeDocument/2006/relationships/image" Target="media/Figure_1.png"/>
<Relationship Id="rId12" Type="http://schemas.openxmlformats.org/officeDocument/2006/relationships/image" Target="media/Figure_2.png"/>
<Relationship Id="rId13" Type="http://schemas.openxmlformats.org/officeDocument/2006/relationships/image" Target="media/Figure_3.png"/>
<Relationship Id="rId14" Type="http://schemas.openxmlformats.org/officeDocument/2006/relationships/image" Target="media/Figure_4.png"/>
</Relationships>
</file>