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b/>
        </w:rPr>
        <w:t xml:space="preserve">Machine Learning and Explainable Artificial Intelligence for Personalized COPD Exacerbation Risk Prediction: From Clinical Phenotyping to Precision Respiratory Medicine</w:t>
      </w:r>
    </w:p>
    <w:p>
      <w:pPr>
        <w:pStyle w:val="Heading2"/>
      </w:pPr>
      <w:r>
        <w:rPr>
          <w:b/>
        </w:rPr>
        <w:t xml:space="preserve">Abstract</w:t>
      </w:r>
    </w:p>
    <w:p>
      <w:pPr>
        <w:pStyle w:val="Normal"/>
      </w:pPr>
      <w:r>
        <w:rPr>
          <w:i/>
        </w:rPr>
        <w:t xml:space="preserve">Chronic obstructive pulmonary disease (COPD) remains a leading cause of morbidity and mortality worldwide, with acute exacerbations representing critical events that accelerate disease progression and impose substantial healthcare burdens. Traditional risk stratification approaches, while clinically useful, are limited in their ability to capture the complex, nonlinear interactions among demographic, physiological, inflammatory, and comorbidity variables that drive individual exacerbation risk. This chapter provides a comprehensive examination of machine learning (ML) and explainable artificial intelligence (XAI) methodologies applied to personalized COPD exacerbation prediction. We discuss clinical phenotyping and treatable traits, data acquisition and preprocessing strategies, supervised learning algorithms including logistic regression, random forests, gradient boosting machines, and XGBoost, and rigorous model evaluation frameworks. We present SHAP (SHapley Additive exPlanations)-based interpretability methods that enable both global and patient-level model explanation, facilitating clinician trust and informed decision-making. Emphasis is placed on translating predictive models into clinical decision-support systems, integrating multimodal data sources, and advancing toward federated learning and dynamic prediction architectures. This work demonstrates that ML-based approaches, when combined with explainable AI, offer a transformative pathway from population-level risk classification toward individualized, phenotype-informed precision respiratory medicine.</w:t>
      </w:r>
    </w:p>
    <w:p>
      <w:pPr>
        <w:pStyle w:val="Normal"/>
      </w:pPr>
      <w:r>
        <w:t xml:space="preserve">Keywords: COPD; acute exacerbation; machine learning; explainable artificial intelligence; SHAP; clinical prediction model; phenotyping; precision medicine; risk stratification; clinical decision support</w:t>
      </w:r>
    </w:p>
    <w:p>
      <w:pPr>
        <w:pStyle w:val="Heading1"/>
      </w:pPr>
      <w:r>
        <w:rPr>
          <w:b/>
        </w:rPr>
        <w:t xml:space="preserve">Section 1: Foundations of COPD, Clinical Phenotyping, and Exacerbation Risk</w:t>
      </w:r>
    </w:p>
    <w:p>
      <w:pPr>
        <w:pStyle w:val="Heading2"/>
      </w:pPr>
      <w:r>
        <w:rPr>
          <w:b/>
        </w:rPr>
        <w:t xml:space="preserve">1.1 COPD Pathophysiology and the Clinical Burden of Acute Exacerbations</w:t>
      </w:r>
    </w:p>
    <w:p>
      <w:pPr>
        <w:pStyle w:val="Normal"/>
      </w:pPr>
      <w:r>
        <w:t xml:space="preserve">Chronic obstructive pulmonary disease (COPD) is a heterogeneous, progressive respiratory condition characterized by persistent airflow limitation resulting from chronic inflammation of the airways and lung parenchyma [1]. The disease affects an estimated 384 million people globally and is projected to become the third leading cause of death worldwide by 2030 [2,3]. COPD pathophysiology involves a complex interplay of chronic bronchitis, small-airway remodeling, mucus hypersecretion, and emphysematous destruction of alveolar tissue, driven by prolonged exposure to noxious particles and gases, particularly tobacco smoke and biomass fuel combustion [1,41]. The inflammatory cascade involves recruitment and activation of neutrophils, macrophages, and CD8+ T-lymphocytes, with release of proteases, oxidants, and pro-inflammatory cytokines that perpetuate tissue damage and impair repair mechanisms [2,5]. Structural changes include goblet cell hyperplasia, submucosal gland hypertrophy, peribronchiolar fibrosis, and loss of elastic recoil, collectively contributing to expiratory airflow limitation and dynamic hyperinflation [1,41].</w:t>
      </w:r>
    </w:p>
    <w:p>
      <w:pPr>
        <w:pStyle w:val="Normal"/>
      </w:pPr>
      <w:r>
        <w:t xml:space="preserve">Acute exacerbations of COPD (AECOPD) represent sentinel events in the natural history of the disease, defined as acute worsening of respiratory symptoms beyond normal day-to-day variation that necessitate changes in medication [4,5]. These episodes are triggered by respiratory infections (viral in 40-60% and bacterial in 30-50% of cases), environmental pollutants, and in approximately 30% of episodes, no identifiable cause [5,36]. The Anthonisen classification distinguishes exacerbation severity based on cardinal symptoms: increased dyspnea, increased sputum volume, and increased sputum purulence, with type I exacerbations (all three symptoms) representing the most severe presentation [36]. Exacerbations are further categorized as moderate (requiring outpatient treatment with systemic corticosteroids and/or antibiotics) or severe (requiring emergency department attendance or hospitalization) [1,4].</w:t>
      </w:r>
    </w:p>
    <w:p>
      <w:pPr>
        <w:pStyle w:val="Normal"/>
      </w:pPr>
      <w:r>
        <w:t xml:space="preserve">The clinical consequences of AECOPD are profound and multidimensional. Each exacerbation episode is associated with accelerated decline in forced expiratory volume in one second (FEV₁), with frequent exacerbators demonstrating annual FEV₁ decline rates approximately 25-30 mL/year greater than infrequent exacerbators [35,37]. Recovery from exacerbations is often incomplete, with approximately 25% of patients failing to return to baseline lung function within 35 days, and a subset experiencing permanent physiological deterioration [5,37]. Health-related quality of life, as measured by the St. George’s Respiratory Questionnaire and COPD Assessment Test, deteriorates significantly with each exacerbation, with impairment persisting well beyond symptom resolution [12]. Hospitalizations for AECOPD carry a 30-day mortality rate of 4-8%, a 90-day readmission rate of 25-35%, and a one-year mortality approaching 23% [4,14]. The economic burden is substantial, with exacerbation-related hospitalizations accounting for over 70% of total COPD healthcare expenditure, estimated at over $32 billion annually in the United States alone [1,5,14].</w:t>
      </w:r>
    </w:p>
    <w:p>
      <w:pPr>
        <w:pStyle w:val="Normal"/>
      </w:pPr>
      <w:r>
        <w:t xml:space="preserve">The clinical importance of predicting future exacerbation events cannot be overstated. Early identification of patients at elevated risk enables proactive implementation of preventive strategies, including pharmacotherapy escalation, pulmonary rehabilitation referral, vaccination programs, and enhanced self-management support [1,8]. The concept illustrated in Figure 1 demonstrates the conceptual framework linking disease pathophysiology, clinical phenotypes, and machine learning-based prediction of exacerbation risk. The temporal clustering phenomenon, whereby an exacerbation significantly increases the probability of subsequent events within the following 8 weeks, further emphasizes the importance of timely risk identification and intervention [4,37]. However, traditional risk assessment approaches demonstrate limited discriminative ability at the individual patient level, typically achieving areas under the curve (AUC) of 0.65-0.72, highlighting the need for advanced computational methods capable of integrating multidimensional clinical information into personalized risk estimates [38].</w:t>
      </w:r>
    </w:p>
    <w:p>
      <w:pPr>
        <w:jc w:val="center"/>
      </w:pPr>
      <w:r>
        <w:drawing>
          <wp:inline xmlns:wp="http://schemas.openxmlformats.org/drawingml/2006/wordprocessingDrawing" distT="0" distB="0" distL="0" distR="0">
            <wp:extent cx="5486400" cy="3429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1"/>
                    <a:stretch>
                      <a:fillRect/>
                    </a:stretch>
                  </pic:blipFill>
                  <pic:spPr>
                    <a:xfrm>
                      <a:off x="0" y="0"/>
                      <a:ext cx="5486400" cy="3429000"/>
                    </a:xfrm>
                    <a:prstGeom prst="rect">
                      <a:avLst/>
                    </a:prstGeom>
                  </pic:spPr>
                </pic:pic>
              </a:graphicData>
            </a:graphic>
          </wp:inline>
        </w:drawing>
      </w:r>
    </w:p>
    <w:p>
      <w:pPr>
        <w:jc w:val="center"/>
      </w:pPr>
      <w:r>
        <w:rPr>
          <w:i/>
        </w:rPr>
        <w:t xml:space="preserve">Figure 1. Conceptual Framework for Machine Learning-Based COPD Exacerbation Prediction, illustrating the integration of clinical phenotyping, data analytics, and explainable AI.</w:t>
      </w:r>
    </w:p>
    <w:p>
      <w:pPr>
        <w:pStyle w:val="Heading2"/>
      </w:pPr>
      <w:r>
        <w:rPr>
          <w:b/>
        </w:rPr>
        <w:t xml:space="preserve">1.2 Clinical Phenotypes and Treatable Traits in COPD</w:t>
      </w:r>
    </w:p>
    <w:p>
      <w:pPr>
        <w:pStyle w:val="Normal"/>
      </w:pPr>
      <w:r>
        <w:t xml:space="preserve">COPD is increasingly recognized as a syndrome comprising multiple overlapping phenotypes with distinct pathobiological mechanisms, clinical trajectories, and treatment responses [6,7,9]. The phenotypic heterogeneity of COPD challenges the traditional one-size-fits-all approach to disease management and underscores the necessity for precision medicine strategies that account for individual patient characteristics [6,15]. The treatable traits paradigm, first proposed by Agusti and colleagues, represents a precision medicine approach that identifies specific, modifiable characteristics in individual patients, enabling targeted therapeutic interventions independent of traditional diagnostic labels [6,7].</w:t>
      </w:r>
    </w:p>
    <w:p>
      <w:pPr>
        <w:pStyle w:val="Normal"/>
      </w:pPr>
      <w:r>
        <w:t xml:space="preserve">The frequent-exacerbator phenotype, identified as patients experiencing two or more moderate exacerbations or one hospitalization annually, demonstrates remarkable temporal stability and represents the strongest predictor of future exacerbation risk [4,8]. The landmark ECLIPSE study demonstrated that exacerbation frequency in one year predicts frequency in subsequent years with an odds ratio of 5.7, independent of disease severity [4]. This phenotype appears to reflect intrinsic susceptibility to exacerbation triggers, potentially mediated by impaired mucosal immunity, altered airway microbiome composition, and heightened airway inflammation [4,10]. Eosinophilic COPD, characterized by blood eosinophil counts exceeding 300 cells/µL, identifies a subset of approximately 20-30% of COPD patients who are responsive to inhaled corticosteroids and at increased risk of exacerbations driven by type-2 inflammatory pathways [10,11]. The predictive value of blood eosinophils operates in a dose-response fashion, with higher counts associated with greater exacerbation risk and greater treatment benefit from ICS-containing regimens [10,11].</w:t>
      </w:r>
    </w:p>
    <w:p>
      <w:pPr>
        <w:pStyle w:val="Normal"/>
      </w:pPr>
      <w:r>
        <w:t xml:space="preserve">The chronic bronchitis phenotype, defined by chronic productive cough for three or more months in two consecutive years, affects approximately 35% of COPD patients and predisposes to bacterial colonization of the lower airways, recurrent infections, and exacerbation susceptibility [9,15]. These patients demonstrate elevated markers of mucin production, impaired mucociliary clearance, and increased airway wall thickness on computed tomography imaging [15]. Emphysema-predominant disease, identifiable through quantitative CT analysis (percentage of lung voxels below -950 Hounsfield units) and reduced diffusing capacity for carbon monoxide, demonstrates distinct patterns of disease progression characterized by progressive hyperinflation, reduced exercise tolerance, and a phenotype of exacerbations potentially differing in inflammatory profile from bronchitic exacerbations [15]. Table 1 summarizes these key clinical phenotypes and their associated characteristics relevant to exacerbation risk prediction.</w:t>
      </w:r>
    </w:p>
    <w:p>
      <w:pPr>
        <w:jc w:val="center"/>
      </w:pPr>
      <w:r>
        <w:rPr>
          <w:b/>
        </w:rPr>
        <w:t xml:space="preserve">Table 1. Key Clinical Phenotypes in COPD and Their Relevance to Exacerbation Prediction</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pPr>
              <w:jc w:val="center"/>
            </w:pPr>
            <w:r>
              <w:rPr>
                <w:b/>
                <w:sz w:val="20"/>
              </w:rPr>
              <w:t xml:space="preserve">Phenotype</w:t>
            </w:r>
          </w:p>
        </w:tc>
        <w:tc>
          <w:tcPr>
            <w:shd w:val="clear" w:color="auto" w:fill="D9E2F3"/>
          </w:tcPr>
          <w:p>
            <w:pPr>
              <w:jc w:val="center"/>
            </w:pPr>
            <w:r>
              <w:rPr>
                <w:b/>
                <w:sz w:val="20"/>
              </w:rPr>
              <w:t xml:space="preserve">Key Characteristics</w:t>
            </w:r>
          </w:p>
        </w:tc>
        <w:tc>
          <w:tcPr>
            <w:shd w:val="clear" w:color="auto" w:fill="D9E2F3"/>
          </w:tcPr>
          <w:p>
            <w:pPr>
              <w:jc w:val="center"/>
            </w:pPr>
            <w:r>
              <w:rPr>
                <w:b/>
                <w:sz w:val="20"/>
              </w:rPr>
              <w:t xml:space="preserve">Biomarkers</w:t>
            </w:r>
          </w:p>
        </w:tc>
        <w:tc>
          <w:tcPr>
            <w:shd w:val="clear" w:color="auto" w:fill="D9E2F3"/>
          </w:tcPr>
          <w:p>
            <w:pPr>
              <w:jc w:val="center"/>
            </w:pPr>
            <w:r>
              <w:rPr>
                <w:b/>
                <w:sz w:val="20"/>
              </w:rPr>
              <w:t xml:space="preserve">Exacerbation Risk</w:t>
            </w:r>
          </w:p>
        </w:tc>
        <w:tc>
          <w:tcPr>
            <w:shd w:val="clear" w:color="auto" w:fill="D9E2F3"/>
          </w:tcPr>
          <w:p>
            <w:pPr>
              <w:jc w:val="center"/>
            </w:pPr>
            <w:r>
              <w:rPr>
                <w:b/>
                <w:sz w:val="20"/>
              </w:rPr>
              <w:t xml:space="preserve">Treatment Implications</w:t>
            </w:r>
          </w:p>
        </w:tc>
      </w:tr>
      <w:tr>
        <w:tc>
          <w:p>
            <w:pPr>
              <w:spacing w:after="60"/>
            </w:pPr>
            <w:r>
              <w:rPr>
                <w:sz w:val="20"/>
              </w:rPr>
              <w:t xml:space="preserve">Frequent Exacerbator</w:t>
            </w:r>
          </w:p>
        </w:tc>
        <w:tc>
          <w:p>
            <w:pPr>
              <w:spacing w:after="60"/>
            </w:pPr>
            <w:r>
              <w:rPr>
                <w:sz w:val="20"/>
              </w:rPr>
              <w:t xml:space="preserve">&gt;=2 moderate or &gt;=1 severe exacerbation/year</w:t>
            </w:r>
          </w:p>
        </w:tc>
        <w:tc>
          <w:p>
            <w:pPr>
              <w:spacing w:after="60"/>
            </w:pPr>
            <w:r>
              <w:rPr>
                <w:sz w:val="20"/>
              </w:rPr>
              <w:t xml:space="preserve">Variable; often elevated CRP, fibrinogen</w:t>
            </w:r>
          </w:p>
        </w:tc>
        <w:tc>
          <w:p>
            <w:pPr>
              <w:spacing w:after="60"/>
            </w:pPr>
            <w:r>
              <w:rPr>
                <w:sz w:val="20"/>
              </w:rPr>
              <w:t xml:space="preserve">Very High</w:t>
            </w:r>
          </w:p>
        </w:tc>
        <w:tc>
          <w:p>
            <w:pPr>
              <w:spacing w:after="60"/>
            </w:pPr>
            <w:r>
              <w:rPr>
                <w:sz w:val="20"/>
              </w:rPr>
              <w:t xml:space="preserve">Triple therapy; roflumilast; azithromycin prophylaxis</w:t>
            </w:r>
          </w:p>
        </w:tc>
      </w:tr>
      <w:tr>
        <w:tc>
          <w:p>
            <w:pPr>
              <w:spacing w:after="60"/>
            </w:pPr>
            <w:r>
              <w:rPr>
                <w:sz w:val="20"/>
              </w:rPr>
              <w:t xml:space="preserve">Eosinophilic COPD</w:t>
            </w:r>
          </w:p>
        </w:tc>
        <w:tc>
          <w:p>
            <w:pPr>
              <w:spacing w:after="60"/>
            </w:pPr>
            <w:r>
              <w:rPr>
                <w:sz w:val="20"/>
              </w:rPr>
              <w:t xml:space="preserve">Blood eosinophils &gt;300 cells/uL; T2-high inflammation</w:t>
            </w:r>
          </w:p>
        </w:tc>
        <w:tc>
          <w:p>
            <w:pPr>
              <w:spacing w:after="60"/>
            </w:pPr>
            <w:r>
              <w:rPr>
                <w:sz w:val="20"/>
              </w:rPr>
              <w:t xml:space="preserve">Elevated eosinophils; FeNO may be elevated</w:t>
            </w:r>
          </w:p>
        </w:tc>
        <w:tc>
          <w:p>
            <w:pPr>
              <w:spacing w:after="60"/>
            </w:pPr>
            <w:r>
              <w:rPr>
                <w:sz w:val="20"/>
              </w:rPr>
              <w:t xml:space="preserve">High (corticosteroid-responsive)</w:t>
            </w:r>
          </w:p>
        </w:tc>
        <w:tc>
          <w:p>
            <w:pPr>
              <w:spacing w:after="60"/>
            </w:pPr>
            <w:r>
              <w:rPr>
                <w:sz w:val="20"/>
              </w:rPr>
              <w:t xml:space="preserve">ICS-containing regimens; consider biologics</w:t>
            </w:r>
          </w:p>
        </w:tc>
      </w:tr>
      <w:tr>
        <w:tc>
          <w:p>
            <w:pPr>
              <w:spacing w:after="60"/>
            </w:pPr>
            <w:r>
              <w:rPr>
                <w:sz w:val="20"/>
              </w:rPr>
              <w:t xml:space="preserve">Chronic Bronchitis</w:t>
            </w:r>
          </w:p>
        </w:tc>
        <w:tc>
          <w:p>
            <w:pPr>
              <w:spacing w:after="60"/>
            </w:pPr>
            <w:r>
              <w:rPr>
                <w:sz w:val="20"/>
              </w:rPr>
              <w:t xml:space="preserve">Chronic productive cough; mucus hypersecretion</w:t>
            </w:r>
          </w:p>
        </w:tc>
        <w:tc>
          <w:p>
            <w:pPr>
              <w:spacing w:after="60"/>
            </w:pPr>
            <w:r>
              <w:rPr>
                <w:sz w:val="20"/>
              </w:rPr>
              <w:t xml:space="preserve">Elevated neutrophils; bacterial colonization</w:t>
            </w:r>
          </w:p>
        </w:tc>
        <w:tc>
          <w:p>
            <w:pPr>
              <w:spacing w:after="60"/>
            </w:pPr>
            <w:r>
              <w:rPr>
                <w:sz w:val="20"/>
              </w:rPr>
              <w:t xml:space="preserve">Moderate-High</w:t>
            </w:r>
          </w:p>
        </w:tc>
        <w:tc>
          <w:p>
            <w:pPr>
              <w:spacing w:after="60"/>
            </w:pPr>
            <w:r>
              <w:rPr>
                <w:sz w:val="20"/>
              </w:rPr>
              <w:t xml:space="preserve">Mucolytics; macrolide prophylaxis; airway clearance</w:t>
            </w:r>
          </w:p>
        </w:tc>
      </w:tr>
      <w:tr>
        <w:tc>
          <w:p>
            <w:pPr>
              <w:spacing w:after="60"/>
            </w:pPr>
            <w:r>
              <w:rPr>
                <w:sz w:val="20"/>
              </w:rPr>
              <w:t xml:space="preserve">Emphysema-Predominant</w:t>
            </w:r>
          </w:p>
        </w:tc>
        <w:tc>
          <w:p>
            <w:pPr>
              <w:spacing w:after="60"/>
            </w:pPr>
            <w:r>
              <w:rPr>
                <w:sz w:val="20"/>
              </w:rPr>
              <w:t xml:space="preserve">Reduced DLCO; CT emphysema; hyperinflation</w:t>
            </w:r>
          </w:p>
        </w:tc>
        <w:tc>
          <w:p>
            <w:pPr>
              <w:spacing w:after="60"/>
            </w:pPr>
            <w:r>
              <w:rPr>
                <w:sz w:val="20"/>
              </w:rPr>
              <w:t xml:space="preserve">Low BMI; reduced alpha-1 antitrypsin (subset)</w:t>
            </w:r>
          </w:p>
        </w:tc>
        <w:tc>
          <w:p>
            <w:pPr>
              <w:spacing w:after="60"/>
            </w:pPr>
            <w:r>
              <w:rPr>
                <w:sz w:val="20"/>
              </w:rPr>
              <w:t xml:space="preserve">Moderate</w:t>
            </w:r>
          </w:p>
        </w:tc>
        <w:tc>
          <w:p>
            <w:pPr>
              <w:spacing w:after="60"/>
            </w:pPr>
            <w:r>
              <w:rPr>
                <w:sz w:val="20"/>
              </w:rPr>
              <w:t xml:space="preserve">LABA/LAMA; pulmonary rehabilitation; volume reduction</w:t>
            </w:r>
          </w:p>
        </w:tc>
      </w:tr>
      <w:tr>
        <w:tc>
          <w:p>
            <w:pPr>
              <w:spacing w:after="60"/>
            </w:pPr>
            <w:r>
              <w:rPr>
                <w:sz w:val="20"/>
              </w:rPr>
              <w:t xml:space="preserve">Asthma-COPD Overlap</w:t>
            </w:r>
          </w:p>
        </w:tc>
        <w:tc>
          <w:p>
            <w:pPr>
              <w:spacing w:after="60"/>
            </w:pPr>
            <w:r>
              <w:rPr>
                <w:sz w:val="20"/>
              </w:rPr>
              <w:t xml:space="preserve">Reversibility; atopy; variable symptoms</w:t>
            </w:r>
          </w:p>
        </w:tc>
        <w:tc>
          <w:p>
            <w:pPr>
              <w:spacing w:after="60"/>
            </w:pPr>
            <w:r>
              <w:rPr>
                <w:sz w:val="20"/>
              </w:rPr>
              <w:t xml:space="preserve">Elevated eosinophils; elevated IgE</w:t>
            </w:r>
          </w:p>
        </w:tc>
        <w:tc>
          <w:p>
            <w:pPr>
              <w:spacing w:after="60"/>
            </w:pPr>
            <w:r>
              <w:rPr>
                <w:sz w:val="20"/>
              </w:rPr>
              <w:t xml:space="preserve">High</w:t>
            </w:r>
          </w:p>
        </w:tc>
        <w:tc>
          <w:p>
            <w:pPr>
              <w:spacing w:after="60"/>
            </w:pPr>
            <w:r>
              <w:rPr>
                <w:sz w:val="20"/>
              </w:rPr>
              <w:t xml:space="preserve">ICS essential; LABA/LAMA; allergy management</w:t>
            </w:r>
          </w:p>
        </w:tc>
      </w:tr>
    </w:tbl>
    <w:p>
      <w:pPr>
        <w:spacing w:after="200"/>
      </w:pPr>
    </w:p>
    <w:p>
      <w:pPr>
        <w:pStyle w:val="Normal"/>
      </w:pPr>
      <w:r>
        <w:t xml:space="preserve">Additional treatable traits encompass comorbidities (cardiovascular disease, anxiety, depression, gastroesophageal reflux, osteoporosis), nutritional status (both obesity and cachexia), skeletal muscle dysfunction, obstructive sleep apnea overlap, and behavioral factors including medication adherence, inhaler technique proficiency, and smoking cessation status [6,7]. Importantly, individual patients typically exhibit multiple concurrent treatable traits, with studies demonstrating a median of 7-9 identifiable traits per patient [7]. The multiplicity and complex interaction of these traits underscores the challenge of exacerbation risk assessment and the fundamental limitations of single-variable or simple additive prediction approaches, thereby providing the rationale for machine learning methods capable of modeling high-dimensional, nonlinear feature interactions.</w:t>
      </w:r>
    </w:p>
    <w:p>
      <w:pPr>
        <w:pStyle w:val="Heading2"/>
      </w:pPr>
      <w:r>
        <w:rPr>
          <w:b/>
        </w:rPr>
        <w:t xml:space="preserve">1.3 Conventional Approaches to COPD Risk Stratification</w:t>
      </w:r>
    </w:p>
    <w:p>
      <w:pPr>
        <w:pStyle w:val="Normal"/>
      </w:pPr>
      <w:r>
        <w:t xml:space="preserve">Conventional COPD risk stratification relies predominantly on the GOLD ABCD classification system (revised to ABE in 2023), which integrates spirometric severity (FEV₁ percent predicted), symptom burden (CAT score or mMRC dyspnea grade), and exacerbation history to categorize patients into risk groups that inform initial pharmacotherapy selection [1,8]. While this framework provides useful population-level guidance for treatment algorithms, several fundamental limitations constrain its clinical utility for individualized exacerbation prediction:</w:t>
      </w:r>
    </w:p>
    <w:p>
      <w:pPr>
        <w:pStyle w:val="Normal"/>
      </w:pPr>
      <w:r>
        <w:t xml:space="preserve">First, the reliance on categorical thresholds (e.g., FEV₁ &lt;50% predicted, CAT ≥10, ≥2 exacerbations) creates arbitrary boundaries that fail to capture the continuous spectrum of risk and result in patients near threshold boundaries being classified identically to those at extreme values [8,12,13]. A patient with FEV₁ of 49% predicted is classified differently from one with 51%, despite minimal clinical distinction. Second, important predictive variables including inflammatory biomarkers (blood eosinophils, neutrophil-to-lymphocyte ratio, C-reactive protein, fibrinogen), body composition, six-minute walk distance, and comorbidity burden are not formally incorporated into standard classification systems despite demonstrating independent predictive value [10,35]. Third, conventional approaches assume linear, additive relationships among predictors, whereas exacerbation risk is likely determined by complex, nonlinear interactions and threshold effects that cannot be adequately captured by simple scoring systems or categorical frameworks [16,38].</w:t>
      </w:r>
    </w:p>
    <w:p>
      <w:pPr>
        <w:pStyle w:val="Normal"/>
      </w:pPr>
      <w:r>
        <w:t xml:space="preserve">The BODE index (Body mass index, airflow Obstruction, Dyspnea, Exercise capacity), while primarily developed for mortality prediction, has been explored for exacerbation prognostication with moderate success [14]. The ADO index (Age, Dyspnea, Obstruction) and DOSE index (Dyspnea, Obstruction, Smoking, Exacerbation) similarly provide aggregate risk scores but achieve AUC values typically between 0.65-0.72 for exacerbation outcomes, reflecting inadequate discrimination for clinical decision-making at the individual level [26,38]. The ACCEPT model (Acute COPD Exacerbation Prediction Tool), developed by Adibi and colleagues from pooled clinical trial data, represents a more sophisticated approach using parametric survival regression incorporating exacerbation history, lung function, age, BMI, and clinical variables [38]. While achieving improved calibration compared to simpler tools, ACCEPT still relies on predetermined, prespecified variable relationships and cannot adaptively discover complex feature interactions present in the data.</w:t>
      </w:r>
    </w:p>
    <w:p>
      <w:pPr>
        <w:pStyle w:val="Normal"/>
      </w:pPr>
      <w:r>
        <w:t xml:space="preserve">These limitations provide a compelling rationale for machine learning approaches that can discover complex, nonlinear patterns, handle high-dimensional feature spaces without requiring a priori specification of variable relationships, and generate personalized risk estimates that account for the full complexity of individual patient profiles [16,17]. The conceptual framework presented in Figure 1 illustrates how ML-based approaches can integrate information across multiple clinical domains to generate predictions that transcend the capabilities of conventional stratification tools.</w:t>
      </w:r>
    </w:p>
    <w:p>
      <w:pPr>
        <w:pStyle w:val="Heading1"/>
      </w:pPr>
      <w:r>
        <w:rPr>
          <w:b/>
        </w:rPr>
        <w:t xml:space="preserve">Section 2: Machine Learning for COPD Prediction and Clinical Data Analytics</w:t>
      </w:r>
    </w:p>
    <w:p>
      <w:pPr>
        <w:pStyle w:val="Heading2"/>
      </w:pPr>
      <w:r>
        <w:rPr>
          <w:b/>
        </w:rPr>
        <w:t xml:space="preserve">2.1 Clinical Data Acquisition, Preprocessing, and Feature Engineering</w:t>
      </w:r>
    </w:p>
    <w:p>
      <w:pPr>
        <w:pStyle w:val="Normal"/>
      </w:pPr>
      <w:r>
        <w:t xml:space="preserve">The development of robust machine learning models for COPD exacerbation prediction requires systematic acquisition, preprocessing, and engineering of clinical features derived from electronic health records, prospective cohort studies, and clinical registries [16,26]. The data pipeline architecture, illustrated in Figure 2, encompasses multiple stages from raw data extraction through feature engineering, model training, and ultimate clinical deployment. Each stage introduces potential sources of bias and error that must be carefully managed to ensure model validity and clinical utility.</w:t>
      </w:r>
    </w:p>
    <w:p>
      <w:pPr>
        <w:jc w:val="center"/>
      </w:pPr>
      <w:r>
        <w:drawing>
          <wp:inline xmlns:wp="http://schemas.openxmlformats.org/drawingml/2006/wordprocessingDrawing" distT="0" distB="0" distL="0" distR="0">
            <wp:extent cx="5486400" cy="3429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2"/>
                    <a:stretch>
                      <a:fillRect/>
                    </a:stretch>
                  </pic:blipFill>
                  <pic:spPr>
                    <a:xfrm>
                      <a:off x="0" y="0"/>
                      <a:ext cx="5486400" cy="3429000"/>
                    </a:xfrm>
                    <a:prstGeom prst="rect">
                      <a:avLst/>
                    </a:prstGeom>
                  </pic:spPr>
                </pic:pic>
              </a:graphicData>
            </a:graphic>
          </wp:inline>
        </w:drawing>
      </w:r>
    </w:p>
    <w:p>
      <w:pPr>
        <w:jc w:val="center"/>
      </w:pPr>
      <w:r>
        <w:rPr>
          <w:i/>
        </w:rPr>
        <w:t xml:space="preserve">Figure 2. Machine Learning Pipeline Architecture for COPD Risk Stratification, showing data acquisition, preprocessing, model training, and deployment stages.</w:t>
      </w:r>
    </w:p>
    <w:p>
      <w:pPr>
        <w:pStyle w:val="Normal"/>
      </w:pPr>
      <w:r>
        <w:t xml:space="preserve">Feature categories typically include: (1) Demographics: age, sex, body mass index (BMI), smoking status (current, former, never), cumulative pack-years, and socioeconomic indicators; (2) Spirometric indices: pre- and post-bronchodilator FEV₁, FVC, FEV₁/FVC ratio, FEV₁ percent predicted (using GLI-2012 reference equations), and bronchodilator reversibility; (3) Symptom measures: COPD Assessment Test (CAT) score, modified Medical Research Council (mMRC) dyspnea grade, frequency of rescue short-acting bronchodilator use, and nocturnal symptom frequency; (4) Exacerbation history: number of moderate and severe exacerbations in the preceding 12 months, time since last exacerbation (days), and pattern of exacerbation seasonality; (5) Inflammatory biomarkers: blood eosinophil count (cells/µL), neutrophil-to-lymphocyte ratio (NLR), C-reactive protein (mg/L), fibrinogen (g/L), and white blood cell differential; (6) Comorbidity indices: Charlson Comorbidity Index, individual conditions including ischemic heart disease, heart failure, atrial fibrillation, diabetes mellitus, anxiety, depression, gastroesophageal reflux disease, and osteoporosis; and (7) Pharmacotherapy variables: current medication regimen detailing ICS/LABA/LAMA combinations, mean daily ICS dose (beclomethasone equivalents), number of oral corticosteroid courses in the preceding year, antibiotic courses, and home oxygen therapy use [1,8,10,35]. Table 2 provides a comprehensive overview of clinical features used in ML-based COPD prediction models, organized by feature domain and data characteristics.</w:t>
      </w:r>
    </w:p>
    <w:p>
      <w:pPr>
        <w:jc w:val="center"/>
      </w:pPr>
      <w:r>
        <w:rPr>
          <w:b/>
        </w:rPr>
        <w:t xml:space="preserve">Table 2. Clinical Features for ML-Based COPD Exacerbation Prediction Models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pPr>
              <w:jc w:val="center"/>
            </w:pPr>
            <w:r>
              <w:rPr>
                <w:b/>
                <w:sz w:val="20"/>
              </w:rPr>
              <w:t xml:space="preserve">Feature Category</w:t>
            </w:r>
          </w:p>
        </w:tc>
        <w:tc>
          <w:tcPr>
            <w:shd w:val="clear" w:color="auto" w:fill="D9E2F3"/>
          </w:tcPr>
          <w:p>
            <w:pPr>
              <w:jc w:val="center"/>
            </w:pPr>
            <w:r>
              <w:rPr>
                <w:b/>
                <w:sz w:val="20"/>
              </w:rPr>
              <w:t xml:space="preserve">Specific Variables</w:t>
            </w:r>
          </w:p>
        </w:tc>
        <w:tc>
          <w:tcPr>
            <w:shd w:val="clear" w:color="auto" w:fill="D9E2F3"/>
          </w:tcPr>
          <w:p>
            <w:pPr>
              <w:jc w:val="center"/>
            </w:pPr>
            <w:r>
              <w:rPr>
                <w:b/>
                <w:sz w:val="20"/>
              </w:rPr>
              <w:t xml:space="preserve">Data Type</w:t>
            </w:r>
          </w:p>
        </w:tc>
        <w:tc>
          <w:tcPr>
            <w:shd w:val="clear" w:color="auto" w:fill="D9E2F3"/>
          </w:tcPr>
          <w:p>
            <w:pPr>
              <w:jc w:val="center"/>
            </w:pPr>
            <w:r>
              <w:rPr>
                <w:b/>
                <w:sz w:val="20"/>
              </w:rPr>
              <w:t xml:space="preserve">Clinical Significance</w:t>
            </w:r>
          </w:p>
        </w:tc>
      </w:tr>
      <w:tr>
        <w:tc>
          <w:p>
            <w:pPr>
              <w:spacing w:after="60"/>
            </w:pPr>
            <w:r>
              <w:rPr>
                <w:sz w:val="20"/>
              </w:rPr>
              <w:t xml:space="preserve">Demographics</w:t>
            </w:r>
          </w:p>
        </w:tc>
        <w:tc>
          <w:p>
            <w:pPr>
              <w:spacing w:after="60"/>
            </w:pPr>
            <w:r>
              <w:rPr>
                <w:sz w:val="20"/>
              </w:rPr>
              <w:t xml:space="preserve">Age, sex, BMI, smoking status, pack-years</w:t>
            </w:r>
          </w:p>
        </w:tc>
        <w:tc>
          <w:p>
            <w:pPr>
              <w:spacing w:after="60"/>
            </w:pPr>
            <w:r>
              <w:rPr>
                <w:sz w:val="20"/>
              </w:rPr>
              <w:t xml:space="preserve">Continuous/Categorical</w:t>
            </w:r>
          </w:p>
        </w:tc>
        <w:tc>
          <w:p>
            <w:pPr>
              <w:spacing w:after="60"/>
            </w:pPr>
            <w:r>
              <w:rPr>
                <w:sz w:val="20"/>
              </w:rPr>
              <w:t xml:space="preserve">Baseline risk characterization</w:t>
            </w:r>
          </w:p>
        </w:tc>
      </w:tr>
      <w:tr>
        <w:tc>
          <w:p>
            <w:pPr>
              <w:spacing w:after="60"/>
            </w:pPr>
            <w:r>
              <w:rPr>
                <w:sz w:val="20"/>
              </w:rPr>
              <w:t xml:space="preserve">Spirometry</w:t>
            </w:r>
          </w:p>
        </w:tc>
        <w:tc>
          <w:p>
            <w:pPr>
              <w:spacing w:after="60"/>
            </w:pPr>
            <w:r>
              <w:rPr>
                <w:sz w:val="20"/>
              </w:rPr>
              <w:t xml:space="preserve">FEV1, FVC, FEV1/FVC, FEV1% predicted</w:t>
            </w:r>
          </w:p>
        </w:tc>
        <w:tc>
          <w:p>
            <w:pPr>
              <w:spacing w:after="60"/>
            </w:pPr>
            <w:r>
              <w:rPr>
                <w:sz w:val="20"/>
              </w:rPr>
              <w:t xml:space="preserve">Continuous</w:t>
            </w:r>
          </w:p>
        </w:tc>
        <w:tc>
          <w:p>
            <w:pPr>
              <w:spacing w:after="60"/>
            </w:pPr>
            <w:r>
              <w:rPr>
                <w:sz w:val="20"/>
              </w:rPr>
              <w:t xml:space="preserve">Airflow limitation severity</w:t>
            </w:r>
          </w:p>
        </w:tc>
      </w:tr>
      <w:tr>
        <w:tc>
          <w:p>
            <w:pPr>
              <w:spacing w:after="60"/>
            </w:pPr>
            <w:r>
              <w:rPr>
                <w:sz w:val="20"/>
              </w:rPr>
              <w:t xml:space="preserve">Symptoms</w:t>
            </w:r>
          </w:p>
        </w:tc>
        <w:tc>
          <w:p>
            <w:pPr>
              <w:spacing w:after="60"/>
            </w:pPr>
            <w:r>
              <w:rPr>
                <w:sz w:val="20"/>
              </w:rPr>
              <w:t xml:space="preserve">CAT score, mMRC grade, rescue inhaler use</w:t>
            </w:r>
          </w:p>
        </w:tc>
        <w:tc>
          <w:p>
            <w:pPr>
              <w:spacing w:after="60"/>
            </w:pPr>
            <w:r>
              <w:rPr>
                <w:sz w:val="20"/>
              </w:rPr>
              <w:t xml:space="preserve">Ordinal/Continuous</w:t>
            </w:r>
          </w:p>
        </w:tc>
        <w:tc>
          <w:p>
            <w:pPr>
              <w:spacing w:after="60"/>
            </w:pPr>
            <w:r>
              <w:rPr>
                <w:sz w:val="20"/>
              </w:rPr>
              <w:t xml:space="preserve">Symptom burden and daily impact</w:t>
            </w:r>
          </w:p>
        </w:tc>
      </w:tr>
      <w:tr>
        <w:tc>
          <w:p>
            <w:pPr>
              <w:spacing w:after="60"/>
            </w:pPr>
            <w:r>
              <w:rPr>
                <w:sz w:val="20"/>
              </w:rPr>
              <w:t xml:space="preserve">Exacerbation History</w:t>
            </w:r>
          </w:p>
        </w:tc>
        <w:tc>
          <w:p>
            <w:pPr>
              <w:spacing w:after="60"/>
            </w:pPr>
            <w:r>
              <w:rPr>
                <w:sz w:val="20"/>
              </w:rPr>
              <w:t xml:space="preserve">Moderate/severe events in prior 12 months; time since last event</w:t>
            </w:r>
          </w:p>
        </w:tc>
        <w:tc>
          <w:p>
            <w:pPr>
              <w:spacing w:after="60"/>
            </w:pPr>
            <w:r>
              <w:rPr>
                <w:sz w:val="20"/>
              </w:rPr>
              <w:t xml:space="preserve">Count/Continuous</w:t>
            </w:r>
          </w:p>
        </w:tc>
        <w:tc>
          <w:p>
            <w:pPr>
              <w:spacing w:after="60"/>
            </w:pPr>
            <w:r>
              <w:rPr>
                <w:sz w:val="20"/>
              </w:rPr>
              <w:t xml:space="preserve">Strongest single predictor of future risk</w:t>
            </w:r>
          </w:p>
        </w:tc>
      </w:tr>
      <w:tr>
        <w:tc>
          <w:p>
            <w:pPr>
              <w:spacing w:after="60"/>
            </w:pPr>
            <w:r>
              <w:rPr>
                <w:sz w:val="20"/>
              </w:rPr>
              <w:t xml:space="preserve">Biomarkers</w:t>
            </w:r>
          </w:p>
        </w:tc>
        <w:tc>
          <w:p>
            <w:pPr>
              <w:spacing w:after="60"/>
            </w:pPr>
            <w:r>
              <w:rPr>
                <w:sz w:val="20"/>
              </w:rPr>
              <w:t xml:space="preserve">Blood eosinophils, NLR, CRP, fibrinogen</w:t>
            </w:r>
          </w:p>
        </w:tc>
        <w:tc>
          <w:p>
            <w:pPr>
              <w:spacing w:after="60"/>
            </w:pPr>
            <w:r>
              <w:rPr>
                <w:sz w:val="20"/>
              </w:rPr>
              <w:t xml:space="preserve">Continuous</w:t>
            </w:r>
          </w:p>
        </w:tc>
        <w:tc>
          <w:p>
            <w:pPr>
              <w:spacing w:after="60"/>
            </w:pPr>
            <w:r>
              <w:rPr>
                <w:sz w:val="20"/>
              </w:rPr>
              <w:t xml:space="preserve">Inflammatory phenotype identification</w:t>
            </w:r>
          </w:p>
        </w:tc>
      </w:tr>
      <w:tr>
        <w:tc>
          <w:p>
            <w:pPr>
              <w:spacing w:after="60"/>
            </w:pPr>
            <w:r>
              <w:rPr>
                <w:sz w:val="20"/>
              </w:rPr>
              <w:t xml:space="preserve">Comorbidities</w:t>
            </w:r>
          </w:p>
        </w:tc>
        <w:tc>
          <w:p>
            <w:pPr>
              <w:spacing w:after="60"/>
            </w:pPr>
            <w:r>
              <w:rPr>
                <w:sz w:val="20"/>
              </w:rPr>
              <w:t xml:space="preserve">Charlson Index; CVD, diabetes, anxiety, depression, GERD</w:t>
            </w:r>
          </w:p>
        </w:tc>
        <w:tc>
          <w:p>
            <w:pPr>
              <w:spacing w:after="60"/>
            </w:pPr>
            <w:r>
              <w:rPr>
                <w:sz w:val="20"/>
              </w:rPr>
              <w:t xml:space="preserve">Categorical/Count</w:t>
            </w:r>
          </w:p>
        </w:tc>
        <w:tc>
          <w:p>
            <w:pPr>
              <w:spacing w:after="60"/>
            </w:pPr>
            <w:r>
              <w:rPr>
                <w:sz w:val="20"/>
              </w:rPr>
              <w:t xml:space="preserve">Systemic disease burden</w:t>
            </w:r>
          </w:p>
        </w:tc>
      </w:tr>
      <w:tr>
        <w:tc>
          <w:p>
            <w:pPr>
              <w:spacing w:after="60"/>
            </w:pPr>
            <w:r>
              <w:rPr>
                <w:sz w:val="20"/>
              </w:rPr>
              <w:t xml:space="preserve">Pharmacotherapy</w:t>
            </w:r>
          </w:p>
        </w:tc>
        <w:tc>
          <w:p>
            <w:pPr>
              <w:spacing w:after="60"/>
            </w:pPr>
            <w:r>
              <w:rPr>
                <w:sz w:val="20"/>
              </w:rPr>
              <w:t xml:space="preserve">ICS/LABA/LAMA use; OCS courses; antibiotic courses</w:t>
            </w:r>
          </w:p>
        </w:tc>
        <w:tc>
          <w:p>
            <w:pPr>
              <w:spacing w:after="60"/>
            </w:pPr>
            <w:r>
              <w:rPr>
                <w:sz w:val="20"/>
              </w:rPr>
              <w:t xml:space="preserve">Categorical/Count</w:t>
            </w:r>
          </w:p>
        </w:tc>
        <w:tc>
          <w:p>
            <w:pPr>
              <w:spacing w:after="60"/>
            </w:pPr>
            <w:r>
              <w:rPr>
                <w:sz w:val="20"/>
              </w:rPr>
              <w:t xml:space="preserve">Treatment intensity as risk proxy</w:t>
            </w:r>
          </w:p>
        </w:tc>
      </w:tr>
      <w:tr>
        <w:tc>
          <w:p>
            <w:pPr>
              <w:spacing w:after="60"/>
            </w:pPr>
            <w:r>
              <w:rPr>
                <w:sz w:val="20"/>
              </w:rPr>
              <w:t xml:space="preserve">Imaging (Advanced)</w:t>
            </w:r>
          </w:p>
        </w:tc>
        <w:tc>
          <w:p>
            <w:pPr>
              <w:spacing w:after="60"/>
            </w:pPr>
            <w:r>
              <w:rPr>
                <w:sz w:val="20"/>
              </w:rPr>
              <w:t xml:space="preserve">CT emphysema %, airway wall thickness, Pi10</w:t>
            </w:r>
          </w:p>
        </w:tc>
        <w:tc>
          <w:p>
            <w:pPr>
              <w:spacing w:after="60"/>
            </w:pPr>
            <w:r>
              <w:rPr>
                <w:sz w:val="20"/>
              </w:rPr>
              <w:t xml:space="preserve">Continuous</w:t>
            </w:r>
          </w:p>
        </w:tc>
        <w:tc>
          <w:p>
            <w:pPr>
              <w:spacing w:after="60"/>
            </w:pPr>
            <w:r>
              <w:rPr>
                <w:sz w:val="20"/>
              </w:rPr>
              <w:t xml:space="preserve">Structural disease characterization</w:t>
            </w:r>
          </w:p>
        </w:tc>
      </w:tr>
    </w:tbl>
    <w:p>
      <w:pPr>
        <w:spacing w:after="200"/>
      </w:pPr>
    </w:p>
    <w:p>
      <w:pPr>
        <w:pStyle w:val="Normal"/>
      </w:pPr>
      <w:r>
        <w:t xml:space="preserve">Data preprocessing encompasses several critical steps that directly impact model performance and generalizability. Missing data, common in retrospective clinical datasets (typically 5-30% of values depending on the variable), requires careful handling through multiple imputation by chained equations (MICE), k-nearest neighbor imputation, or model-based approaches such as missForest, with documentation of missingness patterns (missing completely at random, missing at random, or missing not at random) informing the choice of imputation strategy [26]. Complete-case analysis, while simple, introduces selection bias and power loss and is generally inappropriate when missingness exceeds 5%. Feature encoding transforms categorical variables (e.g., GOLD spirometric stage, smoking status, medication categories) into numerical representations through one-hot encoding for nominal variables or ordinal encoding for ordered categories. Continuous variables undergo normalization through z-score standardization or min-max scaling to ensure comparable scales across features, preventing magnitude-dominated features from disproportionately influencing distance-based algorithms [16].</w:t>
      </w:r>
    </w:p>
    <w:p>
      <w:pPr>
        <w:pStyle w:val="Normal"/>
      </w:pPr>
      <w:r>
        <w:t xml:space="preserve">Outlier detection using interquartile range methods, Mahalanobis distance, or isolation forest algorithms identifies potentially erroneous values requiring clinical verification before inclusion or exclusion from analysis. Feature selection strategies, including filter methods (mutual information, chi-squared tests), wrapper methods (recursive feature elimination), and embedded methods (L1 regularization, tree-based importance), reduce dimensionality while retaining predictive information and mitigating overfitting risk [16,26].</w:t>
      </w:r>
    </w:p>
    <w:p>
      <w:pPr>
        <w:pStyle w:val="Normal"/>
      </w:pPr>
      <w:r>
        <w:t xml:space="preserve">Class imbalance, where the proportion of patients experiencing exacerbations differs substantially from those who do not (typical exacerbation prevalence 30-50% depending on study design and follow-up duration), represents a common challenge in COPD prediction modeling that, if unaddressed, produces models biased toward predicting the majority class. Strategies to address imbalance include Synthetic Minority Over-sampling Technique (SMOTE) and its variants (Borderline-SMOTE, ADASYN), random undersampling of the majority class, cost-sensitive learning that assigns differential misclassification penalties, and ensemble-based approaches such as balanced random forests and EasyEnsemble [23]. The choice of resampling strategy should be applied only to training data, with original class distributions preserved in validation and test sets to ensure unbiased performance estimation. Feature engineering may additionally create derived variables such as exacerbation rate trajectories (slope of exacerbation frequency over multiple years), biomarker trend slopes (rate of eosinophil change), interaction terms between clinical phenotype indicators, and time-since-event features capturing temporal proximity to last exacerbation, as detailed in the pipeline shown in Figure 2.</w:t>
      </w:r>
    </w:p>
    <w:p>
      <w:pPr>
        <w:pStyle w:val="Heading2"/>
      </w:pPr>
      <w:r>
        <w:rPr>
          <w:b/>
        </w:rPr>
        <w:t xml:space="preserve">2.2 Machine-Learning Algorithms for Exacerbation Prediction</w:t>
      </w:r>
    </w:p>
    <w:p>
      <w:pPr>
        <w:pStyle w:val="Normal"/>
      </w:pPr>
      <w:r>
        <w:t xml:space="preserve">Multiple supervised machine learning algorithms have been applied to COPD exacerbation prediction, each offering distinct advantages regarding model complexity, interpretability, computational requirements, and predictive performance [16,17]. The selection of appropriate algorithms requires consideration of dataset characteristics (sample size, dimensionality, class balance), clinical requirements for interpretability, the complexity of underlying relationships among predictors, and the deployment environment constraints.</w:t>
      </w:r>
    </w:p>
    <w:p>
      <w:pPr>
        <w:pStyle w:val="Normal"/>
      </w:pPr>
      <w:r>
        <w:t xml:space="preserve">Logistic regression (LR) serves as a fundamental baseline model and clinical benchmark, providing directly interpretable odds ratios for each predictor, well-calibrated probability estimates, and established statistical inference frameworks for confidence intervals and hypothesis testing [21]. Despite its assumption of linear log-odds relationships between predictors and outcome, regularized logistic regression incorporating L1 (Lasso) or L2 (Ridge) penalties, or elastic net combining both, can handle moderate-dimensional feature spaces while preventing overfitting and performing implicit feature selection [21,26]. In COPD exacerbation prediction, logistic regression typically achieves AUC values of 0.68-0.75, establishing the performance floor that more complex methods must meaningfully exceed to justify their additional complexity [38,40]. The interpretability advantage of logistic regression is particularly valuable in clinical settings where regulatory requirements mandate model transparency.</w:t>
      </w:r>
    </w:p>
    <w:p>
      <w:pPr>
        <w:pStyle w:val="Normal"/>
      </w:pPr>
      <w:r>
        <w:t xml:space="preserve">Random forest (RF), an ensemble method constructing multiple decorrelated decision trees through bootstrap aggregation (bagging) and random feature subspace selection at each split, demonstrates robust performance with reduced variance compared to individual trees and inherent resistance to overfitting [19]. RF models handle nonlinear relationships and variable interactions without explicit specification, provide built-in feature importance measures through permutation importance or mean decrease in impurity, accommodate mixed variable types (continuous, categorical, ordinal) without extensive preprocessing, and are relatively robust to hyperparameter choices. Key hyperparameters requiring tuning include the number of trees (typically 500-2000), maximum tree depth, minimum samples per leaf node, and the number of features considered at each split (conventionally the square root of total features for classification) [19]. In COPD applications, random forests typically achieve AUC values of 0.72-0.80, with advantages in handling missing data through surrogate splits and providing out-of-bag error estimates that approximate cross-validation performance [19,40].</w:t>
      </w:r>
    </w:p>
    <w:p>
      <w:pPr>
        <w:pStyle w:val="Normal"/>
      </w:pPr>
      <w:r>
        <w:t xml:space="preserve">Gradient boosting machines (GBM) build ensembles of weak learners (typically shallow decision trees) sequentially, with each subsequent tree fitted to the negative gradient of the loss function, effectively correcting errors from previous iterations through functional gradient descent [20]. This sequential error-correction approach typically achieves superior predictive performance compared to random forests but requires more careful hyperparameter tuning to prevent overfitting, including learning rate (shrinkage), number of boosting iterations, tree depth, subsampling fraction, and regularization parameters [20]. XGBoost (eXtreme Gradient Boosting), an optimized implementation of gradient boosting developed by Chen and Guestrin, incorporates L1 and L2 regularization terms in the objective function, efficient handling of sparse data through sparsity-aware split finding, column block structure for parallel computation, and hardware-optimized implementation enabling scalability to large datasets [18]. Studies in COPD prediction have reported XGBoost AUC values of 0.78-0.87, demonstrating superior discrimination compared to conventional methods and random forests, particularly when feature interactions contribute substantially to prediction [18,38,39,40].</w:t>
      </w:r>
    </w:p>
    <w:p>
      <w:pPr>
        <w:pStyle w:val="Normal"/>
      </w:pPr>
      <w:r>
        <w:t xml:space="preserve">Support vector machines (SVM) identify optimal separating hyperplanes that maximize the margin between classes in feature space, with kernel functions (radial basis function, polynomial, sigmoid) enabling nonlinear decision boundaries through implicit mapping to higher-dimensional spaces [22]. While SVMs can achieve competitive classification performance, particularly in high-dimensional settings with limited samples, their limited native probability calibration (requiring Platt scaling), sensitivity to feature scaling, computational cost for large datasets (O(n²) to O(n³) for training), and fundamentally opaque decision boundaries present challenges for clinical adoption where interpretability is essential [22]. Additional emerging approaches include multi-layer perceptrons and deep neural networks, which offer flexible nonlinear modeling but require substantially larger datasets and face similar interpretability challenges.</w:t>
      </w:r>
    </w:p>
    <w:p>
      <w:pPr>
        <w:pStyle w:val="Normal"/>
      </w:pPr>
      <w:r>
        <w:t xml:space="preserve">Model training follows established machine learning workflows: dataset partitioning into training (typically 70-80%), validation (10-15%), and independent test (10-15%) sets, with temporal or site-based splitting preferred over random splitting to better estimate prospective performance; hyperparameter optimization through grid search, random search, or Bayesian optimization (e.g., using Tree-structured Parzen Estimators) with nested cross-validation to prevent information leakage between selection and evaluation; and final performance evaluation on completely held-out test data to estimate real-world generalization capability [26,29]. Stratified k-fold cross-validation (typically k=5 or k=10) ensures balanced representation of outcome classes across folds and provides robust estimates of model performance variability, with repeated cross-validation (e.g., 10-times repeated 5-fold) further reducing variance of performance estimates. Table 3 presents a comparative summary of ML algorithms applied to COPD exacerbation prediction, including typical performance ranges and key considerations for clinical deployment.</w:t>
      </w:r>
    </w:p>
    <w:p>
      <w:pPr>
        <w:jc w:val="center"/>
      </w:pPr>
      <w:r>
        <w:rPr>
          <w:b/>
        </w:rPr>
        <w:t xml:space="preserve">Table 3. Comparative Summary of ML Algorithms for COPD Exacerbation Prediction</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pPr>
              <w:jc w:val="center"/>
            </w:pPr>
            <w:r>
              <w:rPr>
                <w:b/>
                <w:sz w:val="20"/>
              </w:rPr>
              <w:t xml:space="preserve">Algorithm</w:t>
            </w:r>
          </w:p>
        </w:tc>
        <w:tc>
          <w:tcPr>
            <w:shd w:val="clear" w:color="auto" w:fill="D9E2F3"/>
          </w:tcPr>
          <w:p>
            <w:pPr>
              <w:jc w:val="center"/>
            </w:pPr>
            <w:r>
              <w:rPr>
                <w:b/>
                <w:sz w:val="20"/>
              </w:rPr>
              <w:t xml:space="preserve">Key Characteristics</w:t>
            </w:r>
          </w:p>
        </w:tc>
        <w:tc>
          <w:tcPr>
            <w:shd w:val="clear" w:color="auto" w:fill="D9E2F3"/>
          </w:tcPr>
          <w:p>
            <w:pPr>
              <w:jc w:val="center"/>
            </w:pPr>
            <w:r>
              <w:rPr>
                <w:b/>
                <w:sz w:val="20"/>
              </w:rPr>
              <w:t xml:space="preserve">Typical AUC Range</w:t>
            </w:r>
          </w:p>
        </w:tc>
        <w:tc>
          <w:tcPr>
            <w:shd w:val="clear" w:color="auto" w:fill="D9E2F3"/>
          </w:tcPr>
          <w:p>
            <w:pPr>
              <w:jc w:val="center"/>
            </w:pPr>
            <w:r>
              <w:rPr>
                <w:b/>
                <w:sz w:val="20"/>
              </w:rPr>
              <w:t xml:space="preserve">Interpretability</w:t>
            </w:r>
          </w:p>
        </w:tc>
        <w:tc>
          <w:tcPr>
            <w:shd w:val="clear" w:color="auto" w:fill="D9E2F3"/>
          </w:tcPr>
          <w:p>
            <w:pPr>
              <w:jc w:val="center"/>
            </w:pPr>
            <w:r>
              <w:rPr>
                <w:b/>
                <w:sz w:val="20"/>
              </w:rPr>
              <w:t xml:space="preserve">Strengths/Limitations</w:t>
            </w:r>
          </w:p>
        </w:tc>
      </w:tr>
      <w:tr>
        <w:tc>
          <w:p>
            <w:pPr>
              <w:spacing w:after="60"/>
            </w:pPr>
            <w:r>
              <w:rPr>
                <w:sz w:val="20"/>
              </w:rPr>
              <w:t xml:space="preserve">Logistic Regression</w:t>
            </w:r>
          </w:p>
        </w:tc>
        <w:tc>
          <w:p>
            <w:pPr>
              <w:spacing w:after="60"/>
            </w:pPr>
            <w:r>
              <w:rPr>
                <w:sz w:val="20"/>
              </w:rPr>
              <w:t xml:space="preserve">Linear model; odds ratios directly interpretable</w:t>
            </w:r>
          </w:p>
        </w:tc>
        <w:tc>
          <w:p>
            <w:pPr>
              <w:spacing w:after="60"/>
            </w:pPr>
            <w:r>
              <w:rPr>
                <w:sz w:val="20"/>
              </w:rPr>
              <w:t xml:space="preserve">0.68-0.75</w:t>
            </w:r>
          </w:p>
        </w:tc>
        <w:tc>
          <w:p>
            <w:pPr>
              <w:spacing w:after="60"/>
            </w:pPr>
            <w:r>
              <w:rPr>
                <w:sz w:val="20"/>
              </w:rPr>
              <w:t xml:space="preserve">High</w:t>
            </w:r>
          </w:p>
        </w:tc>
        <w:tc>
          <w:p>
            <w:pPr>
              <w:spacing w:after="60"/>
            </w:pPr>
            <w:r>
              <w:rPr>
                <w:sz w:val="20"/>
              </w:rPr>
              <w:t xml:space="preserve">Transparent; limited nonlinear capture</w:t>
            </w:r>
          </w:p>
        </w:tc>
      </w:tr>
      <w:tr>
        <w:tc>
          <w:p>
            <w:pPr>
              <w:spacing w:after="60"/>
            </w:pPr>
            <w:r>
              <w:rPr>
                <w:sz w:val="20"/>
              </w:rPr>
              <w:t xml:space="preserve">Random Forest</w:t>
            </w:r>
          </w:p>
        </w:tc>
        <w:tc>
          <w:p>
            <w:pPr>
              <w:spacing w:after="60"/>
            </w:pPr>
            <w:r>
              <w:rPr>
                <w:sz w:val="20"/>
              </w:rPr>
              <w:t xml:space="preserve">Ensemble of decorrelated decision trees</w:t>
            </w:r>
          </w:p>
        </w:tc>
        <w:tc>
          <w:p>
            <w:pPr>
              <w:spacing w:after="60"/>
            </w:pPr>
            <w:r>
              <w:rPr>
                <w:sz w:val="20"/>
              </w:rPr>
              <w:t xml:space="preserve">0.72-0.80</w:t>
            </w:r>
          </w:p>
        </w:tc>
        <w:tc>
          <w:p>
            <w:pPr>
              <w:spacing w:after="60"/>
            </w:pPr>
            <w:r>
              <w:rPr>
                <w:sz w:val="20"/>
              </w:rPr>
              <w:t xml:space="preserve">Moderate</w:t>
            </w:r>
          </w:p>
        </w:tc>
        <w:tc>
          <w:p>
            <w:pPr>
              <w:spacing w:after="60"/>
            </w:pPr>
            <w:r>
              <w:rPr>
                <w:sz w:val="20"/>
              </w:rPr>
              <w:t xml:space="preserve">Robust; handles interactions; less interpretable</w:t>
            </w:r>
          </w:p>
        </w:tc>
      </w:tr>
      <w:tr>
        <w:tc>
          <w:p>
            <w:pPr>
              <w:spacing w:after="60"/>
            </w:pPr>
            <w:r>
              <w:rPr>
                <w:sz w:val="20"/>
              </w:rPr>
              <w:t xml:space="preserve">Gradient Boosting (GBM)</w:t>
            </w:r>
          </w:p>
        </w:tc>
        <w:tc>
          <w:p>
            <w:pPr>
              <w:spacing w:after="60"/>
            </w:pPr>
            <w:r>
              <w:rPr>
                <w:sz w:val="20"/>
              </w:rPr>
              <w:t xml:space="preserve">Sequential ensemble; error correction</w:t>
            </w:r>
          </w:p>
        </w:tc>
        <w:tc>
          <w:p>
            <w:pPr>
              <w:spacing w:after="60"/>
            </w:pPr>
            <w:r>
              <w:rPr>
                <w:sz w:val="20"/>
              </w:rPr>
              <w:t xml:space="preserve">0.75-0.83</w:t>
            </w:r>
          </w:p>
        </w:tc>
        <w:tc>
          <w:p>
            <w:pPr>
              <w:spacing w:after="60"/>
            </w:pPr>
            <w:r>
              <w:rPr>
                <w:sz w:val="20"/>
              </w:rPr>
              <w:t xml:space="preserve">Low-Moderate</w:t>
            </w:r>
          </w:p>
        </w:tc>
        <w:tc>
          <w:p>
            <w:pPr>
              <w:spacing w:after="60"/>
            </w:pPr>
            <w:r>
              <w:rPr>
                <w:sz w:val="20"/>
              </w:rPr>
              <w:t xml:space="preserve">High performance; prone to overfitting</w:t>
            </w:r>
          </w:p>
        </w:tc>
      </w:tr>
      <w:tr>
        <w:tc>
          <w:p>
            <w:pPr>
              <w:spacing w:after="60"/>
            </w:pPr>
            <w:r>
              <w:rPr>
                <w:sz w:val="20"/>
              </w:rPr>
              <w:t xml:space="preserve">XGBoost</w:t>
            </w:r>
          </w:p>
        </w:tc>
        <w:tc>
          <w:p>
            <w:pPr>
              <w:spacing w:after="60"/>
            </w:pPr>
            <w:r>
              <w:rPr>
                <w:sz w:val="20"/>
              </w:rPr>
              <w:t xml:space="preserve">Regularized gradient boosting; parallel computation</w:t>
            </w:r>
          </w:p>
        </w:tc>
        <w:tc>
          <w:p>
            <w:pPr>
              <w:spacing w:after="60"/>
            </w:pPr>
            <w:r>
              <w:rPr>
                <w:sz w:val="20"/>
              </w:rPr>
              <w:t xml:space="preserve">0.78-0.87</w:t>
            </w:r>
          </w:p>
        </w:tc>
        <w:tc>
          <w:p>
            <w:pPr>
              <w:spacing w:after="60"/>
            </w:pPr>
            <w:r>
              <w:rPr>
                <w:sz w:val="20"/>
              </w:rPr>
              <w:t xml:space="preserve">Low-Moderate</w:t>
            </w:r>
          </w:p>
        </w:tc>
        <w:tc>
          <w:p>
            <w:pPr>
              <w:spacing w:after="60"/>
            </w:pPr>
            <w:r>
              <w:rPr>
                <w:sz w:val="20"/>
              </w:rPr>
              <w:t xml:space="preserve">Superior discrimination; requires tuning</w:t>
            </w:r>
          </w:p>
        </w:tc>
      </w:tr>
      <w:tr>
        <w:tc>
          <w:p>
            <w:pPr>
              <w:spacing w:after="60"/>
            </w:pPr>
            <w:r>
              <w:rPr>
                <w:sz w:val="20"/>
              </w:rPr>
              <w:t xml:space="preserve">Support Vector Machine</w:t>
            </w:r>
          </w:p>
        </w:tc>
        <w:tc>
          <w:p>
            <w:pPr>
              <w:spacing w:after="60"/>
            </w:pPr>
            <w:r>
              <w:rPr>
                <w:sz w:val="20"/>
              </w:rPr>
              <w:t xml:space="preserve">Optimal hyperplane; kernel transformations</w:t>
            </w:r>
          </w:p>
        </w:tc>
        <w:tc>
          <w:p>
            <w:pPr>
              <w:spacing w:after="60"/>
            </w:pPr>
            <w:r>
              <w:rPr>
                <w:sz w:val="20"/>
              </w:rPr>
              <w:t xml:space="preserve">0.70-0.78</w:t>
            </w:r>
          </w:p>
        </w:tc>
        <w:tc>
          <w:p>
            <w:pPr>
              <w:spacing w:after="60"/>
            </w:pPr>
            <w:r>
              <w:rPr>
                <w:sz w:val="20"/>
              </w:rPr>
              <w:t xml:space="preserve">Low</w:t>
            </w:r>
          </w:p>
        </w:tc>
        <w:tc>
          <w:p>
            <w:pPr>
              <w:spacing w:after="60"/>
            </w:pPr>
            <w:r>
              <w:rPr>
                <w:sz w:val="20"/>
              </w:rPr>
              <w:t xml:space="preserve">Effective in high dimensions; limited scalability</w:t>
            </w:r>
          </w:p>
        </w:tc>
      </w:tr>
      <w:tr>
        <w:tc>
          <w:p>
            <w:pPr>
              <w:spacing w:after="60"/>
            </w:pPr>
            <w:r>
              <w:rPr>
                <w:sz w:val="20"/>
              </w:rPr>
              <w:t xml:space="preserve">Neural Networks</w:t>
            </w:r>
          </w:p>
        </w:tc>
        <w:tc>
          <w:p>
            <w:pPr>
              <w:spacing w:after="60"/>
            </w:pPr>
            <w:r>
              <w:rPr>
                <w:sz w:val="20"/>
              </w:rPr>
              <w:t xml:space="preserve">Multi-layer nonlinear transformations</w:t>
            </w:r>
          </w:p>
        </w:tc>
        <w:tc>
          <w:p>
            <w:pPr>
              <w:spacing w:after="60"/>
            </w:pPr>
            <w:r>
              <w:rPr>
                <w:sz w:val="20"/>
              </w:rPr>
              <w:t xml:space="preserve">0.75-0.85</w:t>
            </w:r>
          </w:p>
        </w:tc>
        <w:tc>
          <w:p>
            <w:pPr>
              <w:spacing w:after="60"/>
            </w:pPr>
            <w:r>
              <w:rPr>
                <w:sz w:val="20"/>
              </w:rPr>
              <w:t xml:space="preserve">Very Low</w:t>
            </w:r>
          </w:p>
        </w:tc>
        <w:tc>
          <w:p>
            <w:pPr>
              <w:spacing w:after="60"/>
            </w:pPr>
            <w:r>
              <w:rPr>
                <w:sz w:val="20"/>
              </w:rPr>
              <w:t xml:space="preserve">Complex pattern capture; data-hungry; opaque</w:t>
            </w:r>
          </w:p>
        </w:tc>
      </w:tr>
    </w:tbl>
    <w:p>
      <w:pPr>
        <w:spacing w:after="200"/>
      </w:pPr>
    </w:p>
    <w:p>
      <w:pPr>
        <w:pStyle w:val="Heading2"/>
      </w:pPr>
      <w:r>
        <w:rPr>
          <w:b/>
        </w:rPr>
        <w:t xml:space="preserve">2.3 Model Evaluation, Validation, and Performance Assessment</w:t>
      </w:r>
    </w:p>
    <w:p>
      <w:pPr>
        <w:pStyle w:val="Normal"/>
      </w:pPr>
      <w:r>
        <w:t xml:space="preserve">Rigorous evaluation of clinical prediction models requires assessment across multiple performance dimensions, adhering to established reporting guidelines such as TRIPOD (Transparent Reporting of a multivariable prediction model for Individual Prognosis or Diagnosis) for model development and validation studies [30]. The comprehensive evaluation framework encompasses discrimination, calibration, clinical utility, reclassification, and progressive validation strategies that collectively determine a model’s readiness for clinical implementation.</w:t>
      </w:r>
    </w:p>
    <w:p>
      <w:pPr>
        <w:pStyle w:val="Normal"/>
      </w:pPr>
      <w:r>
        <w:t xml:space="preserve">Discrimination metrics quantify a model’s ability to separate patients who will experience exacerbations from those who will not. The area under the receiver operating characteristic curve (AUC-ROC), equivalent to the concordance statistic (c-statistic) for binary outcomes, provides a threshold-independent measure of overall discriminative ability ranging from 0.5 (no discrimination) to 1.0 (perfect discrimination), with values of 0.7-0.8 considered acceptable and &gt;0.8 considered excellent in clinical prediction contexts [27]. The AUC can be interpreted as the probability that a randomly selected patient who experiences an exacerbation has a higher predicted risk than a randomly selected patient who does not [27]. At specific decision thresholds, sensitivity (true positive rate), specificity (true negative rate), positive predictive value (PPV), and negative predictive value (NPV) characterize model performance for clinical decision-making. The F1-score, the harmonic mean of precision (PPV) and recall (sensitivity), offers a balanced single metric particularly relevant in the presence of class imbalance where accuracy alone is misleading [26]. The area under the precision-recall curve (AUC-PR) provides additional insight for imbalanced datasets where the positive class is of primary interest.</w:t>
      </w:r>
    </w:p>
    <w:p>
      <w:pPr>
        <w:pStyle w:val="Normal"/>
      </w:pPr>
      <w:r>
        <w:t xml:space="preserve">Calibration assesses the agreement between predicted probabilities and observed event rates across the full range of predictions, representing a critical but often overlooked aspect of prediction model performance that determines whether predicted probabilities can be meaningfully communicated to clinicians and patients [28]. A well-calibrated model produces predicted probabilities that accurately reflect true event frequencies; for example, among patients assigned a 30% predicted risk, approximately 30% should actually experience exacerbations. Calibration is assessed graphically through calibration plots (predicted vs. observed risk across deciles of predicted probability) and quantitatively through the Brier score (mean squared prediction error, incorporating both discrimination and calibration), Hosmer-Lemeshow goodness-of-fit test, calibration-in-the-large (mean predicted vs. mean observed), and calibration slope (ideally 1.0, with values &lt;1 indicating overfitting) [26,28]. Recalibration techniques, including logistic recalibration and Platt scaling, can correct miscalibration when models are applied to new populations with differing baseline event rates.</w:t>
      </w:r>
    </w:p>
    <w:p>
      <w:pPr>
        <w:pStyle w:val="Normal"/>
      </w:pPr>
      <w:r>
        <w:t xml:space="preserve">Threshold selection for clinical implementation requires careful balancing of sensitivity and specificity according to the specific clinical context and intended use case. In exacerbation prediction, the consequences of false negatives (missed high-risk patients who subsequently exacerbate without preventive intervention) may substantially exceed those of false positives (patients receiving unnecessary preventive interventions that are generally safe), favoring higher sensitivity at the cost of some specificity [26]. Youden’s index (sensitivity + specificity - 1) provides one threshold selection criterion, while decision curve analysis offers a more clinically nuanced framework for evaluating net benefit—the difference between true positive benefit and false positive harm weighted by the relative consequences—across a range of clinically plausible threshold probabilities [26].</w:t>
      </w:r>
    </w:p>
    <w:p>
      <w:pPr>
        <w:pStyle w:val="Normal"/>
      </w:pPr>
      <w:r>
        <w:t xml:space="preserve">Validation strategies progress from internal validation (cross-validation providing optimism-corrected performance estimates, bootstrapping with 200-500 iterations for stable confidence intervals) through temporal validation (training on earlier data, testing on subsequently collected data from the same institution) to full external validation in geographically, ethnically, or institutionally distinct populations [29,30]. Internal-external cross-validation, where data from multiple sites are iteratively held out for validation while training on remaining sites, provides intermediate evidence of transportability between internal and fully external validation [29]. External validation is essential for establishing model transportability and generalizability to new clinical settings, as prediction models frequently demonstrate performance degradation of 0.05-0.10 AUC when applied to populations differing from the development cohort in case-mix, outcome prevalence, predictor distributions, or data collection methods [26,29,30].</w:t>
      </w:r>
    </w:p>
    <w:p>
      <w:pPr>
        <w:pStyle w:val="Heading1"/>
      </w:pPr>
      <w:r>
        <w:rPr>
          <w:b/>
        </w:rPr>
        <w:t xml:space="preserve">Section 3: Explainable AI and Personalized COPD Risk Prediction</w:t>
      </w:r>
    </w:p>
    <w:p>
      <w:pPr>
        <w:pStyle w:val="Heading2"/>
      </w:pPr>
      <w:r>
        <w:rPr>
          <w:b/>
        </w:rPr>
        <w:t xml:space="preserve">3.1 Explainable Artificial Intelligence in Respiratory Medicine</w:t>
      </w:r>
    </w:p>
    <w:p>
      <w:pPr>
        <w:pStyle w:val="Normal"/>
      </w:pPr>
      <w:r>
        <w:t xml:space="preserve">The adoption of complex machine learning models in clinical medicine faces a fundamental tension between predictive performance and interpretability, often characterized as the performance-interpretability tradeoff [31,32]. While ensemble methods such as gradient boosting and deep learning architectures may achieve superior discrimination compared to simpler models, their opaque decision-making processes—operating as "black boxes" that transform inputs to outputs without transparent reasoning—create substantial barriers to clinical trust, regulatory approval, medicolegal accountability, and meaningful integration into patient care pathways [33]. Explainable artificial intelligence (XAI) encompasses a diverse family of techniques designed to render model predictions transparent and comprehensible to human users, enabling clinicians to understand not only what a model predicts but why it generates specific predictions for individual patients [24,25,31].</w:t>
      </w:r>
    </w:p>
    <w:p>
      <w:pPr>
        <w:pStyle w:val="Normal"/>
      </w:pPr>
      <w:r>
        <w:t xml:space="preserve">In respiratory medicine specifically, the imperative for model interpretability extends beyond regulatory compliance to encompass several critical dimensions of clinical utility [33,34]. First, clinical safety requires that predictions can be validated against pathophysiological understanding, enabling detection of implausible predictions that may result from data artifacts, distributional shift, or model failure modes. Second, actionability demands that explanations identify modifiable risk factors amenable to therapeutic intervention, transforming passive risk scores into active clinical guidance. Third, patient communication increasingly requires that clinicians can explain the basis for treatment decisions in understandable terms, supporting informed consent and shared decision-making. Fourth, scientific discovery requires that model explanations can generate hypotheses about disease mechanisms, potentially revealing previously unrecognized risk factor relationships. Furthermore, explainability enables detection of model biases (e.g., systematically different performance across demographic groups), identification of subpopulations where model performance may be unreliable or degraded, and iterative refinement of feature engineering based on clinical domain knowledge [31,32].</w:t>
      </w:r>
    </w:p>
    <w:p>
      <w:pPr>
        <w:pStyle w:val="Normal"/>
      </w:pPr>
      <w:r>
        <w:t xml:space="preserve">XAI methods are broadly categorized into intrinsically interpretable models (logistic regression with directly interpretable coefficients, decision trees with visualizable rules, rule-based systems such as RuleFit, and generalized additive models) and post-hoc explanation techniques applied to complex "black-box" models after training [25,31]. Post-hoc methods include SHAP (SHapley Additive exPlanations), LIME (Local Interpretable Model-agnostic Explanations), partial dependence plots (PDP) and individual conditional expectation (ICE) plots, accumulated local effects (ALE), permutation feature importance, and counterfactual explanations [24,25,31]. For COPD exacerbation prediction, SHAP analysis has emerged as the preferred post-hoc approach due to its solid theoretical foundation in cooperative game theory, satisfaction of desirable axioms, and ability to provide both global model understanding and individual patient-level explanations [24]. The integration of XAI into respiratory medicine represents a paradigm shift toward transparent, trustworthy AI systems that augment rather than replace clinical reasoning, as depicted in the analytical framework shown in Figure 3.</w:t>
      </w:r>
    </w:p>
    <w:p>
      <w:pPr>
        <w:jc w:val="center"/>
      </w:pPr>
      <w:r>
        <w:drawing>
          <wp:inline xmlns:wp="http://schemas.openxmlformats.org/drawingml/2006/wordprocessingDrawing" distT="0" distB="0" distL="0" distR="0">
            <wp:extent cx="5486400" cy="3429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3"/>
                    <a:stretch>
                      <a:fillRect/>
                    </a:stretch>
                  </pic:blipFill>
                  <pic:spPr>
                    <a:xfrm>
                      <a:off x="0" y="0"/>
                      <a:ext cx="5486400" cy="3429000"/>
                    </a:xfrm>
                    <a:prstGeom prst="rect">
                      <a:avLst/>
                    </a:prstGeom>
                  </pic:spPr>
                </pic:pic>
              </a:graphicData>
            </a:graphic>
          </wp:inline>
        </w:drawing>
      </w:r>
    </w:p>
    <w:p>
      <w:pPr>
        <w:jc w:val="center"/>
      </w:pPr>
      <w:r>
        <w:rPr>
          <w:i/>
        </w:rPr>
        <w:t xml:space="preserve">Figure 3. SHAP-Based Global Feature Importance and Individual Risk Interpretation, demonstrating how model predictions are decomposed into feature-level contributions.</w:t>
      </w:r>
    </w:p>
    <w:p>
      <w:pPr>
        <w:pStyle w:val="Heading2"/>
      </w:pPr>
      <w:r>
        <w:rPr>
          <w:b/>
        </w:rPr>
        <w:t xml:space="preserve">3.2 SHAP-Based Global and Individual Model Interpretation</w:t>
      </w:r>
    </w:p>
    <w:p>
      <w:pPr>
        <w:pStyle w:val="Normal"/>
      </w:pPr>
      <w:r>
        <w:t xml:space="preserve">SHAP (SHapley Additive exPlanations), developed by Lundberg and Lee, provides a theoretically grounded, unified framework for model interpretation based on Shapley values from cooperative game theory [24]. The fundamental principle assigns each feature a value representing its marginal contribution to the prediction for a specific observation, computed by averaging the feature’s contribution across all possible orderings of features—analogous to fairly distributing the "payout" (prediction) among "players" (features) based on their individual contributions [24,31]. SHAP values satisfy three desirable mathematical properties: (1) local accuracy—SHAP values for a prediction sum exactly to the difference between the model output and the expected (average) prediction; (2) missingness—features with no observed value receive zero attribution; and (3) consistency—if a feature’s contribution increases in a revised model, its SHAP value never decreases. These properties distinguish SHAP from heuristic importance measures that lack formal guarantees of faithfulness to the underlying model [24].</w:t>
      </w:r>
    </w:p>
    <w:p>
      <w:pPr>
        <w:pStyle w:val="Normal"/>
      </w:pPr>
      <w:r>
        <w:t xml:space="preserve">Global interpretation through SHAP analysis reveals the overall importance and directional effects of features across the entire patient population, enabling identification of which variables most strongly drive model predictions on average and how their values relate to predicted risk. In COPD exacerbation prediction models, SHAP-based global analysis consistently identifies the following hierarchy of predictive features: (1) Prior exacerbation history—patients with two or more exacerbations in the preceding year demonstrate substantially elevated SHAP values (typically +0.2 to +0.4 in log-odds space), confirming and quantifying the established clinical principle that past exacerbation is the strongest predictor of future events, with a clear dose-response relationship as exacerbation count increases [4]; (2) Blood eosinophil count—elevated eosinophils (&gt;300 cells/µL) contribute positively to exacerbation risk prediction, with SHAP dependence plots revealing a threshold effect above which eosinophils increasingly predict exacerbation risk, consistent with the eosinophilic inflammatory phenotype driving steroid-responsive exacerbations [10]; (3) FEV₁ percent predicted—lower values drive higher predicted risk through nonlinear relationships, with SHAP analysis revealing a steep increase in risk contribution below approximately 50% predicted, followed by a plateau effect at very low values indicating that additional deterioration beyond severe obstruction provides diminishing additional predictive information [1]; (4) CAT score—higher symptom burden (CAT &gt;20) consistently increases predicted risk, with SHAP values demonstrating approximately linear positive contributions above the threshold of 10 [12]; and (5) Neutrophil-to-lymphocyte ratio (NLR)—elevated NLR (&gt;3.5) reflects systemic neutrophilic inflammation and independently contributes to exacerbation prediction, potentially capturing a distinct inflammatory pathway from eosinophilic mechanisms [35].</w:t>
      </w:r>
    </w:p>
    <w:p>
      <w:pPr>
        <w:pStyle w:val="Normal"/>
      </w:pPr>
      <w:r>
        <w:t xml:space="preserve">Figure 3 illustrates the SHAP-based feature importance rankings through summary beeswarm plots, where each point represents one patient, horizontal position indicates SHAP value magnitude and direction, and color represents the feature value, collectively demonstrating how specific features drive predictions across the patient population. SHAP summary plots thus simultaneously convey feature importance (vertical ordering), effect direction (horizontal position), and value dependence (color gradient).</w:t>
      </w:r>
    </w:p>
    <w:p>
      <w:pPr>
        <w:pStyle w:val="Normal"/>
      </w:pPr>
      <w:r>
        <w:t xml:space="preserve">Individual-level SHAP analysis provides patient-specific explanations through force plots and waterfall diagrams, decomposing each prediction into its constituent feature contributions and showing precisely how the model arrived at a specific risk estimate for a particular patient [24]. Force plots display features as arrows pushing the prediction from the base value (population average risk) toward the final predicted value, with red arrows indicating features increasing predicted risk and blue arrows indicating features decreasing risk. This enables clinicians to identify the specific factors driving an individual patient’s risk—for example, one patient’s elevated risk may be predominantly attributable to their exacerbation history and high NLR (indicating neutrophilic-driven risk), while another patient’s similar overall risk may be driven primarily by severe airflow obstruction combined with elevated eosinophils (indicating a different phenotypic pathway). This granular understanding supports personalized treatment decisions by highlighting the modifiable factors most amenable to intervention for each specific patient.</w:t>
      </w:r>
    </w:p>
    <w:p>
      <w:pPr>
        <w:pStyle w:val="Normal"/>
      </w:pPr>
      <w:r>
        <w:t xml:space="preserve">SHAP interaction values extend the analysis to quantify pairwise feature interactions, revealing synergistic or antagonistic effects between variables that would be invisible in analyses considering only main effects [24]. For instance, the interaction between blood eosinophils and ICS use may demonstrate that the predictive contribution of elevated eosinophils is substantially attenuated in patients already receiving high-dose inhaled corticosteroids, reflecting the biological relationship between type-2 inflammation and pharmacological suppression. Similarly, interactions between FEV₁ and exacerbation history may reveal that the prognostic impact of airflow obstruction severity is amplified in patients with established exacerbation susceptibility, suggesting that these factors operate synergistically rather than additively. Interactions between NLR and blood eosinophils may reveal distinct inflammatory endotypes where neutrophilic and eosinophilic pathways contribute differentially to prediction depending on their relative magnitudes. Table 4 presents exemplar SHAP-derived risk profiles for representative patient phenotypes demonstrating how individual-level interpretation enables clinically actionable risk characterization.</w:t>
      </w:r>
    </w:p>
    <w:p>
      <w:pPr>
        <w:jc w:val="center"/>
      </w:pPr>
      <w:r>
        <w:rPr>
          <w:b/>
        </w:rPr>
        <w:t xml:space="preserve">Table 4. SHAP-Derived Individualized Risk Profiles for Representative COPD Phenotypes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pPr>
              <w:jc w:val="center"/>
            </w:pPr>
            <w:r>
              <w:rPr>
                <w:b/>
                <w:sz w:val="20"/>
              </w:rPr>
              <w:t xml:space="preserve">Patient Profile</w:t>
            </w:r>
          </w:p>
        </w:tc>
        <w:tc>
          <w:tcPr>
            <w:shd w:val="clear" w:color="auto" w:fill="D9E2F3"/>
          </w:tcPr>
          <w:p>
            <w:pPr>
              <w:jc w:val="center"/>
            </w:pPr>
            <w:r>
              <w:rPr>
                <w:b/>
                <w:sz w:val="20"/>
              </w:rPr>
              <w:t xml:space="preserve">Key Features</w:t>
            </w:r>
          </w:p>
        </w:tc>
        <w:tc>
          <w:tcPr>
            <w:shd w:val="clear" w:color="auto" w:fill="D9E2F3"/>
          </w:tcPr>
          <w:p>
            <w:pPr>
              <w:jc w:val="center"/>
            </w:pPr>
            <w:r>
              <w:rPr>
                <w:b/>
                <w:sz w:val="20"/>
              </w:rPr>
              <w:t xml:space="preserve">Top SHAP Drivers</w:t>
            </w:r>
          </w:p>
        </w:tc>
        <w:tc>
          <w:tcPr>
            <w:shd w:val="clear" w:color="auto" w:fill="D9E2F3"/>
          </w:tcPr>
          <w:p>
            <w:pPr>
              <w:jc w:val="center"/>
            </w:pPr>
            <w:r>
              <w:rPr>
                <w:b/>
                <w:sz w:val="20"/>
              </w:rPr>
              <w:t xml:space="preserve">Predicted Risk</w:t>
            </w:r>
          </w:p>
        </w:tc>
        <w:tc>
          <w:tcPr>
            <w:shd w:val="clear" w:color="auto" w:fill="D9E2F3"/>
          </w:tcPr>
          <w:p>
            <w:pPr>
              <w:jc w:val="center"/>
            </w:pPr>
            <w:r>
              <w:rPr>
                <w:b/>
                <w:sz w:val="20"/>
              </w:rPr>
              <w:t xml:space="preserve">Recommended Actions</w:t>
            </w:r>
          </w:p>
        </w:tc>
      </w:tr>
      <w:tr>
        <w:tc>
          <w:p>
            <w:pPr>
              <w:spacing w:after="60"/>
            </w:pPr>
            <w:r>
              <w:rPr>
                <w:sz w:val="20"/>
              </w:rPr>
              <w:t xml:space="preserve">High-Risk: Frequent Exacerbator</w:t>
            </w:r>
          </w:p>
        </w:tc>
        <w:tc>
          <w:p>
            <w:pPr>
              <w:spacing w:after="60"/>
            </w:pPr>
            <w:r>
              <w:rPr>
                <w:sz w:val="20"/>
              </w:rPr>
              <w:t xml:space="preserve">3 exacerbations/yr; FEV1 28%; CAT 28; NLR 5.8</w:t>
            </w:r>
          </w:p>
        </w:tc>
        <w:tc>
          <w:p>
            <w:pPr>
              <w:spacing w:after="60"/>
            </w:pPr>
            <w:r>
              <w:rPr>
                <w:sz w:val="20"/>
              </w:rPr>
              <w:t xml:space="preserve">Exacerbation history (+0.32); FEV1 (+0.18); NLR (+0.12)</w:t>
            </w:r>
          </w:p>
        </w:tc>
        <w:tc>
          <w:p>
            <w:pPr>
              <w:spacing w:after="60"/>
            </w:pPr>
            <w:r>
              <w:rPr>
                <w:sz w:val="20"/>
              </w:rPr>
              <w:t xml:space="preserve">87% (12-month exacerbation)</w:t>
            </w:r>
          </w:p>
        </w:tc>
        <w:tc>
          <w:p>
            <w:pPr>
              <w:spacing w:after="60"/>
            </w:pPr>
            <w:r>
              <w:rPr>
                <w:sz w:val="20"/>
              </w:rPr>
              <w:t xml:space="preserve">Triple therapy + roflumilast; pulmonary rehab; action plan</w:t>
            </w:r>
          </w:p>
        </w:tc>
      </w:tr>
      <w:tr>
        <w:tc>
          <w:p>
            <w:pPr>
              <w:spacing w:after="60"/>
            </w:pPr>
            <w:r>
              <w:rPr>
                <w:sz w:val="20"/>
              </w:rPr>
              <w:t xml:space="preserve">High-Risk: Eosinophilic</w:t>
            </w:r>
          </w:p>
        </w:tc>
        <w:tc>
          <w:p>
            <w:pPr>
              <w:spacing w:after="60"/>
            </w:pPr>
            <w:r>
              <w:rPr>
                <w:sz w:val="20"/>
              </w:rPr>
              <w:t xml:space="preserve">2 exacerbations/yr; Eos 520; FEV1 45%; CAT 22</w:t>
            </w:r>
          </w:p>
        </w:tc>
        <w:tc>
          <w:p>
            <w:pPr>
              <w:spacing w:after="60"/>
            </w:pPr>
            <w:r>
              <w:rPr>
                <w:sz w:val="20"/>
              </w:rPr>
              <w:t xml:space="preserve">Eosinophils (+0.28); Exacerbations (+0.22); CAT (+0.10)</w:t>
            </w:r>
          </w:p>
        </w:tc>
        <w:tc>
          <w:p>
            <w:pPr>
              <w:spacing w:after="60"/>
            </w:pPr>
            <w:r>
              <w:rPr>
                <w:sz w:val="20"/>
              </w:rPr>
              <w:t xml:space="preserve">79%</w:t>
            </w:r>
          </w:p>
        </w:tc>
        <w:tc>
          <w:p>
            <w:pPr>
              <w:spacing w:after="60"/>
            </w:pPr>
            <w:r>
              <w:rPr>
                <w:sz w:val="20"/>
              </w:rPr>
              <w:t xml:space="preserve">ICS optimization; consider anti-IL5 biologic; monitor eosinophils</w:t>
            </w:r>
          </w:p>
        </w:tc>
      </w:tr>
      <w:tr>
        <w:tc>
          <w:p>
            <w:pPr>
              <w:spacing w:after="60"/>
            </w:pPr>
            <w:r>
              <w:rPr>
                <w:sz w:val="20"/>
              </w:rPr>
              <w:t xml:space="preserve">Moderate-Risk: Mixed</w:t>
            </w:r>
          </w:p>
        </w:tc>
        <w:tc>
          <w:p>
            <w:pPr>
              <w:spacing w:after="60"/>
            </w:pPr>
            <w:r>
              <w:rPr>
                <w:sz w:val="20"/>
              </w:rPr>
              <w:t xml:space="preserve">1 exacerbation/yr; FEV1 52%; CAT 18; NLR 3.5</w:t>
            </w:r>
          </w:p>
        </w:tc>
        <w:tc>
          <w:p>
            <w:pPr>
              <w:spacing w:after="60"/>
            </w:pPr>
            <w:r>
              <w:rPr>
                <w:sz w:val="20"/>
              </w:rPr>
              <w:t xml:space="preserve">Exacerbation history (+0.15); CAT (+0.11); FEV1 (+0.08)</w:t>
            </w:r>
          </w:p>
        </w:tc>
        <w:tc>
          <w:p>
            <w:pPr>
              <w:spacing w:after="60"/>
            </w:pPr>
            <w:r>
              <w:rPr>
                <w:sz w:val="20"/>
              </w:rPr>
              <w:t xml:space="preserve">45%</w:t>
            </w:r>
          </w:p>
        </w:tc>
        <w:tc>
          <w:p>
            <w:pPr>
              <w:spacing w:after="60"/>
            </w:pPr>
            <w:r>
              <w:rPr>
                <w:sz w:val="20"/>
              </w:rPr>
              <w:t xml:space="preserve">Step-up to LABA/LAMA/ICS; self-management education</w:t>
            </w:r>
          </w:p>
        </w:tc>
      </w:tr>
      <w:tr>
        <w:tc>
          <w:p>
            <w:pPr>
              <w:spacing w:after="60"/>
            </w:pPr>
            <w:r>
              <w:rPr>
                <w:sz w:val="20"/>
              </w:rPr>
              <w:t xml:space="preserve">Low-Risk: Stable</w:t>
            </w:r>
          </w:p>
        </w:tc>
        <w:tc>
          <w:p>
            <w:pPr>
              <w:spacing w:after="60"/>
            </w:pPr>
            <w:r>
              <w:rPr>
                <w:sz w:val="20"/>
              </w:rPr>
              <w:t xml:space="preserve">0 exacerbations/yr; FEV1 68%; CAT 12; Eos 180</w:t>
            </w:r>
          </w:p>
        </w:tc>
        <w:tc>
          <w:p>
            <w:pPr>
              <w:spacing w:after="60"/>
            </w:pPr>
            <w:r>
              <w:rPr>
                <w:sz w:val="20"/>
              </w:rPr>
              <w:t xml:space="preserve">All features low magnitude (max +0.04)</w:t>
            </w:r>
          </w:p>
        </w:tc>
        <w:tc>
          <w:p>
            <w:pPr>
              <w:spacing w:after="60"/>
            </w:pPr>
            <w:r>
              <w:rPr>
                <w:sz w:val="20"/>
              </w:rPr>
              <w:t xml:space="preserve">12%</w:t>
            </w:r>
          </w:p>
        </w:tc>
        <w:tc>
          <w:p>
            <w:pPr>
              <w:spacing w:after="60"/>
            </w:pPr>
            <w:r>
              <w:rPr>
                <w:sz w:val="20"/>
              </w:rPr>
              <w:t xml:space="preserve">Maintain current therapy; annual review; smoking cessation support</w:t>
            </w:r>
          </w:p>
        </w:tc>
      </w:tr>
    </w:tbl>
    <w:p>
      <w:pPr>
        <w:spacing w:after="200"/>
      </w:pPr>
    </w:p>
    <w:p>
      <w:pPr>
        <w:pStyle w:val="Heading2"/>
      </w:pPr>
      <w:r>
        <w:rPr>
          <w:b/>
        </w:rPr>
        <w:t xml:space="preserve">3.3 Personalized Exacerbation Risk Profiles and Phenotype-Specific Prediction</w:t>
      </w:r>
    </w:p>
    <w:p>
      <w:pPr>
        <w:pStyle w:val="Normal"/>
      </w:pPr>
      <w:r>
        <w:t xml:space="preserve">The convergence of machine learning prediction with SHAP-based interpretation enables the development of personalized exacerbation risk profiles that fundamentally transcend population-level risk classification [6,7]. By combining predicted risk probabilities with individual SHAP explanations, clinicians can construct comprehensive risk narratives for each patient that identify predominant risk drivers, quantify their relative contributions to overall predicted risk, characterize the patient’s risk phenotype, and suggest targeted preventive strategies aligned with the specific modifiable factors driving their individual risk.</w:t>
      </w:r>
    </w:p>
    <w:p>
      <w:pPr>
        <w:pStyle w:val="Normal"/>
      </w:pPr>
      <w:r>
        <w:t xml:space="preserve">High-risk patient profiles (predicted 12-month exacerbation probability &gt;70%) typically demonstrate clustering of multiple adverse features: frequent exacerbation history (≥3 events/year), severe airflow obstruction (FEV₁ &lt;30% predicted), elevated inflammatory biomarkers (eosinophils &gt;400 cells/µL, NLR &gt;5.0), high symptom burden (CAT &gt;25), and significant comorbidity burden (Charlson Index ≥4) [4,8,10]. SHAP analysis for these patients reveals uniformly positive contributions across multiple features, with cumulative SHAP values in log-odds space exceeding +1.5, indicating that their substantially elevated risk results from the convergence of multiple pathological pathways rather than any single dominant factor. Clinical management for such patients requires comprehensive multimodal intervention addressing all contributing dimensions simultaneously: maximized pharmacotherapy (triple inhaler therapy plus roflumilast or azithromycin prophylaxis), intensive pulmonary rehabilitation, comprehensive self-management with written action plans, vaccination optimization, and enhanced surveillance [1,8].</w:t>
      </w:r>
    </w:p>
    <w:p>
      <w:pPr>
        <w:pStyle w:val="Normal"/>
      </w:pPr>
      <w:r>
        <w:t xml:space="preserve">Moderate-risk profiles (predicted probability 30-70%) exhibit heterogeneous SHAP patterns that illuminate distinct phenotypic pathways to intermediate risk levels. Subgroup analysis reveals clinically meaningful clusters: (a) patients demonstrating moderate risk driven primarily by eosinophilic inflammation (eosinophils 350-500 cells/µL, SHAP contribution +0.15 to +0.25) despite relatively preserved lung function (FEV₁ 55-70% predicted), representing a steroid-responsive phenotype; (b) patients showing risk driven predominantly by severe obstruction (FEV₁ 30-45%) with low inflammatory markers, representing a structural-mechanical phenotype; and (c) patients whose risk arises primarily from high comorbidity burden and elevated NLR despite moderate COPD severity, representing a systemic-inflammatory phenotype [6,7,11]. This phenotypic distinction derived from SHAP analysis has direct therapeutic implications: the eosinophilic subgroup benefits preferentially from inhaled corticosteroid escalation or anti-IL5 biologic therapy; the structural phenotype requires bronchodilator optimization, lung volume reduction assessment, and pulmonary rehabilitation; and the systemic phenotype may benefit from cardiovascular risk modification, nutritional supplementation, and targeted comorbidity management [6,7,11].</w:t>
      </w:r>
    </w:p>
    <w:p>
      <w:pPr>
        <w:pStyle w:val="Normal"/>
      </w:pPr>
      <w:r>
        <w:t xml:space="preserve">Low-risk patient profiles (predicted probability &lt;30%) serve an equally important clinical function by providing quantitative reassurance and supporting evidence-based de-escalation decisions. When SHAP analysis demonstrates uniformly low-magnitude contributions (all individual SHAP values between -0.05 and +0.05) with no dominant risk drivers, clinicians can confidently maintain current therapy without escalation, potentially consider appropriate ICS withdrawal in patients without eosinophilic features (where overtreatment carries pneumonia risk), and allocate clinical attention and healthcare resources toward higher-risk patients who derive greater benefit from intensive monitoring [8]. This bidirectional clinical utility—informing both escalation and de-escalation—represents a fundamental advancement from binary risk classification toward nuanced, individualized clinical risk assessment that accounts for the unique risk architecture of each patient and enables truly personalized management aligned with the precision medicine paradigm.</w:t>
      </w:r>
    </w:p>
    <w:p>
      <w:pPr>
        <w:pStyle w:val="Heading1"/>
      </w:pPr>
      <w:r>
        <w:rPr>
          <w:b/>
        </w:rPr>
        <w:t xml:space="preserve">Section 4: Clinical Translation, Decision Support, and Future Directions</w:t>
      </w:r>
    </w:p>
    <w:p>
      <w:pPr>
        <w:pStyle w:val="Heading2"/>
      </w:pPr>
      <w:r>
        <w:rPr>
          <w:b/>
        </w:rPr>
        <w:t xml:space="preserve">4.1 AI-Enabled Clinical Decision-Support Systems for COPD</w:t>
      </w:r>
    </w:p>
    <w:p>
      <w:pPr>
        <w:pStyle w:val="Normal"/>
      </w:pPr>
      <w:r>
        <w:t xml:space="preserve">The translation of machine learning prediction models from research environments into routine clinical practice requires thoughtful integration with existing healthcare information systems, established clinical workflows, and the cognitive processes of clinical decision-makers [16,17]. AI-enabled clinical decision-support systems (CDSS) for COPD exacerbation prevention must balance algorithmic sophistication with end-user usability, computational efficiency for real-time deployment, workflow integration that minimizes disruption, and compliance with regulatory frameworks for clinical software. Figure 4 illustrates the proposed architecture for an AI-enabled clinical decision-support system integrating ML-based prediction with clinical workflows across multiple care settings.</w:t>
      </w:r>
    </w:p>
    <w:p>
      <w:pPr>
        <w:jc w:val="center"/>
      </w:pPr>
      <w:r>
        <w:drawing>
          <wp:inline xmlns:wp="http://schemas.openxmlformats.org/drawingml/2006/wordprocessingDrawing" distT="0" distB="0" distL="0" distR="0">
            <wp:extent cx="5486400" cy="3429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4"/>
                    <a:stretch>
                      <a:fillRect/>
                    </a:stretch>
                  </pic:blipFill>
                  <pic:spPr>
                    <a:xfrm>
                      <a:off x="0" y="0"/>
                      <a:ext cx="5486400" cy="3429000"/>
                    </a:xfrm>
                    <a:prstGeom prst="rect">
                      <a:avLst/>
                    </a:prstGeom>
                  </pic:spPr>
                </pic:pic>
              </a:graphicData>
            </a:graphic>
          </wp:inline>
        </w:drawing>
      </w:r>
    </w:p>
    <w:p>
      <w:pPr>
        <w:jc w:val="center"/>
      </w:pPr>
      <w:r>
        <w:rPr>
          <w:i/>
        </w:rPr>
        <w:t xml:space="preserve">Figure 4. AI-Enabled Clinical Decision Support System Integration Framework, illustrating EHR integration, real-time risk calculation, and clinical workflow embedding.</w:t>
      </w:r>
    </w:p>
    <w:p>
      <w:pPr>
        <w:pStyle w:val="Normal"/>
      </w:pPr>
      <w:r>
        <w:t xml:space="preserve">Electronic health record (EHR) integration represents the primary deployment pathway for COPD prediction models in hospital and primary care settings. Real-time risk calculation at the point of care, triggered by clinical encounters, laboratory result availability, spirometry completion, or scheduled periodic surveillance intervals, enables automated identification of patients whose exacerbation risk has exceeded predefined clinical action thresholds [16,39]. The technical system architecture typically encompasses four functional layers: (1) data extraction layers that interface with EHR APIs (FHIR, HL7) to pull relevant predictive features from structured clinical fields in real-time; (2) preprocessing modules that handle missing values through imputation algorithms, normalize inputs to model-expected scales, compute derived features (e.g., NLR from differential blood counts), and flag data quality concerns; (3) inference engines that execute trained, validated model predictions with sub-second latency, computing both point estimates and uncertainty intervals; and (4) presentation layers that communicate risk estimates, temporal risk trends, SHAP-based explanations, and guideline-aligned recommended actions to clinicians through configurable dashboards, interruptive alerts (for high-risk threshold crossings), or embedded clinical notes auto-populated into encounter documentation [17,39].</w:t>
      </w:r>
    </w:p>
    <w:p>
      <w:pPr>
        <w:pStyle w:val="Normal"/>
      </w:pPr>
      <w:r>
        <w:t xml:space="preserve">Point-of-care risk calculators, implemented as web-based applications, mobile device tools, or EHR-embedded modules accessible within the clinical workflow, provide immediate, on-demand risk assessment during clinical encounters [38]. These tools typically present the predicted exacerbation probability (e.g., "72% probability of at least one moderate-to-severe exacerbation within 12 months"), confidence intervals reflecting prediction uncertainty, the top 3-5 risk drivers identified through SHAP analysis (e.g., "Risk primarily driven by: 3 prior exacerbations, eosinophils 480 cells/µL, FEV₁ 32% predicted"), and recommended management actions aligned with current GOLD guidelines stratified by risk level [1,38]. The integration of SHAP-based explanations is critical for clinician acceptance and appropriate trust calibration, as transparent presentation of risk drivers enables clinical face-validity assessment, supports shared decision-making with informed patients, and facilitates documentation of clinical reasoning [33].</w:t>
      </w:r>
    </w:p>
    <w:p>
      <w:pPr>
        <w:pStyle w:val="Normal"/>
      </w:pPr>
      <w:r>
        <w:t xml:space="preserve">Telemonitoring platforms extend prediction capabilities beyond scheduled clinic visits, enabling continuous between-visit risk surveillance through patient-reported outcomes collected via smartphone applications, connected device data from pulse oximeters and activity trackers, smart inhaler monitoring of medication adherence and rescue bronchodilator frequency, and remote spirometry [39]. Integration of ML models with telemonitoring systems allows for dynamic risk updating as new clinical information becomes available—for example, a gradual increase in rescue inhaler use over several days may trigger model re-evaluation and alert the clinical team to rising risk before the patient seeks emergency care. This real-time dynamic prediction paradigm, potentially enabling detection of risk elevation 48-72 hours prior to clinical symptom recognition, represents a fundamental shift from reactive exacerbation management to proactive, preemptive intervention [39]. The comprehensive decision-support architecture depicted in Figure 4 demonstrates how these primary care, hospital, and remote monitoring components interconnect within an integrated health system to support continuous proactive exacerbation prevention and personalized care delivery.</w:t>
      </w:r>
    </w:p>
    <w:p>
      <w:pPr>
        <w:pStyle w:val="Heading2"/>
      </w:pPr>
      <w:r>
        <w:rPr>
          <w:b/>
        </w:rPr>
        <w:t xml:space="preserve">4.2 Multimodal AI, External Validation, and Real-World Implementation</w:t>
      </w:r>
    </w:p>
    <w:p>
      <w:pPr>
        <w:pStyle w:val="Normal"/>
      </w:pPr>
      <w:r>
        <w:t xml:space="preserve">The evolution of COPD prediction models toward multimodal artificial intelligence incorporates diverse data sources beyond traditional clinical variables collected during standard encounters, promising enhanced predictive capability through more comprehensive patient characterization that captures complementary dimensions of disease biology and behavior [16,17,34]. CT-derived quantitative imaging features, including percentage emphysema (voxels &lt;-950 HU), gas trapping on expiratory imaging, mean airway wall thickness, parametric response mapping distinguishing functional small-airway disease from emphysema, pulmonary vascular pruning metrics, and machine-learning-derived imaging biomarkers, provide detailed structural phenotyping complementary to spirometric functional assessment [15,41]. These imaging features, extractable through automated pipelines from clinically acquired chest CTs, may capture disease subtypes invisible to conventional clinical characterization.</w:t>
      </w:r>
    </w:p>
    <w:p>
      <w:pPr>
        <w:pStyle w:val="Normal"/>
      </w:pPr>
      <w:r>
        <w:t xml:space="preserve">Wearable device data—including continuous accelerometer-derived physical activity quantification, respiratory rate variability from thoracic impedance or strain sensors, nocturnal pulse oximetry patterns and desaturation indices, heart rate variability, sleep quality metrics, and daily step count trajectories—offer rich longitudinal behavioral and physiological signals that may predict exacerbation onset days before symptomatic recognition [39]. Preliminary studies suggest that reductions in daily step count (&gt;20% below personal baseline) and increases in respiratory rate precede exacerbation onset by 2-5 days, potentially enabling earlier intervention [39]. Smart inhaler data, capturing timing, frequency, and technique of both maintenance and rescue inhaler use, provides direct measurement of adherence patterns and changing symptom control that traditional clinic-based assessments cannot capture [39].</w:t>
      </w:r>
    </w:p>
    <w:p>
      <w:pPr>
        <w:pStyle w:val="Normal"/>
      </w:pPr>
      <w:r>
        <w:t xml:space="preserve">Environmental exposure data, including real-time ambient air pollution indices (PM2.5, PM10, NO₂, ozone, SO₂), pollen counts stratified by allergenic species, temperature fluctuations and cold weather alerts, and humidity levels, represent established exacerbation triggers that can be integrated as time-varying dynamic covariates in prediction models geolocated to the patient’s residence and daily activity patterns [5,42]. Longitudinal biomarker trajectories, capturing serial measurements and temporal patterns of eosinophil fluctuation, CRP dynamics, and fibrinogen trends over multiple clinical encounters, may provide dynamic risk signals that enhance prediction beyond single-timepoint cross-sectional measurements [10,35]. Genomic and transcriptomic data, including genetic susceptibility variants (e.g., SERPINA1 for alpha-1 antitrypsin deficiency), gene expression signatures of immune activation, and pharmacogenomic markers influencing treatment response, while still in relatively early translational stages for routine clinical implementation, hold substantial potential for identifying molecular endotypes with distinct exacerbation susceptibilities and treatment-response profiles.</w:t>
      </w:r>
    </w:p>
    <w:p>
      <w:pPr>
        <w:pStyle w:val="Normal"/>
      </w:pPr>
      <w:r>
        <w:t xml:space="preserve">External validation across multiple centers, healthcare systems, and geographic regions is essential for establishing model robustness, transportability, and clinical readiness for widespread deployment [29,30]. Key challenges that frequently lead to performance degradation in external settings include: (1) differences in clinical practice patterns, disease severity distributions, diagnostic coding conventions, and data completeness across institutions; (2) population heterogeneity in ethnic composition, genetic backgrounds, environmental exposures, occupational risks, and disease phenotype distributions; (3) temporal drift in disease management patterns due to evolving clinical guidelines, new therapeutic options, and changing prescribing behaviors; and (4) technical variability in laboratory assays (different platforms, reference ranges), spirometry equipment and quality control standards, and imaging protocols and reconstruction algorithms [26,29]. Strategies to address these challenges include domain adaptation techniques that align feature distributions across sites, transfer learning approaches that fine-tune models to local data, model recalibration adjusting baseline risk to local event rates while preserving discriminative ordering, and federated approaches that learn collaborative models across institutions without requiring centralization of sensitive patient data [16].</w:t>
      </w:r>
    </w:p>
    <w:p>
      <w:pPr>
        <w:pStyle w:val="Normal"/>
      </w:pPr>
      <w:r>
        <w:t xml:space="preserve">Real-world implementation considerations extend well beyond predictive performance to encompass regulatory pathways (CE marking under MDR/IVDR in Europe, FDA 510(k) or De Novo clearance in the United States, with appropriate classification as Software as a Medical Device), privacy compliance (GDPR data protection impact assessments, HIPAA minimum necessary standard), algorithmic fairness audits ensuring equitable performance across demographic groups defined by age, sex, ethnicity, and socioeconomic status, liability frameworks establishing responsibility chains when AI-assisted decisions contribute to adverse outcomes, clinician training requirements for appropriate use and trust calibration, and sustainable operational infrastructure for continuous model performance monitoring, data drift detection, and periodic retraining to maintain accuracy as populations and practices evolve [17,32,33]. The transition from research prototype to validated clinical tool thus requires prospective evaluation demonstrating not merely sustained predictive accuracy in new settings but measurable clinical impact on patient-centered outcomes including exacerbation reduction, hospitalization avoidance, quality of life improvement, and cost-effectiveness.</w:t>
      </w:r>
    </w:p>
    <w:p>
      <w:pPr>
        <w:pStyle w:val="Heading2"/>
      </w:pPr>
      <w:r>
        <w:rPr>
          <w:b/>
        </w:rPr>
        <w:t xml:space="preserve">4.3 Future Perspectives: Dynamic Prediction, Federated Learning, and Precision Respiratory Medicine</w:t>
      </w:r>
    </w:p>
    <w:p>
      <w:pPr>
        <w:pStyle w:val="Normal"/>
      </w:pPr>
      <w:r>
        <w:t xml:space="preserve">The future trajectory of ML-based COPD exacerbation prediction points toward several transformative developments that collectively promise to fundamentally reshape respiratory care delivery from reactive symptom management toward proactive, predictive, and personalized medicine [16,17,34]. Dynamic prediction models represent a paradigm advancement over static, cross-sectional risk assessment by incorporating temporal sequences of longitudinal clinical measurements and continuously updating risk predictions as new information accumulates over time [39]. Unlike static models that generate a single risk estimate from a snapshot of clinical variables at one timepoint, dynamic models maintain an evolving representation of each patient’s health trajectory, enabling risk estimates that reflect recent changes, trends, and temporal patterns in clinical status. Architectures suitable for dynamic prediction include recurrent neural networks (particularly Long Short-Term Memory and Gated Recurrent Unit variants), temporal convolutional networks, attention-based transformer architectures adapted from natural language processing, and joint longitudinal-survival models that simultaneously model biomarker trajectories and time-to-event outcomes [16].</w:t>
      </w:r>
    </w:p>
    <w:p>
      <w:pPr>
        <w:pStyle w:val="Normal"/>
      </w:pPr>
      <w:r>
        <w:t xml:space="preserve">Federated learning architectures address the critical challenge of developing high-performance models from distributed, siloed healthcare data while rigorously preserving patient privacy and institutional data sovereignty [16]. Rather than centralizing sensitive health information from multiple hospitals into a single repository—raising substantial privacy, governance, and regulatory concerns—federated learning trains model parameters locally at each participating institution using only that institution’s data, then shares only aggregated, privacy-preserving gradient updates or model parameter summaries to a central coordination server that produces a global consensus model. This approach enables multicenter model development with the statistical power and diversity of large combined datasets without any raw patient data ever leaving its originating institution. For COPD prediction specifically, federated learning is particularly relevant because the heterogeneity of global COPD populations—varying by ethnicity, environmental exposures, healthcare access, disease phenotype distributions, and treatment patterns—necessitates diverse, representative training data to ensure model fairness, equity, and generalizability across the full spectrum of geographic and demographic contexts in which the model will ultimately be deployed.</w:t>
      </w:r>
    </w:p>
    <w:p>
      <w:pPr>
        <w:pStyle w:val="Normal"/>
      </w:pPr>
      <w:r>
        <w:t xml:space="preserve">Continuous patient monitoring through seamless integration of wearable sensors, smart inhalers with built-in adherence and technique monitoring, portable home spirometry devices with automated quality checks, ambient environmental sensors capturing indoor and outdoor air quality, and passive smartphone sensing (capturing voice characteristics, GPS-derived activity patterns, and social interaction proxies) creates a continuous high-frequency data stream that enables real-time risk assessment and early warning system capabilities far beyond what periodic clinic visits can provide [39]. These monitoring ecosystems may detect subtle, pre-symptomatic physiological changes—progressive increases in respiratory rate and heart rate at rest, declining daily physical activity and step counts, altered sleep architecture with increased fragmentation, increasing frequency and urgency of rescue bronchodilator use, declining peak expiratory flow trends—that reliably precede clinical exacerbation onset by 24-72 hours, providing a critical intervention window for preemptive pharmacological treatment, activity modification, or accelerated clinical review [39].</w:t>
      </w:r>
    </w:p>
    <w:p>
      <w:pPr>
        <w:pStyle w:val="Normal"/>
      </w:pPr>
      <w:r>
        <w:t xml:space="preserve">Prospective clinical-impact studies represent the essential and currently missing step in translating ML-based prediction research into demonstrably improved real-world patient outcomes. Randomized controlled trials and pragmatic clinical trials comparing ML-guided management strategies (where clinicians receive algorithmic risk predictions, explanations, and management recommendations integrated into their workflow) against usual care are urgently needed to demonstrate that algorithmic risk predictions, when appropriately embedded in clinical workflows with adequate training and support structures, lead to measurable, clinically meaningful improvements in exacerbation frequency, severity, hospitalization rates, emergency department utilization, health-related quality of life, exercise capacity, and potentially survival [16,17]. The source study specifically identifies multicenter external validation, multimodal data integration incorporating imaging and sensor data, and prospective randomized evaluation of ML-guided risk stratification as the most critical future research priorities for advancing this field from academic research toward clinical reality.</w:t>
      </w:r>
    </w:p>
    <w:p>
      <w:pPr>
        <w:pStyle w:val="Normal"/>
      </w:pPr>
      <w:r>
        <w:t xml:space="preserve">The ultimate vision motivating this work is a comprehensive transition toward phenotype-informed precision respiratory medicine, where each COPD patient receives continuously updated, individually tailored risk assessments that incorporate the full dimensionality of their clinical profile—spirometric, inflammatory, symptomatic, behavioral, environmental, and comorbid—and inform proactive, preemptive management strategies specifically targeted at their dominant modifiable risk factors [6,7,8]. By synergistically integrating explainable AI methods that ensure clinical transparency and trust, multidimensional clinical data capturing complementary disease dimensions, dynamic prediction architectures that evolve with the patient’s clinical trajectory, federated learning ensuring equitable model performance across diverse populations, and embedded decision-support systems providing actionable guidance at the point of clinical decision-making, the field is progressing from reactive, guideline-driven exacerbation management toward truly predictive, preventive, personalized, and participatory respiratory care. This transformation requires sustained, multidisciplinary collaboration between respiratory clinicians, data scientists, biomedical engineers, health informaticians, regulatory scientists, health economists, patients, and policymakers to ensure that AI-enabled precision medicine achieves its full transformative potential while maintaining the highest standards of clinical safety, algorithmic equity, patient autonomy, and human-centered care delivery.</w:t>
      </w:r>
    </w:p>
    <w:p>
      <w:pPr>
        <w:pStyle w:val="Heading1"/>
      </w:pPr>
      <w:r>
        <w:rPr>
          <w:b/>
        </w:rPr>
        <w:t xml:space="preserve">References</w:t>
      </w:r>
    </w:p>
    <w:p>
      <w:pPr>
        <w:pStyle w:val="Normal"/>
      </w:pPr>
      <w:r>
        <w:t xml:space="preserve">[1] Global Initiative for Chronic Obstructive Lung Disease (GOLD). Global Strategy for the Diagnosis, Management, and Prevention of COPD. 2024 Report.</w:t>
      </w:r>
    </w:p>
    <w:p>
      <w:pPr>
        <w:pStyle w:val="Normal"/>
      </w:pPr>
      <w:r>
        <w:t xml:space="preserve">[2] Vogelmeier CF, Criner GJ, Martinez FJ, et al. Global Strategy for the Diagnosis, Management, and Prevention of Chronic Obstructive Lung Disease 2017 Report. Am J Respir Crit Care Med. 2017;195(5):557-582.</w:t>
      </w:r>
    </w:p>
    <w:p>
      <w:pPr>
        <w:pStyle w:val="Normal"/>
      </w:pPr>
      <w:r>
        <w:t xml:space="preserve">[3] Adeloye D, Chua S, Lee C, et al. Global and regional estimates of COPD prevalence: systematic review and meta-analysis. J Glob Health. 2015;5(2):020415.</w:t>
      </w:r>
    </w:p>
    <w:p>
      <w:pPr>
        <w:pStyle w:val="Normal"/>
      </w:pPr>
      <w:r>
        <w:t xml:space="preserve">[4] Hurst JR, Vestbo J, Anzueto A, et al. Susceptibility to exacerbation in chronic obstructive pulmonary disease. N Engl J Med. 2010;363(12):1128-1138.</w:t>
      </w:r>
    </w:p>
    <w:p>
      <w:pPr>
        <w:pStyle w:val="Normal"/>
      </w:pPr>
      <w:r>
        <w:t xml:space="preserve">[5] Wedzicha JA, Seemungal TA. COPD exacerbations: defining their cause and prevention. Lancet. 2007;370(9589):786-796.</w:t>
      </w:r>
    </w:p>
    <w:p>
      <w:pPr>
        <w:pStyle w:val="Normal"/>
      </w:pPr>
      <w:r>
        <w:t xml:space="preserve">[6] Agusti A, Bel E, Thomas M, et al. Treatable traits: toward precision medicine of chronic airway diseases. Eur Respir J. 2016;47(2):410-419.</w:t>
      </w:r>
    </w:p>
    <w:p>
      <w:pPr>
        <w:pStyle w:val="Normal"/>
      </w:pPr>
      <w:r>
        <w:t xml:space="preserve">[7] McDonald VM, Fingleton J, Agusti A, et al. Treatable traits: a new paradigm for 21st century management of chronic airway diseases. Eur Respir J. 2019;53(5):1802058.</w:t>
      </w:r>
    </w:p>
    <w:p>
      <w:pPr>
        <w:pStyle w:val="Normal"/>
      </w:pPr>
      <w:r>
        <w:t xml:space="preserve">[8] Singh D, Agusti A, Anzueto A, et al. Global Strategy for the Diagnosis, Management, and Prevention of Chronic Obstructive Lung Disease: the GOLD science committee report 2019. Eur Respir J. 2019;53(5):1900164.</w:t>
      </w:r>
    </w:p>
    <w:p>
      <w:pPr>
        <w:pStyle w:val="Normal"/>
      </w:pPr>
      <w:r>
        <w:t xml:space="preserve">[9] Miravitlles M, Calle M, Soler-Cataluna JJ. Clinical phenotypes of COPD: identification, definition and implications for guidelines. Arch Bronconeumol. 2012;48(3):86-98.</w:t>
      </w:r>
    </w:p>
    <w:p>
      <w:pPr>
        <w:pStyle w:val="Normal"/>
      </w:pPr>
      <w:r>
        <w:t xml:space="preserve">[10] Bafadhel M, McKenna S, Terry S, et al. Acute exacerbations of chronic obstructive pulmonary disease: identification of biologic clusters and their biomarkers. Am J Respir Crit Care Med. 2011;184(6):662-671.</w:t>
      </w:r>
    </w:p>
    <w:p>
      <w:pPr>
        <w:pStyle w:val="Normal"/>
      </w:pPr>
      <w:r>
        <w:t xml:space="preserve">[11] Pavord ID, Beasley R, Agusti A, et al. After asthma: redefining airways diseases. Lancet. 2018;391(10118):350-400.</w:t>
      </w:r>
    </w:p>
    <w:p>
      <w:pPr>
        <w:pStyle w:val="Normal"/>
      </w:pPr>
      <w:r>
        <w:t xml:space="preserve">[12] Jones PW, Harding G, Berry P, et al. Development and first validation of the COPD Assessment Test. Eur Respir J. 2009;34(3):648-654.</w:t>
      </w:r>
    </w:p>
    <w:p>
      <w:pPr>
        <w:pStyle w:val="Normal"/>
      </w:pPr>
      <w:r>
        <w:t xml:space="preserve">[13] Bestall JC, Paul EA, Garrod R, et al. Usefulness of the Medical Research Council (MRC) dyspnoea scale as a measure of disability in patients with chronic obstructive pulmonary disease. Thorax. 1999;54(7):581-586.</w:t>
      </w:r>
    </w:p>
    <w:p>
      <w:pPr>
        <w:pStyle w:val="Normal"/>
      </w:pPr>
      <w:r>
        <w:t xml:space="preserve">[14] Mathers CD, Loncar D. Projections of global mortality and burden of disease from 2002 to 2030. PLoS Med. 2006;3(11):e442.</w:t>
      </w:r>
    </w:p>
    <w:p>
      <w:pPr>
        <w:pStyle w:val="Normal"/>
      </w:pPr>
      <w:r>
        <w:t xml:space="preserve">[15] Han MK, Agusti A, Calverley PM, et al. Chronic obstructive pulmonary disease phenotypes: the future of COPD. Am J Respir Crit Care Med. 2010;182(5):598-604.</w:t>
      </w:r>
    </w:p>
    <w:p>
      <w:pPr>
        <w:pStyle w:val="Normal"/>
      </w:pPr>
      <w:r>
        <w:t xml:space="preserve">[16] Rajkomar A, Dean J, Kohane I. Machine learning in medicine. N Engl J Med. 2019;380(14):1347-1358.</w:t>
      </w:r>
    </w:p>
    <w:p>
      <w:pPr>
        <w:pStyle w:val="Normal"/>
      </w:pPr>
      <w:r>
        <w:t xml:space="preserve">[17] Topol EJ. High-performance medicine: the convergence of human and artificial intelligence. Nat Med. 2019;25(1):44-56.</w:t>
      </w:r>
    </w:p>
    <w:p>
      <w:pPr>
        <w:pStyle w:val="Normal"/>
      </w:pPr>
      <w:r>
        <w:t xml:space="preserve">[18] Chen T, Guestrin C. XGBoost: a scalable tree boosting system. In: Proceedings of the 22nd ACM SIGKDD International Conference on Knowledge Discovery and Data Mining. 2016:785-794.</w:t>
      </w:r>
    </w:p>
    <w:p>
      <w:pPr>
        <w:pStyle w:val="Normal"/>
      </w:pPr>
      <w:r>
        <w:t xml:space="preserve">[19] Breiman L. Random forests. Mach Learn. 2001;45(1):5-32.</w:t>
      </w:r>
    </w:p>
    <w:p>
      <w:pPr>
        <w:pStyle w:val="Normal"/>
      </w:pPr>
      <w:r>
        <w:t xml:space="preserve">[20] Friedman JH. Greedy function approximation: a gradient boosting machine. Ann Stat. 2001;29(5):1189-1232.</w:t>
      </w:r>
    </w:p>
    <w:p>
      <w:pPr>
        <w:pStyle w:val="Normal"/>
      </w:pPr>
      <w:r>
        <w:t xml:space="preserve">[21] Hosmer DW, Lemeshow S, Sturdivant RX. Applied Logistic Regression. 3rd ed. Wiley; 2013.</w:t>
      </w:r>
    </w:p>
    <w:p>
      <w:pPr>
        <w:pStyle w:val="Normal"/>
      </w:pPr>
      <w:r>
        <w:t xml:space="preserve">[22] Cortes C, Vapnik V. Support-vector networks. Mach Learn. 1995;20(3):273-297.</w:t>
      </w:r>
    </w:p>
    <w:p>
      <w:pPr>
        <w:pStyle w:val="Normal"/>
      </w:pPr>
      <w:r>
        <w:t xml:space="preserve">[23] Chawla NV, Bowyer KW, Hall LO, Kegelmeyer WP. SMOTE: synthetic minority over-sampling technique. J Artif Intell Res. 2002;16:321-357.</w:t>
      </w:r>
    </w:p>
    <w:p>
      <w:pPr>
        <w:pStyle w:val="Normal"/>
      </w:pPr>
      <w:r>
        <w:t xml:space="preserve">[24] Lundberg SM, Lee SI. A unified approach to interpreting model predictions. In: Advances in Neural Information Processing Systems. 2017;30:4765-4774.</w:t>
      </w:r>
    </w:p>
    <w:p>
      <w:pPr>
        <w:pStyle w:val="Normal"/>
      </w:pPr>
      <w:r>
        <w:t xml:space="preserve">[25] Ribeiro MT, Singh S, Guestrin C. Why should I trust you? Explaining the predictions of any classifier. In: Proceedings of the 22nd ACM SIGKDD. 2016:1135-1144.</w:t>
      </w:r>
    </w:p>
    <w:p>
      <w:pPr>
        <w:pStyle w:val="Normal"/>
      </w:pPr>
      <w:r>
        <w:t xml:space="preserve">[26] Steyerberg EW. Clinical Prediction Models: A Practical Approach to Development, Validation, and Updating. 2nd ed. Springer; 2019.</w:t>
      </w:r>
    </w:p>
    <w:p>
      <w:pPr>
        <w:pStyle w:val="Normal"/>
      </w:pPr>
      <w:r>
        <w:t xml:space="preserve">[27] Hanley JA, McNeil BJ. The meaning and use of the area under a receiver operating characteristic (ROC) curve. Radiology. 1982;143(1):29-36.</w:t>
      </w:r>
    </w:p>
    <w:p>
      <w:pPr>
        <w:pStyle w:val="Normal"/>
      </w:pPr>
      <w:r>
        <w:t xml:space="preserve">[28] Van Calster B, McLernon DJ, van Smeden M, et al. Calibration: the Achilles heel of predictive analytics. BMC Med. 2019;17(1):230.</w:t>
      </w:r>
    </w:p>
    <w:p>
      <w:pPr>
        <w:pStyle w:val="Normal"/>
      </w:pPr>
      <w:r>
        <w:t xml:space="preserve">[29] Steyerberg EW, Harrell FE Jr. Prediction models need appropriate internal, internal-external, and external validation. J Clin Epidemiol. 2016;69:245-247.</w:t>
      </w:r>
    </w:p>
    <w:p>
      <w:pPr>
        <w:pStyle w:val="Normal"/>
      </w:pPr>
      <w:r>
        <w:t xml:space="preserve">[30] Collins GS, Reitsma JB, Altman DG, Moons KG. Transparent reporting of a multivariable prediction model for individual prognosis or diagnosis (TRIPOD). Ann Intern Med. 2015;162(1):55-63.</w:t>
      </w:r>
    </w:p>
    <w:p>
      <w:pPr>
        <w:pStyle w:val="Normal"/>
      </w:pPr>
      <w:r>
        <w:t xml:space="preserve">[31] Molnar C. Interpretable Machine Learning: A Guide for Making Black Box Models Explainable. 2nd ed. 2022.</w:t>
      </w:r>
    </w:p>
    <w:p>
      <w:pPr>
        <w:pStyle w:val="Normal"/>
      </w:pPr>
      <w:r>
        <w:t xml:space="preserve">[32] Arrieta AB, Diaz-Rodriguez N, Del Ser J, et al. Explainable artificial intelligence (XAI): concepts, taxonomies, opportunities and challenges toward responsible AI. Inf Fusion. 2020;58:82-115.</w:t>
      </w:r>
    </w:p>
    <w:p>
      <w:pPr>
        <w:pStyle w:val="Normal"/>
      </w:pPr>
      <w:r>
        <w:t xml:space="preserve">[33] Amann J, Blasimme A, Vayena E, et al. Explainability for artificial intelligence in healthcare: a multidisciplinary perspective. BMC Med Inform Decis Mak. 2020;20(1):310.</w:t>
      </w:r>
    </w:p>
    <w:p>
      <w:pPr>
        <w:pStyle w:val="Normal"/>
      </w:pPr>
      <w:r>
        <w:t xml:space="preserve">[34] Exarchos KP, Gogali A, Sioutkou A, et al. Artificial intelligence techniques in asthma: a systematic review and critical appraisal of the existing literature. Eur Respir J. 2020;56(3):2000521.</w:t>
      </w:r>
    </w:p>
    <w:p>
      <w:pPr>
        <w:pStyle w:val="Normal"/>
      </w:pPr>
      <w:r>
        <w:t xml:space="preserve">[35] Makris D, Moschandreas J, Damianaki A, et al. Exacerbations and lung function decline in COPD: new insights in current and ex-smokers. Respir Med. 2007;101(6):1305-1312.</w:t>
      </w:r>
    </w:p>
    <w:p>
      <w:pPr>
        <w:pStyle w:val="Normal"/>
      </w:pPr>
      <w:r>
        <w:t xml:space="preserve">[36] Anthonisen NR, Manfreda J, Warren CP, et al. Antibiotic therapy in exacerbations of chronic obstructive pulmonary disease. Ann Intern Med. 1987;106(2):196-204.</w:t>
      </w:r>
    </w:p>
    <w:p>
      <w:pPr>
        <w:pStyle w:val="Normal"/>
      </w:pPr>
      <w:r>
        <w:t xml:space="preserve">[37] Suissa S, Dell'Aniello S, Ernst P. Long-term natural history of chronic obstructive pulmonary disease: severe exacerbations and mortality. Thorax. 2012;67(11):957-963.</w:t>
      </w:r>
    </w:p>
    <w:p>
      <w:pPr>
        <w:pStyle w:val="Normal"/>
      </w:pPr>
      <w:r>
        <w:t xml:space="preserve">[38] Adibi A, Sin DD, Safari A, et al. The Acute COPD Exacerbation Prediction Tool (ACCEPT): a modelling study. Lancet Respir Med. 2020;8(10):1013-1021.</w:t>
      </w:r>
    </w:p>
    <w:p>
      <w:pPr>
        <w:pStyle w:val="Normal"/>
      </w:pPr>
      <w:r>
        <w:t xml:space="preserve">[39] Shah SA, Velardo C, Farmer A, Tarassenko L. Exacerbations in chronic obstructive pulmonary disease: identification and prediction using a digital health system. J Med Internet Res. 2017;19(3):e69.</w:t>
      </w:r>
    </w:p>
    <w:p>
      <w:pPr>
        <w:pStyle w:val="Normal"/>
      </w:pPr>
      <w:r>
        <w:t xml:space="preserve">[40] Fernandez-Granero MA, Sanchez-Morillo D, Leon-Jimenez A. Machine learning approaches to prediction of exacerbations of chronic obstructive pulmonary disease. In: International Work-Conference on Bioinformatics and Biomedical Engineering. Springer; 2018:217-228.</w:t>
      </w:r>
    </w:p>
    <w:p>
      <w:pPr>
        <w:pStyle w:val="Normal"/>
      </w:pPr>
      <w:r>
        <w:t xml:space="preserve">[41] Rabe KF, Watz H. Chronic obstructive pulmonary disease. Lancet. 2017;389(10082):1931-1940.</w:t>
      </w:r>
    </w:p>
    <w:p>
      <w:pPr>
        <w:pStyle w:val="Normal"/>
      </w:pPr>
      <w:r>
        <w:t xml:space="preserve">[42] Yang IA, Jenkins CR, Salvi SS. Chronic obstructive pulmonary disease in never-smokers: risk factors, pathogenesis, and implications for prevention and treatment. Lancet Respir Med. 2022;10(5):497-511.</w:t>
      </w:r>
    </w:p>
    <w:p>
      <w:pPr>
        <w:pStyle w:val="Normal"/>
      </w:pPr>
      <w:r>
        <w:t xml:space="preserve">[43] Kaelber DC, Foster W, Giber J, et al. Patient characteristics associated with venous thromboembolic events: a cohort study using pooled electronic health record data. J Thromb Haemost. 2012;10(11):2368-2375.</w:t>
      </w:r>
    </w:p>
    <w:sectPr>
      <w:pgSz w:w="12240" w:h="15840"/>
      <w:pgMar w:top="1440" w:right="1440" w:bottom="1440" w:left="1440" w:header="720" w:footer="720" w:gutter="0"/>
    </w:sectPr>
  </w:body>
</w:document>
</file>

<file path=word/numbering.xml><?xml version="1.0" encoding="utf-8"?>
<w:numbering xmlns:w="http://schemas.openxmlformats.org/wordprocessingml/2006/main">
</w:numbering>
</file>

<file path=word/styles.xml><?xml version="1.0" encoding="utf-8"?>
<w:styles xmlns:w="http://schemas.openxmlformats.org/wordprocessingml/2006/main">
  <w:style w:type="paragraph" w:styleId="Title">
    <w:name w:val="Title"/>
    <w:pPr>
      <w:jc w:val="center"/>
      <w:spacing w:after="240"/>
    </w:pPr>
    <w:rPr>
      <w:b/>
      <w:sz w:val="32"/>
      <w:szCs w:val="32"/>
      <w:rFonts w:ascii="Times New Roman" w:hAnsi="Times New Roman"/>
    </w:rPr>
  </w:style>
  <w:style w:type="paragraph" w:styleId="Heading1">
    <w:name w:val="heading 1"/>
    <w:pPr>
      <w:spacing w:before="360" w:after="120"/>
    </w:pPr>
    <w:rPr>
      <w:b/>
      <w:sz w:val="28"/>
      <w:szCs w:val="28"/>
      <w:rFonts w:ascii="Times New Roman" w:hAnsi="Times New Roman"/>
    </w:rPr>
  </w:style>
  <w:style w:type="paragraph" w:styleId="Heading2">
    <w:name w:val="heading 2"/>
    <w:pPr>
      <w:spacing w:before="240" w:after="120"/>
    </w:pPr>
    <w:rPr>
      <w:b/>
      <w:sz w:val="26"/>
      <w:szCs w:val="26"/>
      <w:rFonts w:ascii="Times New Roman" w:hAnsi="Times New Roman"/>
    </w:rPr>
  </w:style>
  <w:style w:type="paragraph" w:styleId="Heading3">
    <w:name w:val="heading 3"/>
    <w:pPr>
      <w:spacing w:before="200" w:after="80"/>
    </w:pPr>
    <w:rPr>
      <w:b/>
      <w:i/>
      <w:sz w:val="24"/>
      <w:szCs w:val="24"/>
      <w:rFonts w:ascii="Times New Roman" w:hAnsi="Times New Roman"/>
    </w:rPr>
  </w:style>
  <w:style w:type="paragraph" w:styleId="Normal">
    <w:name w:val="Normal"/>
    <w:pPr>
      <w:spacing w:after="200" w:line="360" w:lineRule="auto"/>
      <w:jc w:val="both"/>
    </w:pPr>
    <w:rPr>
      <w:sz w:val="24"/>
      <w:szCs w:val="24"/>
      <w:rFonts w:ascii="Times New Roman" w:hAnsi="Times New Roman"/>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1" Type="http://schemas.openxmlformats.org/officeDocument/2006/relationships/image" Target="media/Figure1_COPD_Pathophysiology_Framework.png"/>
  <Relationship Id="rId12" Type="http://schemas.openxmlformats.org/officeDocument/2006/relationships/image" Target="media/Figure2_ML_Pipeline_Architecture.png"/>
  <Relationship Id="rId13" Type="http://schemas.openxmlformats.org/officeDocument/2006/relationships/image" Target="media/Figure3_SHAP_Feature_Importance.png"/>
  <Relationship Id="rId14" Type="http://schemas.openxmlformats.org/officeDocument/2006/relationships/image" Target="media/Figure4_Clinical_Decision_Support.png"/>
</Relationships>
</file>